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C9" w:rsidRDefault="00D31FC9" w:rsidP="00C7146D">
      <w:pPr>
        <w:spacing w:before="0" w:after="0"/>
        <w:jc w:val="center"/>
        <w:rPr>
          <w:b/>
          <w:bCs/>
          <w:sz w:val="28"/>
          <w:szCs w:val="28"/>
          <w:lang w:val="en-US"/>
        </w:rPr>
      </w:pPr>
    </w:p>
    <w:p w:rsidR="00D31FC9" w:rsidRDefault="00154AED" w:rsidP="00C7146D">
      <w:pPr>
        <w:spacing w:before="0"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0130" cy="19507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formato facebo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C9" w:rsidRPr="00D31FC9" w:rsidRDefault="00D31FC9" w:rsidP="00D31FC9">
      <w:pPr>
        <w:spacing w:before="0" w:after="0" w:line="240" w:lineRule="auto"/>
        <w:jc w:val="right"/>
        <w:rPr>
          <w:rFonts w:ascii="Arial" w:eastAsia="Calibri" w:hAnsi="Arial" w:cs="Arial"/>
          <w:i/>
        </w:rPr>
      </w:pPr>
      <w:r w:rsidRPr="00D31FC9">
        <w:rPr>
          <w:rFonts w:ascii="Arial" w:eastAsia="Calibri" w:hAnsi="Arial" w:cs="Arial"/>
          <w:i/>
        </w:rPr>
        <w:t xml:space="preserve">Roma, </w:t>
      </w:r>
      <w:r w:rsidR="003D1F8C">
        <w:rPr>
          <w:rFonts w:ascii="Arial" w:eastAsia="Calibri" w:hAnsi="Arial" w:cs="Arial"/>
          <w:i/>
        </w:rPr>
        <w:t>12 giugno</w:t>
      </w:r>
      <w:r w:rsidRPr="00D31FC9">
        <w:rPr>
          <w:rFonts w:ascii="Arial" w:eastAsia="Calibri" w:hAnsi="Arial" w:cs="Arial"/>
          <w:i/>
        </w:rPr>
        <w:t xml:space="preserve"> 2018</w:t>
      </w:r>
    </w:p>
    <w:p w:rsidR="00D31FC9" w:rsidRPr="00D31FC9" w:rsidRDefault="00D31FC9" w:rsidP="00D31FC9">
      <w:pPr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D31FC9" w:rsidRPr="00D31FC9" w:rsidRDefault="00D31FC9" w:rsidP="00D31FC9">
      <w:pPr>
        <w:spacing w:before="0"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it-IT"/>
        </w:rPr>
      </w:pPr>
      <w:r w:rsidRPr="00D31FC9">
        <w:rPr>
          <w:rFonts w:ascii="Calibri" w:eastAsia="Calibri" w:hAnsi="Calibri" w:cs="Calibri"/>
          <w:b/>
          <w:bCs/>
          <w:sz w:val="22"/>
          <w:szCs w:val="22"/>
          <w:lang w:eastAsia="it-IT"/>
        </w:rPr>
        <w:t>COMUNICATO STAMPA N°</w:t>
      </w:r>
      <w:r w:rsidR="003A1C25">
        <w:rPr>
          <w:rFonts w:ascii="Calibri" w:eastAsia="Calibri" w:hAnsi="Calibri" w:cs="Calibri"/>
          <w:b/>
          <w:bCs/>
          <w:sz w:val="22"/>
          <w:szCs w:val="22"/>
          <w:lang w:eastAsia="it-IT"/>
        </w:rPr>
        <w:t>14</w:t>
      </w:r>
      <w:r w:rsidRPr="00D31FC9">
        <w:rPr>
          <w:rFonts w:ascii="Calibri" w:eastAsia="Calibri" w:hAnsi="Calibri" w:cs="Calibri"/>
          <w:b/>
          <w:bCs/>
          <w:sz w:val="22"/>
          <w:szCs w:val="22"/>
          <w:lang w:eastAsia="it-IT"/>
        </w:rPr>
        <w:t>/2018</w:t>
      </w:r>
    </w:p>
    <w:p w:rsidR="001743C2" w:rsidRDefault="001743C2" w:rsidP="00C7146D">
      <w:pPr>
        <w:spacing w:before="0" w:after="0"/>
        <w:jc w:val="center"/>
        <w:rPr>
          <w:b/>
          <w:bCs/>
          <w:sz w:val="32"/>
          <w:szCs w:val="32"/>
        </w:rPr>
      </w:pPr>
    </w:p>
    <w:p w:rsidR="0021720F" w:rsidRPr="00D31FC9" w:rsidRDefault="00D31FC9" w:rsidP="00C7146D">
      <w:pPr>
        <w:spacing w:before="0"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E34D5">
        <w:rPr>
          <w:b/>
          <w:bCs/>
          <w:sz w:val="32"/>
          <w:szCs w:val="32"/>
        </w:rPr>
        <w:t xml:space="preserve">Nel 2017 calati donatori di sangue, mai così pochi in </w:t>
      </w:r>
      <w:r w:rsidR="002C5626" w:rsidRPr="00BE34D5">
        <w:rPr>
          <w:b/>
          <w:bCs/>
          <w:sz w:val="32"/>
          <w:szCs w:val="32"/>
        </w:rPr>
        <w:t>10</w:t>
      </w:r>
      <w:r w:rsidRPr="00BE34D5">
        <w:rPr>
          <w:b/>
          <w:bCs/>
          <w:sz w:val="32"/>
          <w:szCs w:val="32"/>
        </w:rPr>
        <w:t xml:space="preserve"> anni </w:t>
      </w:r>
    </w:p>
    <w:p w:rsidR="00D9280C" w:rsidRPr="00C7146D" w:rsidRDefault="00D31FC9" w:rsidP="00C7146D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14 giugno </w:t>
      </w:r>
      <w:r w:rsidR="00D9280C" w:rsidRPr="00C7146D">
        <w:rPr>
          <w:b/>
          <w:bCs/>
          <w:sz w:val="28"/>
          <w:szCs w:val="28"/>
        </w:rPr>
        <w:t>Giornata Mondiale dell’Oms</w:t>
      </w:r>
      <w:r>
        <w:rPr>
          <w:b/>
          <w:bCs/>
          <w:sz w:val="28"/>
          <w:szCs w:val="28"/>
        </w:rPr>
        <w:t xml:space="preserve">, al via la campagna ‘Be </w:t>
      </w:r>
      <w:proofErr w:type="spellStart"/>
      <w:r>
        <w:rPr>
          <w:b/>
          <w:bCs/>
          <w:sz w:val="28"/>
          <w:szCs w:val="28"/>
        </w:rPr>
        <w:t>There</w:t>
      </w:r>
      <w:proofErr w:type="spellEnd"/>
      <w:r>
        <w:rPr>
          <w:b/>
          <w:bCs/>
          <w:sz w:val="28"/>
          <w:szCs w:val="28"/>
        </w:rPr>
        <w:t>’</w:t>
      </w:r>
    </w:p>
    <w:p w:rsidR="00D31FC9" w:rsidRPr="003D1F8C" w:rsidRDefault="00D31FC9" w:rsidP="00167887">
      <w:pPr>
        <w:jc w:val="both"/>
        <w:rPr>
          <w:sz w:val="22"/>
          <w:szCs w:val="22"/>
        </w:rPr>
      </w:pPr>
      <w:r w:rsidRPr="003D1F8C">
        <w:rPr>
          <w:sz w:val="22"/>
          <w:szCs w:val="22"/>
        </w:rPr>
        <w:t>Continua a calare nel 2017 il numero dei donatori di sangue in Italia, dopo aver già toccato il record negati</w:t>
      </w:r>
      <w:r w:rsidR="00D823C4">
        <w:rPr>
          <w:sz w:val="22"/>
          <w:szCs w:val="22"/>
        </w:rPr>
        <w:t>vo dal 2009 lo scorso anno</w:t>
      </w:r>
      <w:r w:rsidRPr="003D1F8C">
        <w:rPr>
          <w:sz w:val="22"/>
          <w:szCs w:val="22"/>
        </w:rPr>
        <w:t>. Lo</w:t>
      </w:r>
      <w:r w:rsidR="00B73EE0">
        <w:rPr>
          <w:sz w:val="22"/>
          <w:szCs w:val="22"/>
        </w:rPr>
        <w:t xml:space="preserve"> </w:t>
      </w:r>
      <w:r w:rsidR="00C277CE" w:rsidRPr="00B73EE0">
        <w:rPr>
          <w:sz w:val="22"/>
          <w:szCs w:val="22"/>
        </w:rPr>
        <w:t>certifican</w:t>
      </w:r>
      <w:r w:rsidR="00674EC5" w:rsidRPr="00B73EE0">
        <w:rPr>
          <w:sz w:val="22"/>
          <w:szCs w:val="22"/>
        </w:rPr>
        <w:t xml:space="preserve">o i </w:t>
      </w:r>
      <w:r w:rsidR="00167887" w:rsidRPr="00B73EE0">
        <w:rPr>
          <w:sz w:val="22"/>
          <w:szCs w:val="22"/>
        </w:rPr>
        <w:t>dati</w:t>
      </w:r>
      <w:r w:rsidR="00674EC5" w:rsidRPr="003D1F8C">
        <w:rPr>
          <w:sz w:val="22"/>
          <w:szCs w:val="22"/>
        </w:rPr>
        <w:t xml:space="preserve"> raccolti dal Centro N</w:t>
      </w:r>
      <w:r w:rsidRPr="003D1F8C">
        <w:rPr>
          <w:sz w:val="22"/>
          <w:szCs w:val="22"/>
        </w:rPr>
        <w:t>azionale Sangue e presentati, insieme a una campagna di sensibilizzazione realizzata con il C</w:t>
      </w:r>
      <w:r w:rsidR="00C277CE">
        <w:rPr>
          <w:sz w:val="22"/>
          <w:szCs w:val="22"/>
        </w:rPr>
        <w:t>IVIS, il Coordinamento delle A</w:t>
      </w:r>
      <w:r w:rsidRPr="003D1F8C">
        <w:rPr>
          <w:sz w:val="22"/>
          <w:szCs w:val="22"/>
        </w:rPr>
        <w:t>ssociazioni</w:t>
      </w:r>
      <w:r w:rsidR="00C277CE">
        <w:rPr>
          <w:sz w:val="22"/>
          <w:szCs w:val="22"/>
        </w:rPr>
        <w:t xml:space="preserve"> di volontari del dono del sangue</w:t>
      </w:r>
      <w:r w:rsidRPr="003D1F8C">
        <w:rPr>
          <w:sz w:val="22"/>
          <w:szCs w:val="22"/>
        </w:rPr>
        <w:t xml:space="preserve">, oggi a Roma nella sede del Senato in previsione del World Blood </w:t>
      </w:r>
      <w:proofErr w:type="spellStart"/>
      <w:r w:rsidRPr="003D1F8C">
        <w:rPr>
          <w:sz w:val="22"/>
          <w:szCs w:val="22"/>
        </w:rPr>
        <w:t>Donor</w:t>
      </w:r>
      <w:proofErr w:type="spellEnd"/>
      <w:r w:rsidRPr="003D1F8C">
        <w:rPr>
          <w:sz w:val="22"/>
          <w:szCs w:val="22"/>
        </w:rPr>
        <w:t xml:space="preserve"> </w:t>
      </w:r>
      <w:proofErr w:type="spellStart"/>
      <w:r w:rsidRPr="003D1F8C">
        <w:rPr>
          <w:sz w:val="22"/>
          <w:szCs w:val="22"/>
        </w:rPr>
        <w:t>Day</w:t>
      </w:r>
      <w:proofErr w:type="spellEnd"/>
      <w:r w:rsidRPr="003D1F8C">
        <w:rPr>
          <w:sz w:val="22"/>
          <w:szCs w:val="22"/>
        </w:rPr>
        <w:t>, che l’OMS celebra il 14 giugno.</w:t>
      </w:r>
    </w:p>
    <w:p w:rsidR="00D31FC9" w:rsidRPr="003D1F8C" w:rsidRDefault="00D31FC9" w:rsidP="00167887">
      <w:pPr>
        <w:jc w:val="both"/>
        <w:rPr>
          <w:b/>
          <w:sz w:val="22"/>
          <w:szCs w:val="22"/>
        </w:rPr>
      </w:pPr>
      <w:r w:rsidRPr="003D1F8C">
        <w:rPr>
          <w:b/>
          <w:sz w:val="22"/>
          <w:szCs w:val="22"/>
        </w:rPr>
        <w:t>I numeri</w:t>
      </w:r>
    </w:p>
    <w:p w:rsidR="003D1F8C" w:rsidRPr="003D1F8C" w:rsidRDefault="00D31FC9" w:rsidP="00167887">
      <w:pPr>
        <w:jc w:val="both"/>
        <w:rPr>
          <w:sz w:val="22"/>
          <w:szCs w:val="22"/>
        </w:rPr>
      </w:pPr>
      <w:r w:rsidRPr="003D1F8C">
        <w:rPr>
          <w:sz w:val="22"/>
          <w:szCs w:val="22"/>
        </w:rPr>
        <w:t>Secondo le cifre presentate i donatori lo scorso anno sono stati poco più di un milione e 680mila, in calo di 8mila unità rispetto</w:t>
      </w:r>
      <w:r w:rsidR="003D1F8C" w:rsidRPr="003D1F8C">
        <w:rPr>
          <w:sz w:val="22"/>
          <w:szCs w:val="22"/>
        </w:rPr>
        <w:t xml:space="preserve"> al 2016</w:t>
      </w:r>
      <w:r w:rsidRPr="003D1F8C">
        <w:rPr>
          <w:sz w:val="22"/>
          <w:szCs w:val="22"/>
        </w:rPr>
        <w:t xml:space="preserve">, di cui 304mila nuovi. Il calo continua dal 2012, anno ‘di </w:t>
      </w:r>
      <w:proofErr w:type="spellStart"/>
      <w:r w:rsidRPr="003D1F8C">
        <w:rPr>
          <w:sz w:val="22"/>
          <w:szCs w:val="22"/>
        </w:rPr>
        <w:t>picco’</w:t>
      </w:r>
      <w:proofErr w:type="spellEnd"/>
      <w:r w:rsidRPr="003D1F8C">
        <w:rPr>
          <w:sz w:val="22"/>
          <w:szCs w:val="22"/>
        </w:rPr>
        <w:t xml:space="preserve"> con quasi un milione e 740mila donatori registrati. Il 31% è donna, e la fascia di età in cui sono più numerosi è quella 46-55 anni, il 29% del totale, e quelli tra 36 e 45, il 26%. Il 13% ha tra 18 e 25 anni. Nel 2017 sono state effettuate oltre tre milioni di donazioni (3.006.726 per la precisione), trentamila in meno rispetto all’anno precedente. Attraverso le donazioni in aferesi è stato possibile invece raccogliere quasi 830mila chili di plasma, indispensabile per la produzione di una serie di farmaci salvavita, con un aumento dell’1,8% rispetto al 2016. Grazie al sistema sangue italiano, che si basa totalmente sulla donazione volontaria e non remunerata, sono state </w:t>
      </w:r>
      <w:r w:rsidR="003D1F8C" w:rsidRPr="003D1F8C">
        <w:rPr>
          <w:sz w:val="22"/>
          <w:szCs w:val="22"/>
        </w:rPr>
        <w:t xml:space="preserve">effettuate oltre 637mila trasfusioni, per interventi chirurgici o terapie di malattie come la talassemia. Le trasfusioni di globuli rossi sono in leggero calo grazie anche alle tecniche di </w:t>
      </w:r>
      <w:proofErr w:type="spellStart"/>
      <w:r w:rsidR="003D1F8C" w:rsidRPr="00B73EE0">
        <w:rPr>
          <w:i/>
          <w:sz w:val="22"/>
          <w:szCs w:val="22"/>
        </w:rPr>
        <w:t>Patient</w:t>
      </w:r>
      <w:proofErr w:type="spellEnd"/>
      <w:r w:rsidR="003D1F8C" w:rsidRPr="00B73EE0">
        <w:rPr>
          <w:i/>
          <w:sz w:val="22"/>
          <w:szCs w:val="22"/>
        </w:rPr>
        <w:t xml:space="preserve"> Blood Management</w:t>
      </w:r>
      <w:r w:rsidR="003D1F8C" w:rsidRPr="00B73EE0">
        <w:rPr>
          <w:sz w:val="22"/>
          <w:szCs w:val="22"/>
        </w:rPr>
        <w:t>, fortemente supportate dal Ministero della salute, anche con provvedi</w:t>
      </w:r>
      <w:r w:rsidR="003D1F8C" w:rsidRPr="003D1F8C">
        <w:rPr>
          <w:sz w:val="22"/>
          <w:szCs w:val="22"/>
        </w:rPr>
        <w:t xml:space="preserve">menti normativi, che permettono di </w:t>
      </w:r>
      <w:r w:rsidR="00C277CE">
        <w:rPr>
          <w:sz w:val="22"/>
          <w:szCs w:val="22"/>
        </w:rPr>
        <w:t xml:space="preserve">ottimizzare l’utilizzo delle unità </w:t>
      </w:r>
      <w:r w:rsidR="003D1F8C" w:rsidRPr="003D1F8C">
        <w:rPr>
          <w:sz w:val="22"/>
          <w:szCs w:val="22"/>
        </w:rPr>
        <w:t xml:space="preserve">di sangue e migliorare i risultati in termini di </w:t>
      </w:r>
      <w:r w:rsidR="00BE34D5">
        <w:rPr>
          <w:sz w:val="22"/>
          <w:szCs w:val="22"/>
        </w:rPr>
        <w:t>salute per i cittadini.</w:t>
      </w:r>
    </w:p>
    <w:p w:rsidR="003D1F8C" w:rsidRPr="003D1F8C" w:rsidRDefault="00203529" w:rsidP="00167887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D31FC9" w:rsidRPr="003D1F8C">
        <w:rPr>
          <w:sz w:val="22"/>
          <w:szCs w:val="22"/>
        </w:rPr>
        <w:t xml:space="preserve">Per quanto riguarda il sangue, sottolinea </w:t>
      </w:r>
      <w:r w:rsidR="0012358C">
        <w:rPr>
          <w:b/>
          <w:sz w:val="22"/>
          <w:szCs w:val="22"/>
        </w:rPr>
        <w:t>il D</w:t>
      </w:r>
      <w:r w:rsidR="00BE34D5">
        <w:rPr>
          <w:b/>
          <w:sz w:val="22"/>
          <w:szCs w:val="22"/>
        </w:rPr>
        <w:t>irettore del CNS</w:t>
      </w:r>
      <w:r w:rsidR="00D31FC9" w:rsidRPr="005623BE">
        <w:rPr>
          <w:b/>
          <w:sz w:val="22"/>
          <w:szCs w:val="22"/>
        </w:rPr>
        <w:t xml:space="preserve"> Giancarlo Maria </w:t>
      </w:r>
      <w:proofErr w:type="spellStart"/>
      <w:r w:rsidR="00D31FC9" w:rsidRPr="005623BE">
        <w:rPr>
          <w:b/>
          <w:sz w:val="22"/>
          <w:szCs w:val="22"/>
        </w:rPr>
        <w:t>Liumbruno</w:t>
      </w:r>
      <w:proofErr w:type="spellEnd"/>
      <w:r w:rsidR="00D31FC9" w:rsidRPr="003D1F8C">
        <w:rPr>
          <w:sz w:val="22"/>
          <w:szCs w:val="22"/>
        </w:rPr>
        <w:t xml:space="preserve">, l’Italia è autosufficiente, grazie alla compensazione tra </w:t>
      </w:r>
      <w:r w:rsidR="00BE34D5">
        <w:rPr>
          <w:sz w:val="22"/>
          <w:szCs w:val="22"/>
        </w:rPr>
        <w:t>R</w:t>
      </w:r>
      <w:r>
        <w:rPr>
          <w:sz w:val="22"/>
          <w:szCs w:val="22"/>
        </w:rPr>
        <w:t xml:space="preserve">egioni. </w:t>
      </w:r>
      <w:r w:rsidR="00D31FC9" w:rsidRPr="003D1F8C">
        <w:rPr>
          <w:sz w:val="22"/>
          <w:szCs w:val="22"/>
        </w:rPr>
        <w:t>Viviamo in una situazione di sostan</w:t>
      </w:r>
      <w:r w:rsidR="0012358C">
        <w:rPr>
          <w:sz w:val="22"/>
          <w:szCs w:val="22"/>
        </w:rPr>
        <w:t>ziale equilibrio, ma in alcune R</w:t>
      </w:r>
      <w:r w:rsidR="00D31FC9" w:rsidRPr="003D1F8C">
        <w:rPr>
          <w:sz w:val="22"/>
          <w:szCs w:val="22"/>
        </w:rPr>
        <w:t xml:space="preserve">egioni periodicamente è necessario ricorrere al sistema della </w:t>
      </w:r>
      <w:r w:rsidR="003D1F8C" w:rsidRPr="003D1F8C">
        <w:rPr>
          <w:sz w:val="22"/>
          <w:szCs w:val="22"/>
        </w:rPr>
        <w:t>compensazione</w:t>
      </w:r>
      <w:r w:rsidR="002C5626">
        <w:rPr>
          <w:sz w:val="22"/>
          <w:szCs w:val="22"/>
        </w:rPr>
        <w:t xml:space="preserve">. </w:t>
      </w:r>
      <w:r w:rsidR="002C5626">
        <w:t>E’ importante che tutte le Regioni cerchino di contribuire il più possibile al sistema di compensazione nazionale</w:t>
      </w:r>
      <w:r w:rsidR="003D1F8C" w:rsidRPr="003D1F8C">
        <w:rPr>
          <w:sz w:val="22"/>
          <w:szCs w:val="22"/>
        </w:rPr>
        <w:t xml:space="preserve"> e che garantiscano una organizzazione della rete regionale di medicina trasfusionale tale da mantenere costanti i livelli di raccolta di plasma e sangue anche durante i primi mesi dell’anno o quelli estivi e conseguire gli obiettivi di raccolta del </w:t>
      </w:r>
      <w:r w:rsidR="003D1F8C" w:rsidRPr="003D1F8C">
        <w:rPr>
          <w:sz w:val="22"/>
          <w:szCs w:val="22"/>
        </w:rPr>
        <w:lastRenderedPageBreak/>
        <w:t xml:space="preserve">plasma e del sangue contenuti nel programma nazionale di autosufficienza, </w:t>
      </w:r>
      <w:r w:rsidR="00B73EE0">
        <w:rPr>
          <w:sz w:val="22"/>
          <w:szCs w:val="22"/>
        </w:rPr>
        <w:t>che dalle Regioni è stato condiviso</w:t>
      </w:r>
      <w:r w:rsidR="003D1F8C" w:rsidRPr="003D1F8C">
        <w:rPr>
          <w:sz w:val="22"/>
          <w:szCs w:val="22"/>
        </w:rPr>
        <w:t>. Anche sulla raccolta del plasma, per cui non siamo autosufficienti, occorre uno sforzo organizzativo delle istituzioni regionali per garantire questa risorsa strategica</w:t>
      </w:r>
      <w:r w:rsidR="003D1F8C" w:rsidRPr="00B73EE0">
        <w:rPr>
          <w:sz w:val="22"/>
          <w:szCs w:val="22"/>
        </w:rPr>
        <w:t>. Lo sforzo organizzativo dovrebbe avere anche il</w:t>
      </w:r>
      <w:r w:rsidR="00167887">
        <w:rPr>
          <w:sz w:val="22"/>
          <w:szCs w:val="22"/>
        </w:rPr>
        <w:t xml:space="preserve"> </w:t>
      </w:r>
      <w:r w:rsidR="003D1F8C" w:rsidRPr="003D1F8C">
        <w:rPr>
          <w:sz w:val="22"/>
          <w:szCs w:val="22"/>
        </w:rPr>
        <w:t>fine di reperire le risorse necessarie ad ampliare gli orari e i giorni di apertura delle strutture trasfusionali, in modo da favorire con la massima flessibilità l’accesso dei donatori di plasma e sangue".</w:t>
      </w:r>
    </w:p>
    <w:p w:rsidR="00D31FC9" w:rsidRPr="003D1F8C" w:rsidRDefault="00D31FC9" w:rsidP="00167887">
      <w:pPr>
        <w:jc w:val="both"/>
        <w:rPr>
          <w:sz w:val="22"/>
          <w:szCs w:val="22"/>
        </w:rPr>
      </w:pPr>
    </w:p>
    <w:p w:rsidR="00D31FC9" w:rsidRPr="003D1F8C" w:rsidRDefault="00D31FC9" w:rsidP="00167887">
      <w:pPr>
        <w:jc w:val="both"/>
        <w:rPr>
          <w:b/>
          <w:sz w:val="22"/>
          <w:szCs w:val="22"/>
        </w:rPr>
      </w:pPr>
      <w:r w:rsidRPr="003D1F8C">
        <w:rPr>
          <w:b/>
          <w:sz w:val="22"/>
          <w:szCs w:val="22"/>
        </w:rPr>
        <w:t>La campagna</w:t>
      </w:r>
    </w:p>
    <w:p w:rsidR="00D31FC9" w:rsidRPr="003D1F8C" w:rsidRDefault="00D31FC9" w:rsidP="00167887">
      <w:pPr>
        <w:jc w:val="both"/>
        <w:rPr>
          <w:sz w:val="22"/>
          <w:szCs w:val="22"/>
        </w:rPr>
      </w:pPr>
      <w:r w:rsidRPr="003D1F8C">
        <w:rPr>
          <w:sz w:val="22"/>
          <w:szCs w:val="22"/>
        </w:rPr>
        <w:t>Quest’anno in</w:t>
      </w:r>
      <w:r w:rsidR="00C277CE">
        <w:rPr>
          <w:sz w:val="22"/>
          <w:szCs w:val="22"/>
        </w:rPr>
        <w:t xml:space="preserve"> occasione della giornata il CNS</w:t>
      </w:r>
      <w:r w:rsidRPr="003D1F8C">
        <w:rPr>
          <w:sz w:val="22"/>
          <w:szCs w:val="22"/>
        </w:rPr>
        <w:t xml:space="preserve"> e il C</w:t>
      </w:r>
      <w:r w:rsidR="00C277CE">
        <w:rPr>
          <w:sz w:val="22"/>
          <w:szCs w:val="22"/>
        </w:rPr>
        <w:t>IVIS</w:t>
      </w:r>
      <w:r w:rsidRPr="003D1F8C">
        <w:rPr>
          <w:sz w:val="22"/>
          <w:szCs w:val="22"/>
        </w:rPr>
        <w:t xml:space="preserve">, il coordinamento delle associazioni e federazioni dei donatori di sangue, che riunisce Avis, </w:t>
      </w:r>
      <w:proofErr w:type="spellStart"/>
      <w:r w:rsidRPr="003D1F8C">
        <w:rPr>
          <w:sz w:val="22"/>
          <w:szCs w:val="22"/>
        </w:rPr>
        <w:t>Fidas</w:t>
      </w:r>
      <w:proofErr w:type="spellEnd"/>
      <w:r w:rsidRPr="003D1F8C">
        <w:rPr>
          <w:sz w:val="22"/>
          <w:szCs w:val="22"/>
        </w:rPr>
        <w:t xml:space="preserve">, </w:t>
      </w:r>
      <w:proofErr w:type="spellStart"/>
      <w:r w:rsidRPr="003D1F8C">
        <w:rPr>
          <w:sz w:val="22"/>
          <w:szCs w:val="22"/>
        </w:rPr>
        <w:t>Fratres</w:t>
      </w:r>
      <w:proofErr w:type="spellEnd"/>
      <w:r w:rsidRPr="003D1F8C">
        <w:rPr>
          <w:sz w:val="22"/>
          <w:szCs w:val="22"/>
        </w:rPr>
        <w:t xml:space="preserve"> e Croce Rossa, hanno organizzato una campagna, che </w:t>
      </w:r>
      <w:r w:rsidR="00167887">
        <w:rPr>
          <w:sz w:val="22"/>
          <w:szCs w:val="22"/>
        </w:rPr>
        <w:t xml:space="preserve">riprende quella dell’Oms, </w:t>
      </w:r>
      <w:r w:rsidRPr="003D1F8C">
        <w:rPr>
          <w:sz w:val="22"/>
          <w:szCs w:val="22"/>
        </w:rPr>
        <w:t xml:space="preserve">intitolata quindi ‘Be </w:t>
      </w:r>
      <w:proofErr w:type="spellStart"/>
      <w:r w:rsidRPr="003D1F8C">
        <w:rPr>
          <w:sz w:val="22"/>
          <w:szCs w:val="22"/>
        </w:rPr>
        <w:t>there</w:t>
      </w:r>
      <w:proofErr w:type="spellEnd"/>
      <w:r w:rsidRPr="003D1F8C">
        <w:rPr>
          <w:sz w:val="22"/>
          <w:szCs w:val="22"/>
        </w:rPr>
        <w:t xml:space="preserve"> for </w:t>
      </w:r>
      <w:proofErr w:type="spellStart"/>
      <w:r w:rsidRPr="003D1F8C">
        <w:rPr>
          <w:sz w:val="22"/>
          <w:szCs w:val="22"/>
        </w:rPr>
        <w:t>someone</w:t>
      </w:r>
      <w:proofErr w:type="spellEnd"/>
      <w:r w:rsidRPr="003D1F8C">
        <w:rPr>
          <w:sz w:val="22"/>
          <w:szCs w:val="22"/>
        </w:rPr>
        <w:t xml:space="preserve"> else’, diretta in maniera particolare alla sensibilizzazione dei giovani sul tema della donazione. L’iniziativa prevede</w:t>
      </w:r>
      <w:r w:rsidR="00BE34D5">
        <w:rPr>
          <w:sz w:val="22"/>
          <w:szCs w:val="22"/>
        </w:rPr>
        <w:t xml:space="preserve"> una pagina web sul sito del CNS</w:t>
      </w:r>
      <w:r w:rsidR="005623BE">
        <w:rPr>
          <w:sz w:val="22"/>
          <w:szCs w:val="22"/>
        </w:rPr>
        <w:t xml:space="preserve"> </w:t>
      </w:r>
      <w:r w:rsidR="005623BE" w:rsidRPr="005623BE">
        <w:rPr>
          <w:b/>
          <w:sz w:val="22"/>
          <w:szCs w:val="22"/>
        </w:rPr>
        <w:t>(www.centronazionalesangue.it/wbdd2018)</w:t>
      </w:r>
      <w:r w:rsidRPr="003D1F8C">
        <w:rPr>
          <w:sz w:val="22"/>
          <w:szCs w:val="22"/>
        </w:rPr>
        <w:t xml:space="preserve"> che verrà messa on line il 14 giugno che raccoglie video di testimonianza raccolti sia tra i pazienti che tra i donatori, iniziative</w:t>
      </w:r>
      <w:r w:rsidR="003D1F8C" w:rsidRPr="003D1F8C">
        <w:rPr>
          <w:sz w:val="22"/>
          <w:szCs w:val="22"/>
        </w:rPr>
        <w:t xml:space="preserve"> specifiche e contributi di personaggi famosi del mondo dello spettacolo e dello sport</w:t>
      </w:r>
      <w:r w:rsidRPr="003D1F8C">
        <w:rPr>
          <w:sz w:val="22"/>
          <w:szCs w:val="22"/>
        </w:rPr>
        <w:t xml:space="preserve">. Il materiale verrà anche rilanciato sui diversi social network. Fa parte della campagna anche una conferenza internazionale sulla donazione di plasma prevista per il 15 giugno in collaborazione con </w:t>
      </w:r>
      <w:proofErr w:type="spellStart"/>
      <w:r w:rsidRPr="003D1F8C">
        <w:rPr>
          <w:sz w:val="22"/>
          <w:szCs w:val="22"/>
        </w:rPr>
        <w:t>Fiods</w:t>
      </w:r>
      <w:proofErr w:type="spellEnd"/>
      <w:r w:rsidRPr="003D1F8C">
        <w:rPr>
          <w:sz w:val="22"/>
          <w:szCs w:val="22"/>
        </w:rPr>
        <w:t>, la federazione internazionale dei donatori di sangue.</w:t>
      </w:r>
    </w:p>
    <w:p w:rsidR="00D31FC9" w:rsidRPr="00B73EE0" w:rsidRDefault="00167887" w:rsidP="00EA21BF">
      <w:pPr>
        <w:jc w:val="both"/>
        <w:rPr>
          <w:sz w:val="22"/>
          <w:szCs w:val="22"/>
        </w:rPr>
      </w:pPr>
      <w:r w:rsidRPr="00B73EE0">
        <w:rPr>
          <w:sz w:val="22"/>
          <w:szCs w:val="22"/>
        </w:rPr>
        <w:t>“</w:t>
      </w:r>
      <w:r w:rsidR="00EA21BF" w:rsidRPr="00B73EE0">
        <w:rPr>
          <w:sz w:val="22"/>
          <w:szCs w:val="22"/>
        </w:rPr>
        <w:t>La donazione di sangue ed emocomponenti è un atto volontario, anonimo e responsabile: per questo in occasione del 14 giugno vogliamo innanzitutto dire grazie al milione e 680mila donatori che tendono il proprio braccio a favore di quanti necessitano di ter</w:t>
      </w:r>
      <w:r w:rsidR="00BE34D5">
        <w:rPr>
          <w:sz w:val="22"/>
          <w:szCs w:val="22"/>
        </w:rPr>
        <w:t>apie trasfusionali -</w:t>
      </w:r>
      <w:r w:rsidR="00EA21BF" w:rsidRPr="00B73EE0">
        <w:rPr>
          <w:sz w:val="22"/>
          <w:szCs w:val="22"/>
        </w:rPr>
        <w:t xml:space="preserve"> ricorda </w:t>
      </w:r>
      <w:r w:rsidR="00EA21BF" w:rsidRPr="005623BE">
        <w:rPr>
          <w:b/>
          <w:sz w:val="22"/>
          <w:szCs w:val="22"/>
        </w:rPr>
        <w:t xml:space="preserve">Aldo Ozino </w:t>
      </w:r>
      <w:proofErr w:type="spellStart"/>
      <w:r w:rsidR="00EA21BF" w:rsidRPr="005623BE">
        <w:rPr>
          <w:b/>
          <w:sz w:val="22"/>
          <w:szCs w:val="22"/>
        </w:rPr>
        <w:t>Caligaris</w:t>
      </w:r>
      <w:proofErr w:type="spellEnd"/>
      <w:r w:rsidR="00EA21BF" w:rsidRPr="005623BE">
        <w:rPr>
          <w:b/>
          <w:sz w:val="22"/>
          <w:szCs w:val="22"/>
        </w:rPr>
        <w:t>,</w:t>
      </w:r>
      <w:r w:rsidR="00C277CE" w:rsidRPr="005623BE">
        <w:rPr>
          <w:b/>
          <w:sz w:val="22"/>
          <w:szCs w:val="22"/>
        </w:rPr>
        <w:t xml:space="preserve"> portavoce protempore del </w:t>
      </w:r>
      <w:proofErr w:type="spellStart"/>
      <w:r w:rsidR="00C277CE" w:rsidRPr="005623BE">
        <w:rPr>
          <w:b/>
          <w:sz w:val="22"/>
          <w:szCs w:val="22"/>
        </w:rPr>
        <w:t>Civis</w:t>
      </w:r>
      <w:proofErr w:type="spellEnd"/>
      <w:r w:rsidR="00EA21BF" w:rsidRPr="00B73EE0">
        <w:rPr>
          <w:sz w:val="22"/>
          <w:szCs w:val="22"/>
        </w:rPr>
        <w:t xml:space="preserve"> - Al tempo stesso, tuttavia, è necessario continuare nell’attività di sensibilizzazione delle nuove generazioni affinché sperimentino l’importanza di questo gesto </w:t>
      </w:r>
      <w:r w:rsidR="00C277CE" w:rsidRPr="00B73EE0">
        <w:rPr>
          <w:sz w:val="22"/>
          <w:szCs w:val="22"/>
        </w:rPr>
        <w:t xml:space="preserve">etico e </w:t>
      </w:r>
      <w:r w:rsidR="00EA21BF" w:rsidRPr="00B73EE0">
        <w:rPr>
          <w:sz w:val="22"/>
          <w:szCs w:val="22"/>
        </w:rPr>
        <w:t>solidaristico a favore degli altri e di se stessi in quanto contribuisce a tenere sotto controllo il proprio stato di salute e a perse</w:t>
      </w:r>
      <w:r w:rsidR="00BE34D5">
        <w:rPr>
          <w:sz w:val="22"/>
          <w:szCs w:val="22"/>
        </w:rPr>
        <w:t>guire corretti stili di vita”.</w:t>
      </w:r>
    </w:p>
    <w:p w:rsidR="00D31FC9" w:rsidRPr="003D1F8C" w:rsidRDefault="00D31FC9" w:rsidP="00167887">
      <w:pPr>
        <w:jc w:val="both"/>
        <w:rPr>
          <w:b/>
          <w:sz w:val="22"/>
          <w:szCs w:val="22"/>
        </w:rPr>
      </w:pPr>
      <w:r w:rsidRPr="003D1F8C">
        <w:rPr>
          <w:b/>
          <w:sz w:val="22"/>
          <w:szCs w:val="22"/>
        </w:rPr>
        <w:t>Lo spot</w:t>
      </w:r>
    </w:p>
    <w:p w:rsidR="00D31FC9" w:rsidRDefault="00D31FC9" w:rsidP="00167887">
      <w:pPr>
        <w:jc w:val="both"/>
        <w:rPr>
          <w:rFonts w:ascii="Calibri" w:eastAsia="Calibri" w:hAnsi="Calibri" w:cs="Calibri"/>
          <w:sz w:val="22"/>
          <w:szCs w:val="22"/>
        </w:rPr>
      </w:pPr>
      <w:r w:rsidRPr="003D1F8C">
        <w:rPr>
          <w:sz w:val="22"/>
          <w:szCs w:val="22"/>
        </w:rPr>
        <w:t>Su iniziativa della Presidenza del Consiglio dei Ministri – Dipart</w:t>
      </w:r>
      <w:r w:rsidR="00167887">
        <w:rPr>
          <w:sz w:val="22"/>
          <w:szCs w:val="22"/>
        </w:rPr>
        <w:t xml:space="preserve">imento informazione e editoria </w:t>
      </w:r>
      <w:r w:rsidRPr="003D1F8C">
        <w:rPr>
          <w:sz w:val="22"/>
          <w:szCs w:val="22"/>
        </w:rPr>
        <w:t>verrà riprogrammato sulle reti RAI lo spot sulla donazione del sangue realizzato dal Dipartimento nel 2015 a firma congiunta Presidenza del Consiglio e Ministero della Salute.</w:t>
      </w:r>
    </w:p>
    <w:p w:rsidR="00154AED" w:rsidRDefault="00154AED" w:rsidP="0016788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54AED" w:rsidRDefault="00154AED" w:rsidP="00167887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154AED">
        <w:rPr>
          <w:rFonts w:ascii="Calibri" w:eastAsia="Calibri" w:hAnsi="Calibri" w:cs="Calibri"/>
          <w:b/>
          <w:sz w:val="22"/>
          <w:szCs w:val="22"/>
        </w:rPr>
        <w:t>Due nuovi strumenti contro le carenze</w:t>
      </w:r>
    </w:p>
    <w:p w:rsidR="00154AED" w:rsidRPr="003D1F8C" w:rsidRDefault="00154AED" w:rsidP="00167887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Due innovazioni appena introdotte potrebbero aiutare le Regioni a far fronte alle carenze ‘periodiche’ che si verificano nei mesi estivi e in quel</w:t>
      </w:r>
      <w:r w:rsidR="00BE34D5">
        <w:rPr>
          <w:rFonts w:ascii="Calibri" w:eastAsia="Calibri" w:hAnsi="Calibri" w:cs="Calibri"/>
          <w:sz w:val="22"/>
          <w:szCs w:val="22"/>
        </w:rPr>
        <w:t>li di picco dell’influenza. Il M</w:t>
      </w:r>
      <w:r>
        <w:rPr>
          <w:rFonts w:ascii="Calibri" w:eastAsia="Calibri" w:hAnsi="Calibri" w:cs="Calibri"/>
          <w:sz w:val="22"/>
          <w:szCs w:val="22"/>
        </w:rPr>
        <w:t xml:space="preserve">inistero della Salute ha inserito per la prima volta i donatori di sangue tra le categorie per cui è possibile offrire gratuitamente il vaccino antinfluenzale, e una raccomandazione del Centro Nazionale Sangue dà la possibilità a tutte le Regioni di non sospendere i donatori che provengono da aree dove è presente il virus West </w:t>
      </w:r>
      <w:proofErr w:type="spellStart"/>
      <w:r>
        <w:rPr>
          <w:rFonts w:ascii="Calibri" w:eastAsia="Calibri" w:hAnsi="Calibri" w:cs="Calibri"/>
          <w:sz w:val="22"/>
          <w:szCs w:val="22"/>
        </w:rPr>
        <w:t>Nile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 di fare loro il test per scoprirne l’eventuale presenza.</w:t>
      </w:r>
    </w:p>
    <w:p w:rsidR="003D1F8C" w:rsidRDefault="003D1F8C" w:rsidP="00167887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146D" w:rsidRPr="003D1F8C" w:rsidRDefault="00C7146D" w:rsidP="00D31FC9">
      <w:pPr>
        <w:jc w:val="center"/>
        <w:rPr>
          <w:sz w:val="22"/>
          <w:szCs w:val="22"/>
        </w:rPr>
      </w:pPr>
    </w:p>
    <w:p w:rsidR="00674EC5" w:rsidRPr="003D1F8C" w:rsidRDefault="00674EC5" w:rsidP="00674EC5">
      <w:pPr>
        <w:rPr>
          <w:b/>
          <w:sz w:val="22"/>
          <w:szCs w:val="22"/>
        </w:rPr>
      </w:pPr>
      <w:r w:rsidRPr="003D1F8C">
        <w:rPr>
          <w:b/>
          <w:sz w:val="22"/>
          <w:szCs w:val="22"/>
        </w:rPr>
        <w:t>Altri dati</w:t>
      </w:r>
    </w:p>
    <w:p w:rsidR="00674EC5" w:rsidRPr="003D1F8C" w:rsidRDefault="00674EC5" w:rsidP="00674EC5">
      <w:pPr>
        <w:rPr>
          <w:sz w:val="22"/>
          <w:szCs w:val="22"/>
        </w:rPr>
      </w:pPr>
      <w:r w:rsidRPr="003D1F8C">
        <w:rPr>
          <w:sz w:val="22"/>
          <w:szCs w:val="22"/>
        </w:rPr>
        <w:t>Dal grafico si vede l’aumento negli anni dei donatori nelle fasce più avanti con l’età, mentre calano quelli giovani</w:t>
      </w:r>
    </w:p>
    <w:p w:rsidR="00674EC5" w:rsidRDefault="006A29A8" w:rsidP="00674EC5">
      <w:pPr>
        <w:rPr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C9441" wp14:editId="41905845">
                <wp:simplePos x="0" y="0"/>
                <wp:positionH relativeFrom="column">
                  <wp:posOffset>2213610</wp:posOffset>
                </wp:positionH>
                <wp:positionV relativeFrom="paragraph">
                  <wp:posOffset>1677036</wp:posOffset>
                </wp:positionV>
                <wp:extent cx="360680" cy="18415"/>
                <wp:effectExtent l="19050" t="19050" r="20320" b="38735"/>
                <wp:wrapNone/>
                <wp:docPr id="7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680" cy="1841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46C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74.3pt;margin-top:132.05pt;width:28.4pt;height:1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" adj="21049" fillcolor="#4f81bd" strokecolor="red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ABF0" wp14:editId="0F9FD2A8">
                <wp:simplePos x="0" y="0"/>
                <wp:positionH relativeFrom="column">
                  <wp:posOffset>26670</wp:posOffset>
                </wp:positionH>
                <wp:positionV relativeFrom="paragraph">
                  <wp:posOffset>1508760</wp:posOffset>
                </wp:positionV>
                <wp:extent cx="350520" cy="170180"/>
                <wp:effectExtent l="0" t="0" r="11430" b="20320"/>
                <wp:wrapNone/>
                <wp:docPr id="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70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79CE1" id="Rettangolo 1" o:spid="_x0000_s1026" style="position:absolute;margin-left:2.1pt;margin-top:118.8pt;width:27.6pt;height:1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" filled="f" strokecolor="red" strokeweight="2pt"/>
            </w:pict>
          </mc:Fallback>
        </mc:AlternateContent>
      </w:r>
      <w:r w:rsidR="00674EC5" w:rsidRPr="003D1F8C">
        <w:rPr>
          <w:b/>
          <w:noProof/>
          <w:sz w:val="22"/>
          <w:szCs w:val="22"/>
          <w:lang w:eastAsia="it-IT"/>
        </w:rPr>
        <w:drawing>
          <wp:inline distT="0" distB="0" distL="0" distR="0" wp14:anchorId="016140EA" wp14:editId="0B04083C">
            <wp:extent cx="4695338" cy="2288127"/>
            <wp:effectExtent l="0" t="0" r="10160" b="1714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1C08" w:rsidRPr="003D1F8C" w:rsidRDefault="00451C08" w:rsidP="00674EC5">
      <w:pPr>
        <w:rPr>
          <w:b/>
          <w:sz w:val="22"/>
          <w:szCs w:val="22"/>
        </w:rPr>
      </w:pPr>
    </w:p>
    <w:p w:rsidR="00674EC5" w:rsidRPr="003D1F8C" w:rsidRDefault="00674EC5" w:rsidP="00674EC5">
      <w:pPr>
        <w:rPr>
          <w:sz w:val="22"/>
          <w:szCs w:val="22"/>
        </w:rPr>
      </w:pPr>
      <w:r w:rsidRPr="003D1F8C">
        <w:rPr>
          <w:sz w:val="22"/>
          <w:szCs w:val="22"/>
        </w:rPr>
        <w:t>I donatori regione per regione</w:t>
      </w:r>
    </w:p>
    <w:p w:rsidR="00674EC5" w:rsidRPr="00674EC5" w:rsidRDefault="00674EC5" w:rsidP="00674EC5">
      <w:pPr>
        <w:rPr>
          <w:b/>
        </w:rPr>
      </w:pPr>
      <w:r w:rsidRPr="00674EC5">
        <w:rPr>
          <w:b/>
          <w:noProof/>
          <w:lang w:eastAsia="it-IT"/>
        </w:rPr>
        <w:drawing>
          <wp:inline distT="0" distB="0" distL="0" distR="0" wp14:anchorId="6C7FCDC2" wp14:editId="7E058109">
            <wp:extent cx="5873425" cy="2398705"/>
            <wp:effectExtent l="0" t="0" r="13335" b="2095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74EC5" w:rsidRPr="00674EC5">
      <w:head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D0" w:rsidRDefault="00D349D0">
      <w:pPr>
        <w:spacing w:before="0" w:after="0" w:line="240" w:lineRule="auto"/>
      </w:pPr>
      <w:r>
        <w:separator/>
      </w:r>
    </w:p>
  </w:endnote>
  <w:endnote w:type="continuationSeparator" w:id="0">
    <w:p w:rsidR="00D349D0" w:rsidRDefault="00D3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D0" w:rsidRDefault="00D349D0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49D0" w:rsidRDefault="00D3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73" w:rsidRDefault="005C20A4" w:rsidP="00F06873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3B1BFAE" wp14:editId="35136A0D">
          <wp:simplePos x="0" y="0"/>
          <wp:positionH relativeFrom="column">
            <wp:posOffset>4329430</wp:posOffset>
          </wp:positionH>
          <wp:positionV relativeFrom="paragraph">
            <wp:posOffset>-34621</wp:posOffset>
          </wp:positionV>
          <wp:extent cx="1788160" cy="38862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73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D84785" wp14:editId="383C8824">
          <wp:simplePos x="0" y="0"/>
          <wp:positionH relativeFrom="column">
            <wp:posOffset>-1445</wp:posOffset>
          </wp:positionH>
          <wp:positionV relativeFrom="paragraph">
            <wp:posOffset>-131340</wp:posOffset>
          </wp:positionV>
          <wp:extent cx="1801368" cy="576072"/>
          <wp:effectExtent l="0" t="0" r="889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S IS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66"/>
    <w:rsid w:val="00073F3D"/>
    <w:rsid w:val="000937A2"/>
    <w:rsid w:val="0012358C"/>
    <w:rsid w:val="0014156F"/>
    <w:rsid w:val="00141CD6"/>
    <w:rsid w:val="00154AED"/>
    <w:rsid w:val="00167887"/>
    <w:rsid w:val="001743C2"/>
    <w:rsid w:val="00203529"/>
    <w:rsid w:val="0021720F"/>
    <w:rsid w:val="0027537D"/>
    <w:rsid w:val="002C2FF4"/>
    <w:rsid w:val="002C5626"/>
    <w:rsid w:val="00351EE0"/>
    <w:rsid w:val="003775AD"/>
    <w:rsid w:val="003A1C25"/>
    <w:rsid w:val="003D1F8C"/>
    <w:rsid w:val="00451C08"/>
    <w:rsid w:val="004A445B"/>
    <w:rsid w:val="004E18E0"/>
    <w:rsid w:val="005623BE"/>
    <w:rsid w:val="005641D6"/>
    <w:rsid w:val="005C20A4"/>
    <w:rsid w:val="005D1466"/>
    <w:rsid w:val="00674EC5"/>
    <w:rsid w:val="0068687D"/>
    <w:rsid w:val="006A29A8"/>
    <w:rsid w:val="006C4BD2"/>
    <w:rsid w:val="007A201F"/>
    <w:rsid w:val="007A71BD"/>
    <w:rsid w:val="007D0386"/>
    <w:rsid w:val="008A63E3"/>
    <w:rsid w:val="00974D72"/>
    <w:rsid w:val="00981C8B"/>
    <w:rsid w:val="00A07864"/>
    <w:rsid w:val="00A26960"/>
    <w:rsid w:val="00A348F7"/>
    <w:rsid w:val="00A71A87"/>
    <w:rsid w:val="00B4662C"/>
    <w:rsid w:val="00B73EE0"/>
    <w:rsid w:val="00B7547B"/>
    <w:rsid w:val="00BD05FC"/>
    <w:rsid w:val="00BE34D5"/>
    <w:rsid w:val="00BF6480"/>
    <w:rsid w:val="00C20B5A"/>
    <w:rsid w:val="00C277CE"/>
    <w:rsid w:val="00C70782"/>
    <w:rsid w:val="00C7146D"/>
    <w:rsid w:val="00CA29D4"/>
    <w:rsid w:val="00CC759E"/>
    <w:rsid w:val="00D31FC9"/>
    <w:rsid w:val="00D349D0"/>
    <w:rsid w:val="00D564DC"/>
    <w:rsid w:val="00D73CD3"/>
    <w:rsid w:val="00D823C4"/>
    <w:rsid w:val="00D9280C"/>
    <w:rsid w:val="00EA21BF"/>
    <w:rsid w:val="00F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43E2FE8-567E-47FB-8EE9-47C7454E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7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68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8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687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687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687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687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687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687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687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873"/>
  </w:style>
  <w:style w:type="paragraph" w:styleId="Pidipagina">
    <w:name w:val="footer"/>
    <w:basedOn w:val="Normale"/>
    <w:link w:val="PidipaginaCarattere"/>
    <w:uiPriority w:val="99"/>
    <w:unhideWhenUsed/>
    <w:rsid w:val="00F06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87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68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87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687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687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687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687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687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687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687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06873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687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06873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687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687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F06873"/>
    <w:rPr>
      <w:b/>
      <w:bCs/>
    </w:rPr>
  </w:style>
  <w:style w:type="character" w:styleId="Enfasicorsivo">
    <w:name w:val="Emphasis"/>
    <w:uiPriority w:val="20"/>
    <w:qFormat/>
    <w:rsid w:val="00F06873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F06873"/>
    <w:pPr>
      <w:spacing w:before="0" w:after="0" w:line="240" w:lineRule="auto"/>
    </w:pPr>
  </w:style>
  <w:style w:type="paragraph" w:styleId="Paragrafoelenco">
    <w:name w:val="List Paragraph"/>
    <w:basedOn w:val="Normale"/>
    <w:uiPriority w:val="34"/>
    <w:qFormat/>
    <w:rsid w:val="00F0687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0687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687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687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687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F0687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F0687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F0687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F0687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F0687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06873"/>
    <w:pPr>
      <w:outlineLvl w:val="9"/>
    </w:pPr>
    <w:rPr>
      <w:lang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687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928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basedOn w:val="Carpredefinitoparagrafo"/>
    <w:rsid w:val="00B4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it-IT" sz="1400"/>
              <a:t>Donatori </a:t>
            </a:r>
            <a:r>
              <a:rPr lang="it-IT" sz="1400" u="sng"/>
              <a:t>totali</a:t>
            </a:r>
            <a:r>
              <a:rPr lang="it-IT" sz="1400" u="none"/>
              <a:t> </a:t>
            </a:r>
            <a:r>
              <a:rPr lang="it-IT" sz="1400"/>
              <a:t>per classi di età  2011-2017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7.7664447540016918E-2"/>
          <c:y val="0.10595684173619958"/>
          <c:w val="0.74854861288467323"/>
          <c:h val="0.804232538034008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Grafici!$B$3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Grafici!$C$3:$H$3</c:f>
              <c:numCache>
                <c:formatCode>General</c:formatCode>
                <c:ptCount val="6"/>
                <c:pt idx="0">
                  <c:v>213192</c:v>
                </c:pt>
                <c:pt idx="1">
                  <c:v>294919</c:v>
                </c:pt>
                <c:pt idx="2">
                  <c:v>437865</c:v>
                </c:pt>
                <c:pt idx="3">
                  <c:v>482952</c:v>
                </c:pt>
                <c:pt idx="4">
                  <c:v>234420</c:v>
                </c:pt>
                <c:pt idx="5">
                  <c:v>16798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16-4304-86CF-3406994D731E}"/>
            </c:ext>
          </c:extLst>
        </c:ser>
        <c:ser>
          <c:idx val="1"/>
          <c:order val="1"/>
          <c:tx>
            <c:strRef>
              <c:f>Grafici!$B$4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Grafici!$C$4:$H$4</c:f>
              <c:numCache>
                <c:formatCode>#,##0</c:formatCode>
                <c:ptCount val="6"/>
                <c:pt idx="0">
                  <c:v>222499</c:v>
                </c:pt>
                <c:pt idx="1">
                  <c:v>303075</c:v>
                </c:pt>
                <c:pt idx="2">
                  <c:v>456001</c:v>
                </c:pt>
                <c:pt idx="3">
                  <c:v>472237</c:v>
                </c:pt>
                <c:pt idx="4">
                  <c:v>220383</c:v>
                </c:pt>
                <c:pt idx="5">
                  <c:v>13432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16-4304-86CF-3406994D731E}"/>
            </c:ext>
          </c:extLst>
        </c:ser>
        <c:ser>
          <c:idx val="2"/>
          <c:order val="2"/>
          <c:tx>
            <c:strRef>
              <c:f>Grafici!$B$5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Grafici!$C$5:$H$5</c:f>
              <c:numCache>
                <c:formatCode>#,##0</c:formatCode>
                <c:ptCount val="6"/>
                <c:pt idx="0">
                  <c:v>230109</c:v>
                </c:pt>
                <c:pt idx="1">
                  <c:v>313968</c:v>
                </c:pt>
                <c:pt idx="2">
                  <c:v>474736</c:v>
                </c:pt>
                <c:pt idx="3">
                  <c:v>471053</c:v>
                </c:pt>
                <c:pt idx="4">
                  <c:v>215611</c:v>
                </c:pt>
                <c:pt idx="5">
                  <c:v>12043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16-4304-86CF-3406994D731E}"/>
            </c:ext>
          </c:extLst>
        </c:ser>
        <c:ser>
          <c:idx val="3"/>
          <c:order val="3"/>
          <c:tx>
            <c:strRef>
              <c:f>Grafici!$B$6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Grafici!$C$6:$H$6</c:f>
              <c:numCache>
                <c:formatCode>#,##0</c:formatCode>
                <c:ptCount val="6"/>
                <c:pt idx="0">
                  <c:v>231206</c:v>
                </c:pt>
                <c:pt idx="1">
                  <c:v>320507</c:v>
                </c:pt>
                <c:pt idx="2">
                  <c:v>485136</c:v>
                </c:pt>
                <c:pt idx="3">
                  <c:v>457345</c:v>
                </c:pt>
                <c:pt idx="4">
                  <c:v>206408</c:v>
                </c:pt>
                <c:pt idx="5">
                  <c:v>11854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16-4304-86CF-3406994D731E}"/>
            </c:ext>
          </c:extLst>
        </c:ser>
        <c:ser>
          <c:idx val="4"/>
          <c:order val="4"/>
          <c:tx>
            <c:strRef>
              <c:f>Grafici!$B$7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Grafici!$C$7:$H$7</c:f>
              <c:numCache>
                <c:formatCode>#,##0</c:formatCode>
                <c:ptCount val="6"/>
                <c:pt idx="0">
                  <c:v>237046</c:v>
                </c:pt>
                <c:pt idx="1">
                  <c:v>333065</c:v>
                </c:pt>
                <c:pt idx="2">
                  <c:v>502794</c:v>
                </c:pt>
                <c:pt idx="3">
                  <c:v>448858</c:v>
                </c:pt>
                <c:pt idx="4">
                  <c:v>201697</c:v>
                </c:pt>
                <c:pt idx="5">
                  <c:v>11209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716-4304-86CF-3406994D731E}"/>
            </c:ext>
          </c:extLst>
        </c:ser>
        <c:ser>
          <c:idx val="5"/>
          <c:order val="5"/>
          <c:tx>
            <c:strRef>
              <c:f>Grafici!$B$8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Grafici!$C$8:$H$8</c:f>
              <c:numCache>
                <c:formatCode>#,##0</c:formatCode>
                <c:ptCount val="6"/>
                <c:pt idx="0">
                  <c:v>230933</c:v>
                </c:pt>
                <c:pt idx="1">
                  <c:v>341522</c:v>
                </c:pt>
                <c:pt idx="2">
                  <c:v>517055</c:v>
                </c:pt>
                <c:pt idx="3">
                  <c:v>438612</c:v>
                </c:pt>
                <c:pt idx="4">
                  <c:v>201837</c:v>
                </c:pt>
                <c:pt idx="5">
                  <c:v>9753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716-4304-86CF-3406994D731E}"/>
            </c:ext>
          </c:extLst>
        </c:ser>
        <c:ser>
          <c:idx val="6"/>
          <c:order val="6"/>
          <c:tx>
            <c:strRef>
              <c:f>Grafici!$B$9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Grafici!$C$2:$H$2</c:f>
              <c:strCache>
                <c:ptCount val="6"/>
                <c:pt idx="0">
                  <c:v>18-25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56-65</c:v>
                </c:pt>
                <c:pt idx="5">
                  <c:v>&gt;65</c:v>
                </c:pt>
              </c:strCache>
            </c:strRef>
          </c:cat>
          <c:val>
            <c:numRef>
              <c:f>Grafici!$C$9:$H$9</c:f>
              <c:numCache>
                <c:formatCode>#,##0</c:formatCode>
                <c:ptCount val="6"/>
                <c:pt idx="0">
                  <c:v>227991</c:v>
                </c:pt>
                <c:pt idx="1">
                  <c:v>348246</c:v>
                </c:pt>
                <c:pt idx="2">
                  <c:v>518199</c:v>
                </c:pt>
                <c:pt idx="3">
                  <c:v>424654</c:v>
                </c:pt>
                <c:pt idx="4">
                  <c:v>198480</c:v>
                </c:pt>
                <c:pt idx="5">
                  <c:v>9913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716-4304-86CF-3406994D73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084640"/>
        <c:axId val="169085200"/>
      </c:barChart>
      <c:catAx>
        <c:axId val="169084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9085200"/>
        <c:crosses val="autoZero"/>
        <c:auto val="1"/>
        <c:lblAlgn val="ctr"/>
        <c:lblOffset val="100"/>
        <c:noMultiLvlLbl val="0"/>
      </c:catAx>
      <c:valAx>
        <c:axId val="169085200"/>
        <c:scaling>
          <c:orientation val="minMax"/>
        </c:scaling>
        <c:delete val="0"/>
        <c:axPos val="b"/>
        <c:numFmt formatCode="#,##0" sourceLinked="0"/>
        <c:majorTickMark val="out"/>
        <c:minorTickMark val="none"/>
        <c:tickLblPos val="nextTo"/>
        <c:crossAx val="169084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Riepilogo_Donatori!$B$127</c:f>
              <c:strCache>
                <c:ptCount val="1"/>
                <c:pt idx="0">
                  <c:v>Donatori totali</c:v>
                </c:pt>
              </c:strCache>
            </c:strRef>
          </c:tx>
          <c:spPr>
            <a:solidFill>
              <a:srgbClr val="F21AD3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Riepilogo_Donatori!$A$128:$A$149</c:f>
              <c:strCache>
                <c:ptCount val="22"/>
                <c:pt idx="0">
                  <c:v>Valle d'Aosta</c:v>
                </c:pt>
                <c:pt idx="1">
                  <c:v>Piemonte</c:v>
                </c:pt>
                <c:pt idx="2">
                  <c:v>Liguria</c:v>
                </c:pt>
                <c:pt idx="3">
                  <c:v>Lombardia</c:v>
                </c:pt>
                <c:pt idx="4">
                  <c:v>PA di Trento</c:v>
                </c:pt>
                <c:pt idx="5">
                  <c:v>PA di Bolzano</c:v>
                </c:pt>
                <c:pt idx="6">
                  <c:v>FV Giulia</c:v>
                </c:pt>
                <c:pt idx="7">
                  <c:v>Veneto</c:v>
                </c:pt>
                <c:pt idx="8">
                  <c:v>Emilia Romagna</c:v>
                </c:pt>
                <c:pt idx="9">
                  <c:v>Toscana</c:v>
                </c:pt>
                <c:pt idx="10">
                  <c:v>Umbria</c:v>
                </c:pt>
                <c:pt idx="11">
                  <c:v>Marche</c:v>
                </c:pt>
                <c:pt idx="12">
                  <c:v>Lazio</c:v>
                </c:pt>
                <c:pt idx="13">
                  <c:v>Sardegna</c:v>
                </c:pt>
                <c:pt idx="14">
                  <c:v>Abruzzo</c:v>
                </c:pt>
                <c:pt idx="15">
                  <c:v>Campania</c:v>
                </c:pt>
                <c:pt idx="16">
                  <c:v>Molise</c:v>
                </c:pt>
                <c:pt idx="17">
                  <c:v>Puglia</c:v>
                </c:pt>
                <c:pt idx="18">
                  <c:v>Basilicata</c:v>
                </c:pt>
                <c:pt idx="19">
                  <c:v>Calabria</c:v>
                </c:pt>
                <c:pt idx="20">
                  <c:v>Sicilia</c:v>
                </c:pt>
                <c:pt idx="21">
                  <c:v>ITALIA</c:v>
                </c:pt>
              </c:strCache>
            </c:strRef>
          </c:cat>
          <c:val>
            <c:numRef>
              <c:f>Riepilogo_Donatori!$B$128:$B$149</c:f>
              <c:numCache>
                <c:formatCode>0.0</c:formatCode>
                <c:ptCount val="22"/>
                <c:pt idx="0">
                  <c:v>27.143116099083407</c:v>
                </c:pt>
                <c:pt idx="1">
                  <c:v>27.108319905220824</c:v>
                </c:pt>
                <c:pt idx="2">
                  <c:v>29.75199114295151</c:v>
                </c:pt>
                <c:pt idx="3">
                  <c:v>24.491559477106176</c:v>
                </c:pt>
                <c:pt idx="4">
                  <c:v>34.058417687206187</c:v>
                </c:pt>
                <c:pt idx="5">
                  <c:v>28.699719221143869</c:v>
                </c:pt>
                <c:pt idx="6">
                  <c:v>39.207732832350196</c:v>
                </c:pt>
                <c:pt idx="7">
                  <c:v>31.711274655738155</c:v>
                </c:pt>
                <c:pt idx="8">
                  <c:v>30.803303601994315</c:v>
                </c:pt>
                <c:pt idx="9">
                  <c:v>32.295266426662621</c:v>
                </c:pt>
                <c:pt idx="10">
                  <c:v>29.539614898279684</c:v>
                </c:pt>
                <c:pt idx="11">
                  <c:v>30.948828227859213</c:v>
                </c:pt>
                <c:pt idx="12">
                  <c:v>22.920169192780619</c:v>
                </c:pt>
                <c:pt idx="13">
                  <c:v>34.720697341717404</c:v>
                </c:pt>
                <c:pt idx="14">
                  <c:v>26.901932846132379</c:v>
                </c:pt>
                <c:pt idx="15">
                  <c:v>24.534841423757562</c:v>
                </c:pt>
                <c:pt idx="16">
                  <c:v>30.82954043981459</c:v>
                </c:pt>
                <c:pt idx="17">
                  <c:v>28.053922745902447</c:v>
                </c:pt>
                <c:pt idx="18">
                  <c:v>31.371139533456645</c:v>
                </c:pt>
                <c:pt idx="19">
                  <c:v>25.748449973742169</c:v>
                </c:pt>
                <c:pt idx="20">
                  <c:v>26.214635367628432</c:v>
                </c:pt>
                <c:pt idx="21">
                  <c:v>27.730011390597817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63-41CE-9F83-B410FD10D56E}"/>
            </c:ext>
          </c:extLst>
        </c:ser>
        <c:ser>
          <c:idx val="1"/>
          <c:order val="1"/>
          <c:tx>
            <c:strRef>
              <c:f>Riepilogo_Donatori!$C$127</c:f>
              <c:strCache>
                <c:ptCount val="1"/>
                <c:pt idx="0">
                  <c:v>Donatori periodici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Riepilogo_Donatori!$A$128:$A$149</c:f>
              <c:strCache>
                <c:ptCount val="22"/>
                <c:pt idx="0">
                  <c:v>Valle d'Aosta</c:v>
                </c:pt>
                <c:pt idx="1">
                  <c:v>Piemonte</c:v>
                </c:pt>
                <c:pt idx="2">
                  <c:v>Liguria</c:v>
                </c:pt>
                <c:pt idx="3">
                  <c:v>Lombardia</c:v>
                </c:pt>
                <c:pt idx="4">
                  <c:v>PA di Trento</c:v>
                </c:pt>
                <c:pt idx="5">
                  <c:v>PA di Bolzano</c:v>
                </c:pt>
                <c:pt idx="6">
                  <c:v>FV Giulia</c:v>
                </c:pt>
                <c:pt idx="7">
                  <c:v>Veneto</c:v>
                </c:pt>
                <c:pt idx="8">
                  <c:v>Emilia Romagna</c:v>
                </c:pt>
                <c:pt idx="9">
                  <c:v>Toscana</c:v>
                </c:pt>
                <c:pt idx="10">
                  <c:v>Umbria</c:v>
                </c:pt>
                <c:pt idx="11">
                  <c:v>Marche</c:v>
                </c:pt>
                <c:pt idx="12">
                  <c:v>Lazio</c:v>
                </c:pt>
                <c:pt idx="13">
                  <c:v>Sardegna</c:v>
                </c:pt>
                <c:pt idx="14">
                  <c:v>Abruzzo</c:v>
                </c:pt>
                <c:pt idx="15">
                  <c:v>Campania</c:v>
                </c:pt>
                <c:pt idx="16">
                  <c:v>Molise</c:v>
                </c:pt>
                <c:pt idx="17">
                  <c:v>Puglia</c:v>
                </c:pt>
                <c:pt idx="18">
                  <c:v>Basilicata</c:v>
                </c:pt>
                <c:pt idx="19">
                  <c:v>Calabria</c:v>
                </c:pt>
                <c:pt idx="20">
                  <c:v>Sicilia</c:v>
                </c:pt>
                <c:pt idx="21">
                  <c:v>ITALIA</c:v>
                </c:pt>
              </c:strCache>
            </c:strRef>
          </c:cat>
          <c:val>
            <c:numRef>
              <c:f>Riepilogo_Donatori!$C$128:$C$149</c:f>
              <c:numCache>
                <c:formatCode>0.0</c:formatCode>
                <c:ptCount val="22"/>
                <c:pt idx="0">
                  <c:v>25.204322092006024</c:v>
                </c:pt>
                <c:pt idx="1">
                  <c:v>24.590178862913959</c:v>
                </c:pt>
                <c:pt idx="2">
                  <c:v>24.150534048592384</c:v>
                </c:pt>
                <c:pt idx="3">
                  <c:v>22.11152105873882</c:v>
                </c:pt>
                <c:pt idx="4">
                  <c:v>31.416402403249879</c:v>
                </c:pt>
                <c:pt idx="5">
                  <c:v>27.070744063968746</c:v>
                </c:pt>
                <c:pt idx="6">
                  <c:v>31.585421128000313</c:v>
                </c:pt>
                <c:pt idx="7">
                  <c:v>29.186786262495851</c:v>
                </c:pt>
                <c:pt idx="8">
                  <c:v>28.387843035972743</c:v>
                </c:pt>
                <c:pt idx="9">
                  <c:v>28.231871371515403</c:v>
                </c:pt>
                <c:pt idx="10">
                  <c:v>25.940817272428642</c:v>
                </c:pt>
                <c:pt idx="11">
                  <c:v>28.249965053265324</c:v>
                </c:pt>
                <c:pt idx="12">
                  <c:v>14.737228311917484</c:v>
                </c:pt>
                <c:pt idx="13">
                  <c:v>23.734903683002294</c:v>
                </c:pt>
                <c:pt idx="14">
                  <c:v>24.489373014270406</c:v>
                </c:pt>
                <c:pt idx="15">
                  <c:v>10.735416719471752</c:v>
                </c:pt>
                <c:pt idx="16">
                  <c:v>25.875425593253642</c:v>
                </c:pt>
                <c:pt idx="17">
                  <c:v>21.691542680310086</c:v>
                </c:pt>
                <c:pt idx="18">
                  <c:v>26.230571651486329</c:v>
                </c:pt>
                <c:pt idx="19">
                  <c:v>20.743686925228282</c:v>
                </c:pt>
                <c:pt idx="20">
                  <c:v>23.79326513391004</c:v>
                </c:pt>
                <c:pt idx="21">
                  <c:v>22.705076767083774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63-41CE-9F83-B410FD10D56E}"/>
            </c:ext>
          </c:extLst>
        </c:ser>
        <c:ser>
          <c:idx val="2"/>
          <c:order val="2"/>
          <c:tx>
            <c:strRef>
              <c:f>Riepilogo_Donatori!$D$127</c:f>
              <c:strCache>
                <c:ptCount val="1"/>
                <c:pt idx="0">
                  <c:v>Donatori nuovi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Riepilogo_Donatori!$A$128:$A$149</c:f>
              <c:strCache>
                <c:ptCount val="22"/>
                <c:pt idx="0">
                  <c:v>Valle d'Aosta</c:v>
                </c:pt>
                <c:pt idx="1">
                  <c:v>Piemonte</c:v>
                </c:pt>
                <c:pt idx="2">
                  <c:v>Liguria</c:v>
                </c:pt>
                <c:pt idx="3">
                  <c:v>Lombardia</c:v>
                </c:pt>
                <c:pt idx="4">
                  <c:v>PA di Trento</c:v>
                </c:pt>
                <c:pt idx="5">
                  <c:v>PA di Bolzano</c:v>
                </c:pt>
                <c:pt idx="6">
                  <c:v>FV Giulia</c:v>
                </c:pt>
                <c:pt idx="7">
                  <c:v>Veneto</c:v>
                </c:pt>
                <c:pt idx="8">
                  <c:v>Emilia Romagna</c:v>
                </c:pt>
                <c:pt idx="9">
                  <c:v>Toscana</c:v>
                </c:pt>
                <c:pt idx="10">
                  <c:v>Umbria</c:v>
                </c:pt>
                <c:pt idx="11">
                  <c:v>Marche</c:v>
                </c:pt>
                <c:pt idx="12">
                  <c:v>Lazio</c:v>
                </c:pt>
                <c:pt idx="13">
                  <c:v>Sardegna</c:v>
                </c:pt>
                <c:pt idx="14">
                  <c:v>Abruzzo</c:v>
                </c:pt>
                <c:pt idx="15">
                  <c:v>Campania</c:v>
                </c:pt>
                <c:pt idx="16">
                  <c:v>Molise</c:v>
                </c:pt>
                <c:pt idx="17">
                  <c:v>Puglia</c:v>
                </c:pt>
                <c:pt idx="18">
                  <c:v>Basilicata</c:v>
                </c:pt>
                <c:pt idx="19">
                  <c:v>Calabria</c:v>
                </c:pt>
                <c:pt idx="20">
                  <c:v>Sicilia</c:v>
                </c:pt>
                <c:pt idx="21">
                  <c:v>ITALIA</c:v>
                </c:pt>
              </c:strCache>
            </c:strRef>
          </c:cat>
          <c:val>
            <c:numRef>
              <c:f>Riepilogo_Donatori!$D$128:$D$149</c:f>
              <c:numCache>
                <c:formatCode>0.0</c:formatCode>
                <c:ptCount val="22"/>
                <c:pt idx="0">
                  <c:v>3.3653050448050568</c:v>
                </c:pt>
                <c:pt idx="1">
                  <c:v>3.5225744821999916</c:v>
                </c:pt>
                <c:pt idx="2">
                  <c:v>6.9609348198148995</c:v>
                </c:pt>
                <c:pt idx="3">
                  <c:v>3.6706648038369658</c:v>
                </c:pt>
                <c:pt idx="4">
                  <c:v>3.5889076204409922</c:v>
                </c:pt>
                <c:pt idx="5">
                  <c:v>2.2393639748519805</c:v>
                </c:pt>
                <c:pt idx="6">
                  <c:v>9.1824099741187908</c:v>
                </c:pt>
                <c:pt idx="7">
                  <c:v>3.8830132231516101</c:v>
                </c:pt>
                <c:pt idx="8">
                  <c:v>3.7544609933238791</c:v>
                </c:pt>
                <c:pt idx="9">
                  <c:v>5.6187986598037591</c:v>
                </c:pt>
                <c:pt idx="10">
                  <c:v>4.5572770185441014</c:v>
                </c:pt>
                <c:pt idx="11">
                  <c:v>4.3392466459261865</c:v>
                </c:pt>
                <c:pt idx="12">
                  <c:v>9.8904329580049524</c:v>
                </c:pt>
                <c:pt idx="13">
                  <c:v>12.96869281698107</c:v>
                </c:pt>
                <c:pt idx="14">
                  <c:v>3.2331326900344641</c:v>
                </c:pt>
                <c:pt idx="15">
                  <c:v>14.617018696768193</c:v>
                </c:pt>
                <c:pt idx="16">
                  <c:v>6.1942541286974677</c:v>
                </c:pt>
                <c:pt idx="17">
                  <c:v>7.7782655427511784</c:v>
                </c:pt>
                <c:pt idx="18">
                  <c:v>6.4853208033452265</c:v>
                </c:pt>
                <c:pt idx="19">
                  <c:v>6.4728608009249262</c:v>
                </c:pt>
                <c:pt idx="20">
                  <c:v>3.9441202173537726</c:v>
                </c:pt>
                <c:pt idx="21">
                  <c:v>6.3610254228273586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63-41CE-9F83-B410FD10D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21120"/>
        <c:axId val="171121680"/>
      </c:barChart>
      <c:catAx>
        <c:axId val="17112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it-IT"/>
          </a:p>
        </c:txPr>
        <c:crossAx val="171121680"/>
        <c:crosses val="autoZero"/>
        <c:auto val="1"/>
        <c:lblAlgn val="ctr"/>
        <c:lblOffset val="100"/>
        <c:noMultiLvlLbl val="0"/>
      </c:catAx>
      <c:valAx>
        <c:axId val="1711216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Donatori/1,000 pop.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17112112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0.3952</cdr:x>
      <cdr:y>0.32345</cdr:y>
    </cdr:from>
    <cdr:to>
      <cdr:x>0.47212</cdr:x>
      <cdr:y>0.3317</cdr:y>
    </cdr:to>
    <cdr:sp macro="" textlink="">
      <cdr:nvSpPr>
        <cdr:cNvPr id="2" name="Freccia a destra 1"/>
        <cdr:cNvSpPr/>
      </cdr:nvSpPr>
      <cdr:spPr>
        <a:xfrm xmlns:a="http://schemas.openxmlformats.org/drawingml/2006/main">
          <a:off x="1855539" y="740023"/>
          <a:ext cx="361154" cy="18875"/>
        </a:xfrm>
        <a:prstGeom xmlns:a="http://schemas.openxmlformats.org/drawingml/2006/main" prst="rightArrow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  <cdr:relSizeAnchor xmlns:cdr="http://schemas.openxmlformats.org/drawingml/2006/chartDrawing">
    <cdr:from>
      <cdr:x>0.01392</cdr:x>
      <cdr:y>0.25153</cdr:y>
    </cdr:from>
    <cdr:to>
      <cdr:x>0.07746</cdr:x>
      <cdr:y>0.32593</cdr:y>
    </cdr:to>
    <cdr:sp macro="" textlink="">
      <cdr:nvSpPr>
        <cdr:cNvPr id="3" name="Rettangolo 2"/>
        <cdr:cNvSpPr/>
      </cdr:nvSpPr>
      <cdr:spPr>
        <a:xfrm xmlns:a="http://schemas.openxmlformats.org/drawingml/2006/main">
          <a:off x="65373" y="575485"/>
          <a:ext cx="298315" cy="1702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Malloni Pier David</dc:creator>
  <cp:lastModifiedBy>Gerolama Maria Ciancio</cp:lastModifiedBy>
  <cp:revision>6</cp:revision>
  <cp:lastPrinted>2018-05-29T13:24:00Z</cp:lastPrinted>
  <dcterms:created xsi:type="dcterms:W3CDTF">2018-06-12T07:53:00Z</dcterms:created>
  <dcterms:modified xsi:type="dcterms:W3CDTF">2018-06-12T10:09:00Z</dcterms:modified>
</cp:coreProperties>
</file>