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5F4" w:rsidRPr="006305F4" w:rsidRDefault="006305F4" w:rsidP="006305F4">
      <w:pPr>
        <w:shd w:val="clear" w:color="auto" w:fill="FFFFFF"/>
        <w:spacing w:after="0" w:line="240" w:lineRule="auto"/>
        <w:jc w:val="center"/>
        <w:rPr>
          <w:rFonts w:ascii="Arial" w:eastAsia="Times New Roman" w:hAnsi="Arial" w:cs="Arial"/>
          <w:b/>
          <w:bCs/>
          <w:color w:val="333333"/>
          <w:sz w:val="23"/>
          <w:szCs w:val="23"/>
          <w:lang w:eastAsia="it-IT"/>
        </w:rPr>
      </w:pPr>
      <w:r>
        <w:rPr>
          <w:rFonts w:ascii="Arial" w:eastAsia="Times New Roman" w:hAnsi="Arial" w:cs="Arial"/>
          <w:b/>
          <w:bCs/>
          <w:color w:val="333333"/>
          <w:sz w:val="23"/>
          <w:szCs w:val="23"/>
          <w:lang w:eastAsia="it-IT"/>
        </w:rPr>
        <w:t>C</w:t>
      </w:r>
      <w:r w:rsidRPr="006305F4">
        <w:rPr>
          <w:rFonts w:ascii="Arial" w:eastAsia="Times New Roman" w:hAnsi="Arial" w:cs="Arial"/>
          <w:b/>
          <w:bCs/>
          <w:color w:val="333333"/>
          <w:sz w:val="23"/>
          <w:szCs w:val="23"/>
          <w:lang w:eastAsia="it-IT"/>
        </w:rPr>
        <w:t>AMERA DEI DEPUTATI</w:t>
      </w:r>
    </w:p>
    <w:p w:rsidR="006305F4" w:rsidRPr="006305F4" w:rsidRDefault="006305F4" w:rsidP="006305F4">
      <w:pPr>
        <w:shd w:val="clear" w:color="auto" w:fill="FFFFFF"/>
        <w:spacing w:after="0" w:line="240" w:lineRule="auto"/>
        <w:rPr>
          <w:rFonts w:ascii="Arial" w:eastAsia="Times New Roman" w:hAnsi="Arial" w:cs="Arial"/>
          <w:color w:val="333333"/>
          <w:sz w:val="23"/>
          <w:szCs w:val="23"/>
          <w:lang w:eastAsia="it-IT"/>
        </w:rPr>
      </w:pPr>
      <w:r w:rsidRPr="006305F4">
        <w:rPr>
          <w:rFonts w:ascii="Arial" w:eastAsia="Times New Roman" w:hAnsi="Arial" w:cs="Arial"/>
          <w:b/>
          <w:bCs/>
          <w:color w:val="333333"/>
          <w:sz w:val="23"/>
          <w:szCs w:val="23"/>
          <w:lang w:eastAsia="it-IT"/>
        </w:rPr>
        <w:t>Giovedì 4 ottobre 2018</w:t>
      </w:r>
    </w:p>
    <w:p w:rsidR="006305F4" w:rsidRPr="006305F4" w:rsidRDefault="006305F4" w:rsidP="006305F4">
      <w:pPr>
        <w:shd w:val="clear" w:color="auto" w:fill="FFFFFF"/>
        <w:spacing w:after="0" w:line="240" w:lineRule="auto"/>
        <w:jc w:val="center"/>
        <w:rPr>
          <w:rFonts w:ascii="Arial" w:eastAsia="Times New Roman" w:hAnsi="Arial" w:cs="Arial"/>
          <w:b/>
          <w:bCs/>
          <w:color w:val="333333"/>
          <w:sz w:val="23"/>
          <w:szCs w:val="23"/>
          <w:lang w:eastAsia="it-IT"/>
        </w:rPr>
      </w:pPr>
      <w:r w:rsidRPr="006305F4">
        <w:rPr>
          <w:rFonts w:ascii="Arial" w:eastAsia="Times New Roman" w:hAnsi="Arial" w:cs="Arial"/>
          <w:b/>
          <w:bCs/>
          <w:color w:val="333333"/>
          <w:sz w:val="23"/>
          <w:szCs w:val="23"/>
          <w:lang w:eastAsia="it-IT"/>
        </w:rPr>
        <w:t>68.</w:t>
      </w:r>
    </w:p>
    <w:p w:rsidR="006305F4" w:rsidRPr="006305F4" w:rsidRDefault="006305F4" w:rsidP="006305F4">
      <w:pPr>
        <w:shd w:val="clear" w:color="auto" w:fill="FFFFFF"/>
        <w:spacing w:after="0" w:line="240" w:lineRule="auto"/>
        <w:jc w:val="center"/>
        <w:rPr>
          <w:rFonts w:ascii="Arial" w:eastAsia="Times New Roman" w:hAnsi="Arial" w:cs="Arial"/>
          <w:color w:val="333333"/>
          <w:sz w:val="23"/>
          <w:szCs w:val="23"/>
          <w:lang w:eastAsia="it-IT"/>
        </w:rPr>
      </w:pPr>
      <w:r w:rsidRPr="006305F4">
        <w:rPr>
          <w:rFonts w:ascii="Arial" w:eastAsia="Times New Roman" w:hAnsi="Arial" w:cs="Arial"/>
          <w:color w:val="333333"/>
          <w:sz w:val="23"/>
          <w:szCs w:val="23"/>
          <w:lang w:eastAsia="it-IT"/>
        </w:rPr>
        <w:t>XVIII LEGISLATURA</w:t>
      </w:r>
    </w:p>
    <w:p w:rsidR="006305F4" w:rsidRPr="006305F4" w:rsidRDefault="006305F4" w:rsidP="006305F4">
      <w:pPr>
        <w:shd w:val="clear" w:color="auto" w:fill="FFFFFF"/>
        <w:spacing w:after="0" w:line="240" w:lineRule="auto"/>
        <w:jc w:val="center"/>
        <w:rPr>
          <w:rFonts w:ascii="Arial" w:eastAsia="Times New Roman" w:hAnsi="Arial" w:cs="Arial"/>
          <w:b/>
          <w:bCs/>
          <w:color w:val="333333"/>
          <w:sz w:val="23"/>
          <w:szCs w:val="23"/>
          <w:lang w:eastAsia="it-IT"/>
        </w:rPr>
      </w:pPr>
      <w:r w:rsidRPr="006305F4">
        <w:rPr>
          <w:rFonts w:ascii="Arial" w:eastAsia="Times New Roman" w:hAnsi="Arial" w:cs="Arial"/>
          <w:b/>
          <w:bCs/>
          <w:color w:val="333333"/>
          <w:sz w:val="23"/>
          <w:szCs w:val="23"/>
          <w:lang w:eastAsia="it-IT"/>
        </w:rPr>
        <w:t>BOLLETTINO</w:t>
      </w:r>
      <w:r w:rsidRPr="006305F4">
        <w:rPr>
          <w:rFonts w:ascii="Arial" w:eastAsia="Times New Roman" w:hAnsi="Arial" w:cs="Arial"/>
          <w:b/>
          <w:bCs/>
          <w:color w:val="333333"/>
          <w:sz w:val="23"/>
          <w:szCs w:val="23"/>
          <w:lang w:eastAsia="it-IT"/>
        </w:rPr>
        <w:br/>
        <w:t>DELLE GIUNTE E DELLE COMMISSIONI PARLAMENTARI</w:t>
      </w:r>
    </w:p>
    <w:p w:rsidR="006305F4" w:rsidRPr="006305F4" w:rsidRDefault="006305F4" w:rsidP="006305F4">
      <w:pPr>
        <w:shd w:val="clear" w:color="auto" w:fill="FFFFFF"/>
        <w:spacing w:after="0" w:line="240" w:lineRule="auto"/>
        <w:jc w:val="center"/>
        <w:rPr>
          <w:rFonts w:ascii="Arial" w:eastAsia="Times New Roman" w:hAnsi="Arial" w:cs="Arial"/>
          <w:b/>
          <w:bCs/>
          <w:color w:val="333333"/>
          <w:sz w:val="23"/>
          <w:szCs w:val="23"/>
          <w:lang w:eastAsia="it-IT"/>
        </w:rPr>
      </w:pPr>
      <w:r w:rsidRPr="006305F4">
        <w:rPr>
          <w:rFonts w:ascii="Arial" w:eastAsia="Times New Roman" w:hAnsi="Arial" w:cs="Arial"/>
          <w:b/>
          <w:bCs/>
          <w:color w:val="333333"/>
          <w:sz w:val="23"/>
          <w:szCs w:val="23"/>
          <w:lang w:eastAsia="it-IT"/>
        </w:rPr>
        <w:t>Lavoro pubblico e privato (XI)</w:t>
      </w:r>
    </w:p>
    <w:p w:rsidR="006305F4" w:rsidRPr="006305F4" w:rsidRDefault="006305F4" w:rsidP="006305F4">
      <w:pPr>
        <w:shd w:val="clear" w:color="auto" w:fill="FFFFFF"/>
        <w:spacing w:after="0" w:line="240" w:lineRule="auto"/>
        <w:jc w:val="center"/>
        <w:rPr>
          <w:rFonts w:ascii="Arial" w:eastAsia="Times New Roman" w:hAnsi="Arial" w:cs="Arial"/>
          <w:b/>
          <w:bCs/>
          <w:color w:val="333333"/>
          <w:sz w:val="23"/>
          <w:szCs w:val="23"/>
          <w:lang w:eastAsia="it-IT"/>
        </w:rPr>
      </w:pPr>
      <w:r w:rsidRPr="006305F4">
        <w:rPr>
          <w:rFonts w:ascii="Arial" w:eastAsia="Times New Roman" w:hAnsi="Arial" w:cs="Arial"/>
          <w:b/>
          <w:bCs/>
          <w:color w:val="333333"/>
          <w:sz w:val="23"/>
          <w:szCs w:val="23"/>
          <w:lang w:eastAsia="it-IT"/>
        </w:rPr>
        <w:t>COMUNICATO</w:t>
      </w:r>
    </w:p>
    <w:p w:rsidR="005A2B53" w:rsidRPr="00BC4044" w:rsidRDefault="005A2B53" w:rsidP="005A2B53">
      <w:pPr>
        <w:pStyle w:val="sede"/>
        <w:shd w:val="clear" w:color="auto" w:fill="FFFFFF"/>
        <w:rPr>
          <w:rFonts w:ascii="Arial" w:hAnsi="Arial" w:cs="Arial"/>
          <w:color w:val="333333"/>
          <w:sz w:val="24"/>
          <w:szCs w:val="24"/>
        </w:rPr>
      </w:pPr>
      <w:r w:rsidRPr="00BC4044">
        <w:rPr>
          <w:rStyle w:val="Enfasigrassetto"/>
          <w:rFonts w:ascii="Arial" w:hAnsi="Arial" w:cs="Arial"/>
          <w:color w:val="333333"/>
          <w:sz w:val="24"/>
          <w:szCs w:val="24"/>
        </w:rPr>
        <w:t>ALLEGATO 7</w:t>
      </w:r>
    </w:p>
    <w:p w:rsidR="005A2B53" w:rsidRPr="00BC4044" w:rsidRDefault="005A2B53" w:rsidP="005A2B53">
      <w:pPr>
        <w:pStyle w:val="titolo"/>
        <w:shd w:val="clear" w:color="auto" w:fill="FFFFFF"/>
        <w:spacing w:before="0" w:beforeAutospacing="0" w:after="75" w:afterAutospacing="0"/>
        <w:ind w:left="300"/>
        <w:rPr>
          <w:rFonts w:ascii="Arial" w:hAnsi="Arial" w:cs="Arial"/>
          <w:color w:val="333333"/>
          <w:sz w:val="24"/>
          <w:szCs w:val="24"/>
        </w:rPr>
      </w:pPr>
      <w:r w:rsidRPr="00BC4044">
        <w:rPr>
          <w:rStyle w:val="Enfasigrassetto"/>
          <w:rFonts w:ascii="Arial" w:hAnsi="Arial" w:cs="Arial"/>
          <w:color w:val="333333"/>
          <w:sz w:val="24"/>
          <w:szCs w:val="24"/>
        </w:rPr>
        <w:t>5-00630 Polverini: Stipula delle convenzioni tra l'INPS e le organizzazioni sindacali dei medici di medicina generale per lo svolgimento degli accertamenti medico-legali sui lavoratori assenti per malattia.</w:t>
      </w:r>
    </w:p>
    <w:p w:rsidR="005A2B53" w:rsidRPr="00BC4044" w:rsidRDefault="005A2B53" w:rsidP="005A2B53">
      <w:pPr>
        <w:pStyle w:val="titolo"/>
        <w:shd w:val="clear" w:color="auto" w:fill="FFFFFF"/>
        <w:spacing w:before="0" w:beforeAutospacing="0" w:after="75" w:afterAutospacing="0"/>
        <w:ind w:left="300"/>
        <w:rPr>
          <w:rFonts w:ascii="Arial" w:hAnsi="Arial" w:cs="Arial"/>
          <w:color w:val="333333"/>
          <w:sz w:val="24"/>
          <w:szCs w:val="24"/>
        </w:rPr>
      </w:pPr>
      <w:r w:rsidRPr="00BC4044">
        <w:rPr>
          <w:rStyle w:val="Enfasigrassetto"/>
          <w:rFonts w:ascii="Arial" w:hAnsi="Arial" w:cs="Arial"/>
          <w:color w:val="333333"/>
          <w:sz w:val="24"/>
          <w:szCs w:val="24"/>
        </w:rPr>
        <w:t>TESTO DELLA RISPOSTA</w:t>
      </w:r>
    </w:p>
    <w:p w:rsidR="005A2B53" w:rsidRPr="00BC4044" w:rsidRDefault="005A2B53" w:rsidP="005A2B53">
      <w:pPr>
        <w:pStyle w:val="NormaleWeb"/>
        <w:shd w:val="clear" w:color="auto" w:fill="FFFFFF"/>
        <w:rPr>
          <w:rFonts w:ascii="Arial" w:hAnsi="Arial" w:cs="Arial"/>
          <w:color w:val="333333"/>
          <w:sz w:val="24"/>
          <w:szCs w:val="24"/>
        </w:rPr>
      </w:pPr>
      <w:r w:rsidRPr="00BC4044">
        <w:rPr>
          <w:rFonts w:ascii="Arial" w:hAnsi="Arial" w:cs="Arial"/>
          <w:color w:val="333333"/>
          <w:sz w:val="24"/>
          <w:szCs w:val="24"/>
        </w:rPr>
        <w:t> </w:t>
      </w:r>
      <w:r w:rsidRPr="00BC4044">
        <w:rPr>
          <w:rFonts w:ascii="Arial" w:hAnsi="Arial" w:cs="Arial"/>
          <w:color w:val="333333"/>
          <w:sz w:val="24"/>
          <w:szCs w:val="24"/>
        </w:rPr>
        <w:t> </w:t>
      </w:r>
      <w:r w:rsidRPr="00BC4044">
        <w:rPr>
          <w:rFonts w:ascii="Arial" w:hAnsi="Arial" w:cs="Arial"/>
          <w:color w:val="333333"/>
          <w:sz w:val="24"/>
          <w:szCs w:val="24"/>
        </w:rPr>
        <w:t>Con un decreto legislativo </w:t>
      </w:r>
      <w:r w:rsidRPr="00BC4044">
        <w:rPr>
          <w:rStyle w:val="Enfasicorsivo"/>
          <w:rFonts w:ascii="Arial" w:hAnsi="Arial" w:cs="Arial"/>
          <w:color w:val="333333"/>
          <w:sz w:val="24"/>
          <w:szCs w:val="24"/>
        </w:rPr>
        <w:t>ad hoc</w:t>
      </w:r>
      <w:r w:rsidRPr="00BC4044">
        <w:rPr>
          <w:rFonts w:ascii="Arial" w:hAnsi="Arial" w:cs="Arial"/>
          <w:color w:val="333333"/>
          <w:sz w:val="24"/>
          <w:szCs w:val="24"/>
        </w:rPr>
        <w:t>, nel maggio 2017, è stata data attuazione ad una parte della cosiddetta </w:t>
      </w:r>
      <w:r w:rsidRPr="00BC4044">
        <w:rPr>
          <w:rStyle w:val="Enfasicorsivo"/>
          <w:rFonts w:ascii="Arial" w:hAnsi="Arial" w:cs="Arial"/>
          <w:color w:val="333333"/>
          <w:sz w:val="24"/>
          <w:szCs w:val="24"/>
        </w:rPr>
        <w:t>Riforma Madia</w:t>
      </w:r>
      <w:r w:rsidRPr="00BC4044">
        <w:rPr>
          <w:rFonts w:ascii="Arial" w:hAnsi="Arial" w:cs="Arial"/>
          <w:color w:val="333333"/>
          <w:sz w:val="24"/>
          <w:szCs w:val="24"/>
        </w:rPr>
        <w:t> ed in particolare si è accentrata sull'INPS la competenza in materia di visite fiscali sia per i dipendenti pubblici sia per quelli del settore privato. </w:t>
      </w:r>
      <w:r w:rsidRPr="00BC4044">
        <w:rPr>
          <w:rFonts w:ascii="Arial" w:hAnsi="Arial" w:cs="Arial"/>
          <w:color w:val="333333"/>
          <w:sz w:val="24"/>
          <w:szCs w:val="24"/>
        </w:rPr>
        <w:br/>
      </w:r>
      <w:r w:rsidRPr="00BC4044">
        <w:rPr>
          <w:rFonts w:ascii="Arial" w:hAnsi="Arial" w:cs="Arial"/>
          <w:color w:val="333333"/>
          <w:sz w:val="24"/>
          <w:szCs w:val="24"/>
        </w:rPr>
        <w:t> </w:t>
      </w:r>
      <w:r w:rsidRPr="00BC4044">
        <w:rPr>
          <w:rFonts w:ascii="Arial" w:hAnsi="Arial" w:cs="Arial"/>
          <w:color w:val="333333"/>
          <w:sz w:val="24"/>
          <w:szCs w:val="24"/>
        </w:rPr>
        <w:t> </w:t>
      </w:r>
      <w:r w:rsidRPr="00BC4044">
        <w:rPr>
          <w:rFonts w:ascii="Arial" w:hAnsi="Arial" w:cs="Arial"/>
          <w:color w:val="333333"/>
          <w:sz w:val="24"/>
          <w:szCs w:val="24"/>
        </w:rPr>
        <w:t>Nello specifico, si è prevista la stipula di convenzioni tra l'INPS e le organizzazioni sindacali di categoria. </w:t>
      </w:r>
      <w:r w:rsidRPr="00BC4044">
        <w:rPr>
          <w:rFonts w:ascii="Arial" w:hAnsi="Arial" w:cs="Arial"/>
          <w:color w:val="333333"/>
          <w:sz w:val="24"/>
          <w:szCs w:val="24"/>
        </w:rPr>
        <w:br/>
      </w:r>
      <w:r w:rsidRPr="00BC4044">
        <w:rPr>
          <w:rFonts w:ascii="Arial" w:hAnsi="Arial" w:cs="Arial"/>
          <w:color w:val="333333"/>
          <w:sz w:val="24"/>
          <w:szCs w:val="24"/>
        </w:rPr>
        <w:t> </w:t>
      </w:r>
      <w:r w:rsidRPr="00BC4044">
        <w:rPr>
          <w:rFonts w:ascii="Arial" w:hAnsi="Arial" w:cs="Arial"/>
          <w:color w:val="333333"/>
          <w:sz w:val="24"/>
          <w:szCs w:val="24"/>
        </w:rPr>
        <w:t> </w:t>
      </w:r>
      <w:r w:rsidRPr="00BC4044">
        <w:rPr>
          <w:rFonts w:ascii="Arial" w:hAnsi="Arial" w:cs="Arial"/>
          <w:color w:val="333333"/>
          <w:sz w:val="24"/>
          <w:szCs w:val="24"/>
        </w:rPr>
        <w:t>A partire dal 4 ottobre 2017 l'Inps ha convocato, in plenaria o in sessioni separate, le associazioni e organizzazioni sindacali per addivenire ad un accordo sul testo della convenzione. L'Istituto ha tentato la strada della massima inclusione di tutte le rappresentanze dei medici fiscali e della definizione di un testo convenzionale che incontrasse il gradimento e l'approvazione di tutte loro. Fin dall'inizio, tuttavia, le trattative sono state frenate dalle obiezioni di alcune organizzazioni dei medici sulla rappresentanza e rappresentatività sindacale e su chi fosse abilitato a trattare e sottoscrivere la convenzione con Inps. </w:t>
      </w:r>
      <w:r w:rsidRPr="00BC4044">
        <w:rPr>
          <w:rFonts w:ascii="Arial" w:hAnsi="Arial" w:cs="Arial"/>
          <w:color w:val="333333"/>
          <w:sz w:val="24"/>
          <w:szCs w:val="24"/>
        </w:rPr>
        <w:br/>
      </w:r>
      <w:r w:rsidRPr="00BC4044">
        <w:rPr>
          <w:rFonts w:ascii="Arial" w:hAnsi="Arial" w:cs="Arial"/>
          <w:color w:val="333333"/>
          <w:sz w:val="24"/>
          <w:szCs w:val="24"/>
        </w:rPr>
        <w:t> </w:t>
      </w:r>
      <w:r w:rsidRPr="00BC4044">
        <w:rPr>
          <w:rFonts w:ascii="Arial" w:hAnsi="Arial" w:cs="Arial"/>
          <w:color w:val="333333"/>
          <w:sz w:val="24"/>
          <w:szCs w:val="24"/>
        </w:rPr>
        <w:t> </w:t>
      </w:r>
      <w:r w:rsidRPr="00BC4044">
        <w:rPr>
          <w:rFonts w:ascii="Arial" w:hAnsi="Arial" w:cs="Arial"/>
          <w:color w:val="333333"/>
          <w:sz w:val="24"/>
          <w:szCs w:val="24"/>
        </w:rPr>
        <w:t>L'Istituto ha, pertanto, individuato, come unica soluzione percorribile, quella di coinvolgere le organizzazioni sindacali maggiormente rappresentative sui tavoli della Struttura Interregionale Sanitari Convenzionati (SISAC) della medicina convenzionata con il Sistema Sanitario Nazionale (SSN), per la medicina generale e la medicina specialistica ambulatoriale. </w:t>
      </w:r>
      <w:r w:rsidRPr="00BC4044">
        <w:rPr>
          <w:rFonts w:ascii="Arial" w:hAnsi="Arial" w:cs="Arial"/>
          <w:color w:val="333333"/>
          <w:sz w:val="24"/>
          <w:szCs w:val="24"/>
        </w:rPr>
        <w:br/>
      </w:r>
      <w:r w:rsidRPr="00BC4044">
        <w:rPr>
          <w:rFonts w:ascii="Arial" w:hAnsi="Arial" w:cs="Arial"/>
          <w:color w:val="333333"/>
          <w:sz w:val="24"/>
          <w:szCs w:val="24"/>
        </w:rPr>
        <w:t> </w:t>
      </w:r>
      <w:r w:rsidRPr="00BC4044">
        <w:rPr>
          <w:rFonts w:ascii="Arial" w:hAnsi="Arial" w:cs="Arial"/>
          <w:color w:val="333333"/>
          <w:sz w:val="24"/>
          <w:szCs w:val="24"/>
        </w:rPr>
        <w:t> </w:t>
      </w:r>
      <w:r w:rsidRPr="00BC4044">
        <w:rPr>
          <w:rFonts w:ascii="Arial" w:hAnsi="Arial" w:cs="Arial"/>
          <w:color w:val="333333"/>
          <w:sz w:val="24"/>
          <w:szCs w:val="24"/>
        </w:rPr>
        <w:t>L'esclusione di talune Organizzazioni, derivante dall'adozione di tale criterio, ha purtroppo innescato da parte delle medesime organizzazioni un contenzioso davanti il Tribunale di Roma che il 6 giugno scorso ha decretato il comportamento antisindacale dell'Inps. </w:t>
      </w:r>
      <w:r w:rsidRPr="00BC4044">
        <w:rPr>
          <w:rFonts w:ascii="Arial" w:hAnsi="Arial" w:cs="Arial"/>
          <w:color w:val="333333"/>
          <w:sz w:val="24"/>
          <w:szCs w:val="24"/>
        </w:rPr>
        <w:br/>
      </w:r>
      <w:r w:rsidRPr="00BC4044">
        <w:rPr>
          <w:rFonts w:ascii="Arial" w:hAnsi="Arial" w:cs="Arial"/>
          <w:color w:val="333333"/>
          <w:sz w:val="24"/>
          <w:szCs w:val="24"/>
        </w:rPr>
        <w:t> </w:t>
      </w:r>
      <w:r w:rsidRPr="00BC4044">
        <w:rPr>
          <w:rFonts w:ascii="Arial" w:hAnsi="Arial" w:cs="Arial"/>
          <w:color w:val="333333"/>
          <w:sz w:val="24"/>
          <w:szCs w:val="24"/>
        </w:rPr>
        <w:t> </w:t>
      </w:r>
      <w:r w:rsidRPr="00BC4044">
        <w:rPr>
          <w:rFonts w:ascii="Arial" w:hAnsi="Arial" w:cs="Arial"/>
          <w:color w:val="333333"/>
          <w:sz w:val="24"/>
          <w:szCs w:val="24"/>
        </w:rPr>
        <w:t>L'Inps ha fatto sapere di aver fatto opposizione a tale decreto e la relativa udienza di discussione è stata fissata a febbraio 2019. </w:t>
      </w:r>
      <w:r w:rsidRPr="00BC4044">
        <w:rPr>
          <w:rFonts w:ascii="Arial" w:hAnsi="Arial" w:cs="Arial"/>
          <w:color w:val="333333"/>
          <w:sz w:val="24"/>
          <w:szCs w:val="24"/>
        </w:rPr>
        <w:br/>
      </w:r>
      <w:r w:rsidRPr="00BC4044">
        <w:rPr>
          <w:rFonts w:ascii="Arial" w:hAnsi="Arial" w:cs="Arial"/>
          <w:color w:val="333333"/>
          <w:sz w:val="24"/>
          <w:szCs w:val="24"/>
        </w:rPr>
        <w:t> </w:t>
      </w:r>
      <w:r w:rsidRPr="00BC4044">
        <w:rPr>
          <w:rFonts w:ascii="Arial" w:hAnsi="Arial" w:cs="Arial"/>
          <w:color w:val="333333"/>
          <w:sz w:val="24"/>
          <w:szCs w:val="24"/>
        </w:rPr>
        <w:t> </w:t>
      </w:r>
      <w:r w:rsidRPr="00BC4044">
        <w:rPr>
          <w:rFonts w:ascii="Arial" w:hAnsi="Arial" w:cs="Arial"/>
          <w:color w:val="333333"/>
          <w:sz w:val="24"/>
          <w:szCs w:val="24"/>
        </w:rPr>
        <w:t>La vicenda giudiziale ha nei fatti vanificato il lungo e proficuo lavoro di trattativa per la definizione di un testo convenzionale che, nel tempo, aveva progressivamente avvicinato le posizioni delle due parti e sul quale testo, nei primi mesi del 2018, si era registrato un ampio consenso da parte della maggioranza delle organizzazioni dei medici. </w:t>
      </w:r>
      <w:r w:rsidRPr="00BC4044">
        <w:rPr>
          <w:rFonts w:ascii="Arial" w:hAnsi="Arial" w:cs="Arial"/>
          <w:color w:val="333333"/>
          <w:sz w:val="24"/>
          <w:szCs w:val="24"/>
        </w:rPr>
        <w:br/>
      </w:r>
      <w:r w:rsidRPr="00BC4044">
        <w:rPr>
          <w:rFonts w:ascii="Arial" w:hAnsi="Arial" w:cs="Arial"/>
          <w:color w:val="333333"/>
          <w:sz w:val="24"/>
          <w:szCs w:val="24"/>
        </w:rPr>
        <w:t> </w:t>
      </w:r>
      <w:r w:rsidRPr="00BC4044">
        <w:rPr>
          <w:rFonts w:ascii="Arial" w:hAnsi="Arial" w:cs="Arial"/>
          <w:color w:val="333333"/>
          <w:sz w:val="24"/>
          <w:szCs w:val="24"/>
        </w:rPr>
        <w:t> </w:t>
      </w:r>
      <w:r w:rsidRPr="00BC4044">
        <w:rPr>
          <w:rFonts w:ascii="Arial" w:hAnsi="Arial" w:cs="Arial"/>
          <w:color w:val="333333"/>
          <w:sz w:val="24"/>
          <w:szCs w:val="24"/>
        </w:rPr>
        <w:t>In conclusione, posso assicurare che il Ministero del lavoro, consapevole del delicato e importante ruolo svolto dai medici fiscali e della necessità di garantire appropriate tutele a tali lavoratori, continuerà a monitorare la vicenda che potrà trovare una definitiva conclusione probabilmente solo all'esito del citato contenzioso giudiziario.</w:t>
      </w:r>
      <w:bookmarkStart w:id="0" w:name="_GoBack"/>
      <w:bookmarkEnd w:id="0"/>
    </w:p>
    <w:p w:rsidR="00C1598A" w:rsidRPr="00BC4044" w:rsidRDefault="00C1598A">
      <w:pPr>
        <w:rPr>
          <w:sz w:val="24"/>
          <w:szCs w:val="24"/>
        </w:rPr>
      </w:pPr>
    </w:p>
    <w:sectPr w:rsidR="00C1598A" w:rsidRPr="00BC40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53"/>
    <w:rsid w:val="005A2B53"/>
    <w:rsid w:val="006305F4"/>
    <w:rsid w:val="00BC4044"/>
    <w:rsid w:val="00C159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1FE1"/>
  <w15:chartTrackingRefBased/>
  <w15:docId w15:val="{03E0C931-7701-44BC-A22A-21498B13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A2B53"/>
    <w:pPr>
      <w:spacing w:before="100" w:beforeAutospacing="1" w:after="100" w:afterAutospacing="1" w:line="240" w:lineRule="auto"/>
    </w:pPr>
    <w:rPr>
      <w:rFonts w:ascii="Calibri" w:hAnsi="Calibri" w:cs="Calibri"/>
      <w:lang w:eastAsia="it-IT"/>
    </w:rPr>
  </w:style>
  <w:style w:type="paragraph" w:customStyle="1" w:styleId="sede">
    <w:name w:val="sede"/>
    <w:basedOn w:val="Normale"/>
    <w:uiPriority w:val="99"/>
    <w:semiHidden/>
    <w:rsid w:val="005A2B53"/>
    <w:pPr>
      <w:spacing w:before="100" w:beforeAutospacing="1" w:after="100" w:afterAutospacing="1" w:line="240" w:lineRule="auto"/>
    </w:pPr>
    <w:rPr>
      <w:rFonts w:ascii="Calibri" w:hAnsi="Calibri" w:cs="Calibri"/>
      <w:lang w:eastAsia="it-IT"/>
    </w:rPr>
  </w:style>
  <w:style w:type="paragraph" w:customStyle="1" w:styleId="titolo">
    <w:name w:val="titolo"/>
    <w:basedOn w:val="Normale"/>
    <w:uiPriority w:val="99"/>
    <w:semiHidden/>
    <w:rsid w:val="005A2B53"/>
    <w:pPr>
      <w:spacing w:before="100" w:beforeAutospacing="1" w:after="100" w:afterAutospacing="1" w:line="240" w:lineRule="auto"/>
    </w:pPr>
    <w:rPr>
      <w:rFonts w:ascii="Calibri" w:hAnsi="Calibri" w:cs="Calibri"/>
      <w:lang w:eastAsia="it-IT"/>
    </w:rPr>
  </w:style>
  <w:style w:type="character" w:styleId="Enfasigrassetto">
    <w:name w:val="Strong"/>
    <w:basedOn w:val="Carpredefinitoparagrafo"/>
    <w:uiPriority w:val="22"/>
    <w:qFormat/>
    <w:rsid w:val="005A2B53"/>
    <w:rPr>
      <w:b/>
      <w:bCs/>
    </w:rPr>
  </w:style>
  <w:style w:type="character" w:styleId="Enfasicorsivo">
    <w:name w:val="Emphasis"/>
    <w:basedOn w:val="Carpredefinitoparagrafo"/>
    <w:uiPriority w:val="20"/>
    <w:qFormat/>
    <w:rsid w:val="005A2B53"/>
    <w:rPr>
      <w:i/>
      <w:iCs/>
    </w:rPr>
  </w:style>
  <w:style w:type="character" w:customStyle="1" w:styleId="data">
    <w:name w:val="data"/>
    <w:basedOn w:val="Carpredefinitoparagrafo"/>
    <w:rsid w:val="006305F4"/>
  </w:style>
  <w:style w:type="character" w:customStyle="1" w:styleId="numero">
    <w:name w:val="numero"/>
    <w:basedOn w:val="Carpredefinitoparagrafo"/>
    <w:rsid w:val="0063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5925">
      <w:bodyDiv w:val="1"/>
      <w:marLeft w:val="0"/>
      <w:marRight w:val="0"/>
      <w:marTop w:val="0"/>
      <w:marBottom w:val="0"/>
      <w:divBdr>
        <w:top w:val="none" w:sz="0" w:space="0" w:color="auto"/>
        <w:left w:val="none" w:sz="0" w:space="0" w:color="auto"/>
        <w:bottom w:val="none" w:sz="0" w:space="0" w:color="auto"/>
        <w:right w:val="none" w:sz="0" w:space="0" w:color="auto"/>
      </w:divBdr>
      <w:divsChild>
        <w:div w:id="1957907095">
          <w:marLeft w:val="0"/>
          <w:marRight w:val="0"/>
          <w:marTop w:val="0"/>
          <w:marBottom w:val="0"/>
          <w:divBdr>
            <w:top w:val="none" w:sz="0" w:space="0" w:color="auto"/>
            <w:left w:val="none" w:sz="0" w:space="0" w:color="auto"/>
            <w:bottom w:val="none" w:sz="0" w:space="0" w:color="auto"/>
            <w:right w:val="none" w:sz="0" w:space="0" w:color="auto"/>
          </w:divBdr>
        </w:div>
      </w:divsChild>
    </w:div>
    <w:div w:id="12522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3</cp:revision>
  <dcterms:created xsi:type="dcterms:W3CDTF">2018-10-05T07:10:00Z</dcterms:created>
  <dcterms:modified xsi:type="dcterms:W3CDTF">2018-10-05T07:13:00Z</dcterms:modified>
</cp:coreProperties>
</file>