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"http://www.camera.it/leg18/995?sezione=documenti&amp;tipoDoc=lavori_testo_pdl&amp;idLegislatura=18&amp;codice=leg.18.pdl.camera.612.18PDL0011500&amp;back_to=http://www.camera.it/leg18/126?tab=2-e-leg=18-e-idDocumento=612-e-sede=-e-tipo=" \l "FR"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color w:val="21499F"/>
          <w:sz w:val="20"/>
          <w:szCs w:val="20"/>
        </w:rPr>
        <w:t>FRONTESPIZIO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4" w:anchor="RL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RELAZIONE</w:t>
        </w:r>
      </w:hyperlink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5" w:anchor="RT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RELAZIONE TECNICA</w:t>
        </w:r>
      </w:hyperlink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6" w:anchor="PD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PROGETTO DI LEGGE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                        </w:t>
      </w:r>
      <w:hyperlink r:id="rId7" w:anchor="art.1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1</w:t>
        </w:r>
      </w:hyperlink>
    </w:p>
    <w:p w:rsidR="00CA53C6" w:rsidRDefault="00CA53C6" w:rsidP="00CA53C6">
      <w:pPr>
        <w:pStyle w:val="legislatura"/>
        <w:shd w:val="clear" w:color="auto" w:fill="FFFFFF"/>
        <w:rPr>
          <w:rFonts w:ascii="Arial" w:hAnsi="Arial" w:cs="Arial"/>
          <w:color w:val="228B22"/>
          <w:sz w:val="17"/>
          <w:szCs w:val="17"/>
        </w:rPr>
      </w:pPr>
      <w:r>
        <w:rPr>
          <w:rFonts w:ascii="Arial" w:hAnsi="Arial" w:cs="Arial"/>
          <w:color w:val="228B22"/>
          <w:sz w:val="17"/>
          <w:szCs w:val="17"/>
        </w:rPr>
        <w:t>XVIII LEGISLATURA</w:t>
      </w:r>
    </w:p>
    <w:p w:rsidR="00CA53C6" w:rsidRDefault="00CA53C6" w:rsidP="00CA53C6">
      <w:pPr>
        <w:pStyle w:val="center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CAMERA DEI DEPUTATI</w:t>
      </w:r>
    </w:p>
    <w:p w:rsidR="00CA53C6" w:rsidRDefault="00CA53C6" w:rsidP="00CA53C6">
      <w:pPr>
        <w:pStyle w:val="numeroatto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N. 612</w:t>
      </w:r>
    </w:p>
    <w:p w:rsidR="00CA53C6" w:rsidRDefault="00CA53C6" w:rsidP="00CA53C6">
      <w:pPr>
        <w:pStyle w:val="tipoatto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PROPOSTA DI LEGGE</w:t>
      </w:r>
    </w:p>
    <w:p w:rsidR="00CA53C6" w:rsidRDefault="00CA53C6" w:rsidP="00CA53C6">
      <w:pPr>
        <w:pStyle w:val="iniziativ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mallCaps/>
          <w:color w:val="333333"/>
          <w:sz w:val="20"/>
          <w:szCs w:val="20"/>
        </w:rPr>
        <w:t>d'iniziativa del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CONSIGLIO REGIONALE DEL VENETO</w:t>
      </w:r>
    </w:p>
    <w:p w:rsidR="00CA53C6" w:rsidRDefault="00CA53C6" w:rsidP="00CA53C6">
      <w:pPr>
        <w:pStyle w:val="titolo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Abrogazione della </w:t>
      </w:r>
      <w:hyperlink r:id="rId8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, «Norme in materia di accesso ai corsi universitari» per eliminare le prove di ammissione ai corsi universitari</w:t>
      </w:r>
    </w:p>
    <w:p w:rsidR="00CA53C6" w:rsidRDefault="00CA53C6" w:rsidP="00CA53C6">
      <w:pPr>
        <w:pStyle w:val="datapresentazione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Presentata il 10 maggio 2018</w:t>
      </w:r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smallCaps/>
          <w:color w:val="333333"/>
          <w:sz w:val="20"/>
          <w:szCs w:val="20"/>
        </w:rPr>
        <w:t>Onorevoli Colleghi</w:t>
      </w:r>
      <w:r>
        <w:rPr>
          <w:rFonts w:ascii="Arial" w:hAnsi="Arial" w:cs="Arial"/>
          <w:color w:val="333333"/>
          <w:sz w:val="20"/>
          <w:szCs w:val="20"/>
        </w:rPr>
        <w:t>! — La </w:t>
      </w:r>
      <w:hyperlink r:id="rId9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, disciplina le norme in materia di accessi ai corsi universitari. Secondo l'articolo 1, a livello nazionale sono programmati: </w:t>
      </w:r>
      <w:r>
        <w:rPr>
          <w:rFonts w:ascii="Arial" w:hAnsi="Arial" w:cs="Arial"/>
          <w:i/>
          <w:iCs/>
          <w:color w:val="333333"/>
          <w:sz w:val="20"/>
          <w:szCs w:val="20"/>
        </w:rPr>
        <w:t>a)</w:t>
      </w:r>
      <w:r>
        <w:rPr>
          <w:rFonts w:ascii="Arial" w:hAnsi="Arial" w:cs="Arial"/>
          <w:color w:val="333333"/>
          <w:sz w:val="20"/>
          <w:szCs w:val="20"/>
        </w:rPr>
        <w:t> gli accessi ai corsi di laurea in medicina e chirurgia, in medicina veterinaria, in odontoiatria e protesi dentaria, in architettura, nonché ai corsi di diploma universitario, ovvero individuati come di primo livello in applicazione dell'</w:t>
      </w:r>
      <w:hyperlink r:id="rId10" w:anchor="art17-com95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17, comma 95, della legge 15 maggio 1997, n. 127</w:t>
        </w:r>
      </w:hyperlink>
      <w:r>
        <w:rPr>
          <w:rFonts w:ascii="Arial" w:hAnsi="Arial" w:cs="Arial"/>
          <w:color w:val="333333"/>
          <w:sz w:val="20"/>
          <w:szCs w:val="20"/>
        </w:rPr>
        <w:t>, e successive modificazioni, concernenti la formazione del personale sanitario infermieristico, tecnico e della riabilitazione ai sensi dell'</w:t>
      </w:r>
      <w:hyperlink r:id="rId11" w:anchor="art6-com3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6, comma 3, del decreto legislativo 30 dicembre 1992, n. 502</w:t>
        </w:r>
      </w:hyperlink>
      <w:r>
        <w:rPr>
          <w:rFonts w:ascii="Arial" w:hAnsi="Arial" w:cs="Arial"/>
          <w:color w:val="333333"/>
          <w:sz w:val="20"/>
          <w:szCs w:val="20"/>
        </w:rPr>
        <w:t>, e successive modificazioni, in conformità alla normativa comunitaria vigente e alle raccomandazioni dell'Unione europea che determinano </w:t>
      </w:r>
      <w:r>
        <w:rPr>
          <w:rFonts w:ascii="Arial" w:hAnsi="Arial" w:cs="Arial"/>
          <w:i/>
          <w:iCs/>
          <w:color w:val="333333"/>
          <w:sz w:val="20"/>
          <w:szCs w:val="20"/>
        </w:rPr>
        <w:t>standard</w:t>
      </w:r>
      <w:r>
        <w:rPr>
          <w:rFonts w:ascii="Arial" w:hAnsi="Arial" w:cs="Arial"/>
          <w:color w:val="333333"/>
          <w:sz w:val="20"/>
          <w:szCs w:val="20"/>
        </w:rPr>
        <w:t> formativi tali da richiedere il possesso di specifici requisiti;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b)</w:t>
      </w:r>
      <w:r>
        <w:rPr>
          <w:rFonts w:ascii="Arial" w:hAnsi="Arial" w:cs="Arial"/>
          <w:color w:val="333333"/>
          <w:sz w:val="20"/>
          <w:szCs w:val="20"/>
        </w:rPr>
        <w:t> ai corsi di laurea in scienza della formazione primaria e alle scuole di specializzazione per l'insegnamento secondario, di cui, rispettivamente, all'articolo 3, comma 2, e all'</w:t>
      </w:r>
      <w:hyperlink r:id="rId12" w:anchor="art4-com2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4, comma 2, della legge 19 novembre 1990, n. 341</w:t>
        </w:r>
      </w:hyperlink>
      <w:r>
        <w:rPr>
          <w:rFonts w:ascii="Arial" w:hAnsi="Arial" w:cs="Arial"/>
          <w:color w:val="333333"/>
          <w:sz w:val="20"/>
          <w:szCs w:val="20"/>
        </w:rPr>
        <w:t>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c)</w:t>
      </w:r>
      <w:r>
        <w:rPr>
          <w:rFonts w:ascii="Arial" w:hAnsi="Arial" w:cs="Arial"/>
          <w:color w:val="333333"/>
          <w:sz w:val="20"/>
          <w:szCs w:val="20"/>
        </w:rPr>
        <w:t> ai corsi di formazione specialistica dei medici, disciplinati ai sensi del </w:t>
      </w:r>
      <w:hyperlink r:id="rId13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decreto legislativo 8 agosto 1991, n. 257</w:t>
        </w:r>
      </w:hyperlink>
      <w:r>
        <w:rPr>
          <w:rFonts w:ascii="Arial" w:hAnsi="Arial" w:cs="Arial"/>
          <w:color w:val="333333"/>
          <w:sz w:val="20"/>
          <w:szCs w:val="20"/>
        </w:rPr>
        <w:t>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d)</w:t>
      </w:r>
      <w:r>
        <w:rPr>
          <w:rFonts w:ascii="Arial" w:hAnsi="Arial" w:cs="Arial"/>
          <w:color w:val="333333"/>
          <w:sz w:val="20"/>
          <w:szCs w:val="20"/>
        </w:rPr>
        <w:t> alle scuole di specializzazione per le professioni legali, disciplinate ai sensi dell'</w:t>
      </w:r>
      <w:hyperlink r:id="rId14" w:anchor="art16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16 del decreto legislativo 17 novembre 1997, n. 398</w:t>
        </w:r>
      </w:hyperlink>
      <w:r>
        <w:rPr>
          <w:rFonts w:ascii="Arial" w:hAnsi="Arial" w:cs="Arial"/>
          <w:color w:val="333333"/>
          <w:sz w:val="20"/>
          <w:szCs w:val="20"/>
        </w:rPr>
        <w:t>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e)</w:t>
      </w:r>
      <w:r>
        <w:rPr>
          <w:rFonts w:ascii="Arial" w:hAnsi="Arial" w:cs="Arial"/>
          <w:color w:val="333333"/>
          <w:sz w:val="20"/>
          <w:szCs w:val="20"/>
        </w:rPr>
        <w:t> ai corsi universitari di nuova istituzione o attivazione, su proposta delle università e nell'ambito della programmazione del sistema universitario, per un numero di anni corrispondente alla durata legale del corso.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Secondo l'articolo 2, comma 1, spetta alle università programmare gli accessi: </w:t>
      </w:r>
      <w:r>
        <w:rPr>
          <w:rFonts w:ascii="Arial" w:hAnsi="Arial" w:cs="Arial"/>
          <w:i/>
          <w:iCs/>
          <w:color w:val="333333"/>
          <w:sz w:val="20"/>
          <w:szCs w:val="20"/>
        </w:rPr>
        <w:t>a)</w:t>
      </w:r>
      <w:r>
        <w:rPr>
          <w:rFonts w:ascii="Arial" w:hAnsi="Arial" w:cs="Arial"/>
          <w:color w:val="333333"/>
          <w:sz w:val="20"/>
          <w:szCs w:val="20"/>
        </w:rPr>
        <w:t> ai corsi di laurea per i quali l'ordinamento didattico preveda l'utilizzazione di laboratori ad alta specializzazione, di sistemi informatici e tecnologici o comunque di posti-studio personalizzati;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b)</w:t>
      </w:r>
      <w:r>
        <w:rPr>
          <w:rFonts w:ascii="Arial" w:hAnsi="Arial" w:cs="Arial"/>
          <w:color w:val="333333"/>
          <w:sz w:val="20"/>
          <w:szCs w:val="20"/>
        </w:rPr>
        <w:t> ai corsi di diploma universitario, diversi da quelli di cui all'articolo 1, comma 1, lettera </w:t>
      </w:r>
      <w:r>
        <w:rPr>
          <w:rFonts w:ascii="Arial" w:hAnsi="Arial" w:cs="Arial"/>
          <w:i/>
          <w:iCs/>
          <w:color w:val="333333"/>
          <w:sz w:val="20"/>
          <w:szCs w:val="20"/>
        </w:rPr>
        <w:t>a)</w:t>
      </w:r>
      <w:r>
        <w:rPr>
          <w:rFonts w:ascii="Arial" w:hAnsi="Arial" w:cs="Arial"/>
          <w:color w:val="333333"/>
          <w:sz w:val="20"/>
          <w:szCs w:val="20"/>
        </w:rPr>
        <w:t>, per i quali l'ordinamento didattico prevede l'obbligo di tirocinio come parte integrante del percorso formativo, da svolgere presso strutture diverse dall'ateneo; </w:t>
      </w:r>
      <w:r>
        <w:rPr>
          <w:rFonts w:ascii="Arial" w:hAnsi="Arial" w:cs="Arial"/>
          <w:i/>
          <w:iCs/>
          <w:color w:val="333333"/>
          <w:sz w:val="20"/>
          <w:szCs w:val="20"/>
        </w:rPr>
        <w:t>c)</w:t>
      </w:r>
      <w:r>
        <w:rPr>
          <w:rFonts w:ascii="Arial" w:hAnsi="Arial" w:cs="Arial"/>
          <w:color w:val="333333"/>
          <w:sz w:val="20"/>
          <w:szCs w:val="20"/>
        </w:rPr>
        <w:t>ai corsi o alle scuole di specializzazione individuate dai decreti attuativi delle disposizioni di cui all'</w:t>
      </w:r>
      <w:hyperlink r:id="rId15" w:anchor="art17-com95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articolo 17, comma 95, della legge 15 maggio 1997, n. 127</w:t>
        </w:r>
      </w:hyperlink>
      <w:r>
        <w:rPr>
          <w:rFonts w:ascii="Arial" w:hAnsi="Arial" w:cs="Arial"/>
          <w:color w:val="333333"/>
          <w:sz w:val="20"/>
          <w:szCs w:val="20"/>
        </w:rPr>
        <w:t>, e successive modificazioni.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Lo stesso articolo 2, al comma 2, recita che sono programmati dall'università di Trieste gli accessi al corso di laurea in scienze internazionali e diplomatiche con sede in Gorizia, in ragione dei particolari compiti di collaborazione transfrontaliera e internazionale adempiuti da tale corso.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Ma qual è la situazione a quasi diciott'anni dall'approvazione della legge?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Non passa giorno che non si levi una voce polemicamente contraria all'impiego delle prove d'ingresso come strumento di valutazione e selezione per gli studenti che intendono iscriversi a un corso di laurea ad accesso programmato.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Molti giovani sono obbligati, infatti, a iscriversi ad altre facoltà rispetto a quelle per cui hanno predisposizione, o andare a studiare all'estero, mentre molti professionisti, ad esempio medici, vengono importati dall'estero per colmare le carenze di professionisti italiani.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 xml:space="preserve">Il numero chiuso e la prova d'ingresso penalizzano, quindi, in modo eccessivo l'immatricolazione degli studenti e ne causano l'esiguità e così la Germania, la Gran Bretagna, la Francia, la Svezia, la Danimarca, la Spagna, l'Australia e perfino la Bulgaria diventano le destinazioni preferite da un numero crescente di giovani studenti che vanno all'estero per formarsi, laurearsi o specializzarsi e spesso poi vi restano a lavorare. Tanti laureati, inoltre, abbandonano l'Italia, che non garantisce loro la possibilità di frequentare una </w:t>
      </w:r>
      <w:r>
        <w:rPr>
          <w:rFonts w:ascii="Arial" w:hAnsi="Arial" w:cs="Arial"/>
          <w:color w:val="333333"/>
          <w:sz w:val="20"/>
          <w:szCs w:val="20"/>
        </w:rPr>
        <w:lastRenderedPageBreak/>
        <w:t>scuola di specializzazione: un Paese che rischia di importare sempre più professionisti dall'estero per soddisfare, soprattutto nell'ambito medico, il fabbisogno sanitario nazionale.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 xml:space="preserve">L'ANAAO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Assomed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(Associazione medici dirigenti) ha realizzato un'indagine in cui prevede che, nei prossimi dieci anni, ci saranno circa 58.000 pensionamenti tra medici dipendenti del settore pubblico, universitari e ambulatoriali, mentre i contratti di formazione specialistica previsti saranno solo 42.000. Come risultato, nel prossimo decennio mancheranno all'appello nel Servizio sanitario nazionale circa 15.000 specialisti.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L'allarme è lanciato anche dalla Federazione nazionale degli ordini dei medici chirurghi e degli odontoiatri, che chiede di riprogrammare il sistema «alla luce della nuova gobba pensionistica».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L'Italia ha iniziato, così, a fare affidamento sui medici stranieri per rispondere ai bisogni della sua popolazione: dottori già specializzati all'estero che trovano possibilità di lavoro in Italia.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 xml:space="preserve">Secondo un'analisi realizzata dal Servizio studi previdenziali e documentazione dell'Ente nazionale di previdenza e assistenza dei medici e degli odontoiatri (ENPAM), sono 15.000 i camici bianchi nati all'estero e iscritti all'Albo italiano. Un valore modesto rispetto alla totalità dei medici che operano nel nostro Paese: circa 250.000 (4,1 dottori per mille abitanti). Tuttavia, in dieci anni si è registrato un tasso di crescita positivo pari al 30 per cento: se nel 2001 gli specialisti stranieri in Italia erano 10.900, nel 2011 sono diventati 14.737 e nel 2016 il numero è salito a 17.800. Una forza internazionale destinata a crescere, che funge da supporto a un sistema sanitario carente. Sono soprattutto tedeschi, ma anche svizzeri, greci, iraniani, francesi, venezuelani, romeni, statunitensi, sauditi e albanesi. Un numero destinato a lievitare, avverte il dottor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presidente dell'AMSI (Associazione medici di origine straniera in Italia), se non saranno riviste le condizioni d'accesso alla facoltà di medicina e non sarà effettuata un'adeguata programmazione quantitativa e qualitativa della formazione specialistica.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Le numerose criticità riscontrate rendono necessaria, quindi, una revisione della normativa in materia di accessi ai corsi universitari e con il presente progetto di legge si propone al Parlamento l'abrogazione della </w:t>
      </w:r>
      <w:hyperlink r:id="rId16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, «Norme in materia di accessi ai corsi universitari», per eliminare il numero chiuso e le prove di ammissione ai corsi universitari, al fine di consentire ai giovani di iscriversi liberamente a qualsiasi corso universitario e ai laureati di potersi iscrivere liberamente ai corsi di specializzazione.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Il presente progetto di legge si compone di un solo articolo abrogativo della </w:t>
      </w:r>
      <w:hyperlink r:id="rId17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n. 264 del 1999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CA53C6" w:rsidRDefault="00CA53C6" w:rsidP="00CA53C6">
      <w:pPr>
        <w:pStyle w:val="Normale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RELAZIONE TECNICA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i/>
          <w:iCs/>
          <w:color w:val="333333"/>
          <w:sz w:val="20"/>
          <w:szCs w:val="20"/>
        </w:rPr>
        <w:t>(</w:t>
      </w:r>
      <w:hyperlink r:id="rId18" w:anchor="art17-com6" w:tgtFrame="rifNormativi" w:history="1">
        <w:r>
          <w:rPr>
            <w:rStyle w:val="Collegamentoipertestuale"/>
            <w:rFonts w:ascii="Arial" w:hAnsi="Arial" w:cs="Arial"/>
            <w:i/>
            <w:iCs/>
            <w:color w:val="21499F"/>
            <w:sz w:val="20"/>
            <w:szCs w:val="20"/>
          </w:rPr>
          <w:t>Articolo 17, comma 6, della legge 31 dicembre 2009, n. 196</w:t>
        </w:r>
      </w:hyperlink>
      <w:r>
        <w:rPr>
          <w:rFonts w:ascii="Arial" w:hAnsi="Arial" w:cs="Arial"/>
          <w:i/>
          <w:iCs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La proposta di legge propone l'abrogazione della </w:t>
      </w:r>
      <w:hyperlink r:id="rId19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 «Norme in materia di accessi ai corsi universitari» per eliminare il numero chiuso e le prove di ammissione ai corsi universitari, al fine di consentire ai giovani di iscriversi liberamente a qualsiasi corso universitario e ai laureati di potersi iscrivere liberamente ai corsi di specializzazione.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Nel caso di approvazione della presente proposta di legge da parte del Parlamento, la </w:t>
      </w:r>
      <w:hyperlink r:id="rId20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, sarebbe integralmente abrogata con effetti immediati per gli accessi ai corsi universitari dell'anno accademico 2018/2019: presumibilmente gli accessi ai corsi universitari e ai corsi di specializzazione, stante il superamento dell'attuale previsione di numero chiuso, si redistribuiranno fra i diversi indirizzi di studio e di specializzazione.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 xml:space="preserve">Si ritiene che 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novellazioni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apportate alla normativa vigente dalla proposta di legge in oggetto, per le motivazioni illustrate in sede di relazione, limitandosi a incidere sull'ambito soggettivo dei potenziali destinatari del Fondo, non comportino nuovi o maggiori oneri a carico del bilancio di previsione statale per l'anno finanziario 2017 e pluriennale 2017-2019 (</w:t>
      </w:r>
      <w:hyperlink r:id="rId21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n. 232 del 2016</w:t>
        </w:r>
      </w:hyperlink>
      <w:r>
        <w:rPr>
          <w:rFonts w:ascii="Arial" w:hAnsi="Arial" w:cs="Arial"/>
          <w:color w:val="333333"/>
          <w:sz w:val="20"/>
          <w:szCs w:val="20"/>
        </w:rPr>
        <w:t>) e si risolvano nell'ambito delle risorse umane, strumentali e finanziarie disponibili a legislazione vigente.</w:t>
      </w:r>
    </w:p>
    <w:p w:rsidR="00CA53C6" w:rsidRDefault="00CA53C6" w:rsidP="00CA53C6">
      <w:pPr>
        <w:pStyle w:val="Normale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PROPOSTA DI LEGGE </w:t>
      </w:r>
      <w:r>
        <w:rPr>
          <w:rFonts w:ascii="Arial" w:hAnsi="Arial" w:cs="Arial"/>
          <w:color w:val="333333"/>
          <w:sz w:val="20"/>
          <w:szCs w:val="20"/>
        </w:rPr>
        <w:br/>
        <w:t>D'INIZIATIVA REGIONALE</w:t>
      </w:r>
    </w:p>
    <w:p w:rsidR="00CA53C6" w:rsidRDefault="00CA53C6" w:rsidP="00CA53C6">
      <w:pPr>
        <w:pStyle w:val="Normale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mallCaps/>
          <w:color w:val="333333"/>
          <w:sz w:val="20"/>
          <w:szCs w:val="20"/>
        </w:rPr>
        <w:t>Art</w:t>
      </w:r>
      <w:r>
        <w:rPr>
          <w:rFonts w:ascii="Arial" w:hAnsi="Arial" w:cs="Arial"/>
          <w:color w:val="333333"/>
          <w:sz w:val="20"/>
          <w:szCs w:val="20"/>
        </w:rPr>
        <w:t>. 1.</w:t>
      </w:r>
    </w:p>
    <w:p w:rsidR="00CA53C6" w:rsidRDefault="00CA53C6" w:rsidP="00CA53C6">
      <w:pPr>
        <w:pStyle w:val="Normale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> </w:t>
      </w:r>
      <w:r>
        <w:rPr>
          <w:rFonts w:ascii="Arial" w:hAnsi="Arial" w:cs="Arial"/>
          <w:color w:val="333333"/>
          <w:sz w:val="20"/>
          <w:szCs w:val="20"/>
        </w:rPr>
        <w:t>1. La </w:t>
      </w:r>
      <w:hyperlink r:id="rId22" w:tgtFrame="rifNormativi" w:history="1">
        <w:r>
          <w:rPr>
            <w:rStyle w:val="Collegamentoipertestuale"/>
            <w:rFonts w:ascii="Arial" w:hAnsi="Arial" w:cs="Arial"/>
            <w:color w:val="21499F"/>
            <w:sz w:val="20"/>
            <w:szCs w:val="20"/>
          </w:rPr>
          <w:t>legge 2 agosto 1999, n. 264</w:t>
        </w:r>
      </w:hyperlink>
      <w:r>
        <w:rPr>
          <w:rFonts w:ascii="Arial" w:hAnsi="Arial" w:cs="Arial"/>
          <w:color w:val="333333"/>
          <w:sz w:val="20"/>
          <w:szCs w:val="20"/>
        </w:rPr>
        <w:t>, recante norme in materia di accessi ai corsi universitari, è abrogata con decorrenza di effetti per gli accessi ai corsi universitari dall'anno accademico 2018/2019.</w:t>
      </w:r>
    </w:p>
    <w:p w:rsidR="003F5589" w:rsidRDefault="003F5589">
      <w:bookmarkStart w:id="0" w:name="_GoBack"/>
      <w:bookmarkEnd w:id="0"/>
    </w:p>
    <w:sectPr w:rsidR="003F5589" w:rsidSect="00CA53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C6"/>
    <w:rsid w:val="003F5589"/>
    <w:rsid w:val="00C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DAA4-528C-4B81-8F3B-67548C9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53C6"/>
    <w:rPr>
      <w:color w:val="0000FF"/>
      <w:u w:val="single"/>
    </w:rPr>
  </w:style>
  <w:style w:type="paragraph" w:customStyle="1" w:styleId="legislatura">
    <w:name w:val="legislatura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eroatto">
    <w:name w:val="numeroatto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oatto">
    <w:name w:val="tipoatto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iziativa">
    <w:name w:val="iniziativa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presentazione">
    <w:name w:val="datapresentazione"/>
    <w:basedOn w:val="Normale"/>
    <w:rsid w:val="00CA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1999-08-02;264" TargetMode="External"/><Relationship Id="rId13" Type="http://schemas.openxmlformats.org/officeDocument/2006/relationships/hyperlink" Target="http://www.normattiva.it/uri-res/N2Ls?urn:nir:stato:decreto.legislativo:1991-08-08;257" TargetMode="External"/><Relationship Id="rId18" Type="http://schemas.openxmlformats.org/officeDocument/2006/relationships/hyperlink" Target="http://www.normattiva.it/uri-res/N2Ls?urn:nir:stato:legge:2009-12-31;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mattiva.it/uri-res/N2Ls?urn:nir:stato:legge:2016;232" TargetMode="External"/><Relationship Id="rId7" Type="http://schemas.openxmlformats.org/officeDocument/2006/relationships/hyperlink" Target="http://www.camera.it/leg18/995?sezione=documenti&amp;tipoDoc=lavori_testo_pdl&amp;idLegislatura=18&amp;codice=leg.18.pdl.camera.612.18PDL0011500&amp;back_to=http://www.camera.it/leg18/126?tab=2-e-leg=18-e-idDocumento=612-e-sede=-e-tipo=" TargetMode="External"/><Relationship Id="rId12" Type="http://schemas.openxmlformats.org/officeDocument/2006/relationships/hyperlink" Target="http://www.normattiva.it/uri-res/N2Ls?urn:nir:stato:legge:1990-11-19;341" TargetMode="External"/><Relationship Id="rId17" Type="http://schemas.openxmlformats.org/officeDocument/2006/relationships/hyperlink" Target="http://www.normattiva.it/uri-res/N2Ls?urn:nir:stato:legge:1999;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attiva.it/uri-res/N2Ls?urn:nir:stato:legge:1999-08-02;264" TargetMode="External"/><Relationship Id="rId20" Type="http://schemas.openxmlformats.org/officeDocument/2006/relationships/hyperlink" Target="http://www.normattiva.it/uri-res/N2Ls?urn:nir:stato:legge:1999-08-02;2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era.it/leg18/995?sezione=documenti&amp;tipoDoc=lavori_testo_pdl&amp;idLegislatura=18&amp;codice=leg.18.pdl.camera.612.18PDL0011500&amp;back_to=http://www.camera.it/leg18/126?tab=2-e-leg=18-e-idDocumento=612-e-sede=-e-tipo=" TargetMode="External"/><Relationship Id="rId11" Type="http://schemas.openxmlformats.org/officeDocument/2006/relationships/hyperlink" Target="http://www.normattiva.it/uri-res/N2Ls?urn:nir:stato:decreto.legislativo:1992-12-30;5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amera.it/leg18/995?sezione=documenti&amp;tipoDoc=lavori_testo_pdl&amp;idLegislatura=18&amp;codice=leg.18.pdl.camera.612.18PDL0011500&amp;back_to=http://www.camera.it/leg18/126?tab=2-e-leg=18-e-idDocumento=612-e-sede=-e-tipo=" TargetMode="External"/><Relationship Id="rId15" Type="http://schemas.openxmlformats.org/officeDocument/2006/relationships/hyperlink" Target="http://www.normattiva.it/uri-res/N2Ls?urn:nir:stato:legge:1997-05-15;1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mattiva.it/uri-res/N2Ls?urn:nir:stato:legge:1997-05-15;127" TargetMode="External"/><Relationship Id="rId19" Type="http://schemas.openxmlformats.org/officeDocument/2006/relationships/hyperlink" Target="http://www.normattiva.it/uri-res/N2Ls?urn:nir:stato:legge:1999-08-02;264" TargetMode="External"/><Relationship Id="rId4" Type="http://schemas.openxmlformats.org/officeDocument/2006/relationships/hyperlink" Target="http://www.camera.it/leg18/995?sezione=documenti&amp;tipoDoc=lavori_testo_pdl&amp;idLegislatura=18&amp;codice=leg.18.pdl.camera.612.18PDL0011500&amp;back_to=http://www.camera.it/leg18/126?tab=2-e-leg=18-e-idDocumento=612-e-sede=-e-tipo=" TargetMode="External"/><Relationship Id="rId9" Type="http://schemas.openxmlformats.org/officeDocument/2006/relationships/hyperlink" Target="http://www.normattiva.it/uri-res/N2Ls?urn:nir:stato:legge:1999-08-02;264" TargetMode="External"/><Relationship Id="rId14" Type="http://schemas.openxmlformats.org/officeDocument/2006/relationships/hyperlink" Target="http://www.normattiva.it/uri-res/N2Ls?urn:nir:stato:decreto.legislativo:1997-11-17;398" TargetMode="External"/><Relationship Id="rId22" Type="http://schemas.openxmlformats.org/officeDocument/2006/relationships/hyperlink" Target="http://www.normattiva.it/uri-res/N2Ls?urn:nir:stato:legge:1999-08-02;26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2018-11-22T14:21:00Z</dcterms:created>
  <dcterms:modified xsi:type="dcterms:W3CDTF">2018-11-22T14:22:00Z</dcterms:modified>
</cp:coreProperties>
</file>