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6C7F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31° EDIZIONE</w:t>
      </w:r>
    </w:p>
    <w:p w14:paraId="18B12B17" w14:textId="77777777" w:rsidR="009B23A8" w:rsidRPr="009B23A8" w:rsidRDefault="009B23A8" w:rsidP="009B23A8">
      <w:pPr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Aggiornamento Professionale</w:t>
      </w:r>
    </w:p>
    <w:p w14:paraId="5FCEDADC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39"/>
          <w:szCs w:val="39"/>
          <w:lang w:eastAsia="it-IT"/>
        </w:rPr>
      </w:pPr>
      <w:r w:rsidRPr="009B23A8">
        <w:rPr>
          <w:rFonts w:eastAsia="Times New Roman" w:cs="Times New Roman"/>
          <w:b/>
          <w:bCs/>
          <w:color w:val="FF0000"/>
          <w:sz w:val="39"/>
          <w:szCs w:val="39"/>
          <w:lang w:eastAsia="it-IT"/>
        </w:rPr>
        <w:t>MASTER IN DIETOLOGIA E NUTRIZIONE </w:t>
      </w:r>
    </w:p>
    <w:p w14:paraId="0AEA4DFA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color w:val="FF0000"/>
          <w:szCs w:val="24"/>
          <w:lang w:eastAsia="it-IT"/>
        </w:rPr>
        <w:t>Costo – € 1.050,00*</w:t>
      </w:r>
    </w:p>
    <w:p w14:paraId="59BE26F7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Durata: 80 ore</w:t>
      </w:r>
    </w:p>
    <w:p w14:paraId="6EE9C5F1" w14:textId="77777777" w:rsidR="009B23A8" w:rsidRPr="009B23A8" w:rsidRDefault="009B23A8" w:rsidP="009B23A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9B23A8">
        <w:rPr>
          <w:rFonts w:eastAsia="Times New Roman" w:cs="Times New Roman"/>
          <w:b/>
          <w:bCs/>
          <w:color w:val="FF0000"/>
          <w:sz w:val="36"/>
          <w:szCs w:val="36"/>
          <w:lang w:eastAsia="it-IT"/>
        </w:rPr>
        <w:t xml:space="preserve">Inizio: 25 </w:t>
      </w:r>
      <w:proofErr w:type="gramStart"/>
      <w:r w:rsidRPr="009B23A8">
        <w:rPr>
          <w:rFonts w:eastAsia="Times New Roman" w:cs="Times New Roman"/>
          <w:b/>
          <w:bCs/>
          <w:color w:val="FF0000"/>
          <w:sz w:val="36"/>
          <w:szCs w:val="36"/>
          <w:lang w:eastAsia="it-IT"/>
        </w:rPr>
        <w:t>Febbraio</w:t>
      </w:r>
      <w:proofErr w:type="gramEnd"/>
      <w:r w:rsidRPr="009B23A8">
        <w:rPr>
          <w:rFonts w:eastAsia="Times New Roman" w:cs="Times New Roman"/>
          <w:b/>
          <w:bCs/>
          <w:color w:val="FF0000"/>
          <w:sz w:val="36"/>
          <w:szCs w:val="36"/>
          <w:lang w:eastAsia="it-IT"/>
        </w:rPr>
        <w:t xml:space="preserve"> 2021</w:t>
      </w:r>
      <w:r w:rsidRPr="009B23A8">
        <w:rPr>
          <w:rFonts w:eastAsia="Times New Roman" w:cs="Times New Roman"/>
          <w:b/>
          <w:bCs/>
          <w:color w:val="FF0000"/>
          <w:sz w:val="36"/>
          <w:szCs w:val="36"/>
          <w:lang w:eastAsia="it-IT"/>
        </w:rPr>
        <w:br/>
      </w:r>
      <w:r w:rsidRPr="009B23A8">
        <w:rPr>
          <w:rFonts w:eastAsia="Times New Roman" w:cs="Times New Roman"/>
          <w:b/>
          <w:bCs/>
          <w:sz w:val="36"/>
          <w:szCs w:val="36"/>
          <w:lang w:eastAsia="it-IT"/>
        </w:rPr>
        <w:t>Iscrizioni entro il 25 Gennaio 2021</w:t>
      </w:r>
    </w:p>
    <w:p w14:paraId="195BA431" w14:textId="77777777" w:rsidR="009B23A8" w:rsidRPr="009B23A8" w:rsidRDefault="009B23A8" w:rsidP="009B23A8">
      <w:pPr>
        <w:spacing w:before="100" w:beforeAutospacing="1" w:after="100" w:afterAutospacing="1"/>
        <w:jc w:val="center"/>
        <w:outlineLvl w:val="5"/>
        <w:rPr>
          <w:rFonts w:eastAsia="Times New Roman" w:cs="Times New Roman"/>
          <w:b/>
          <w:bCs/>
          <w:sz w:val="15"/>
          <w:szCs w:val="15"/>
          <w:lang w:eastAsia="it-IT"/>
        </w:rPr>
      </w:pPr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>IMPORTANTE</w:t>
      </w:r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br/>
        <w:t xml:space="preserve">L’Istituto di Alta Formazione, al fine di favorire la prevenzione e la gestione dell’emergenza epidemiologica da COVID-19, comunica di aver adottato tutte le misure previste dalle Linee Guida inerenti </w:t>
      </w:r>
      <w:proofErr w:type="gramStart"/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>la</w:t>
      </w:r>
      <w:proofErr w:type="gramEnd"/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 xml:space="preserve"> riapertura delle attività economiche, produttive e sociali, ai sensi delle vigenti ordinanze in materia. (Rif. Ordinanza del Presidente della Regione Lazio 13 </w:t>
      </w:r>
      <w:proofErr w:type="gramStart"/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>Giugno</w:t>
      </w:r>
      <w:proofErr w:type="gramEnd"/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 xml:space="preserve"> 2020, n. Z00047).  Per ulteriori informazioni e delucidazioni, si prega di consultare la nostra informativa (vedi </w:t>
      </w:r>
      <w:hyperlink r:id="rId5" w:history="1">
        <w:r w:rsidRPr="009B23A8">
          <w:rPr>
            <w:rFonts w:eastAsia="Times New Roman" w:cs="Times New Roman"/>
            <w:b/>
            <w:bCs/>
            <w:color w:val="0000FF"/>
            <w:sz w:val="15"/>
            <w:szCs w:val="15"/>
            <w:u w:val="single"/>
            <w:lang w:eastAsia="it-IT"/>
          </w:rPr>
          <w:t>Informativa COVID IAF</w:t>
        </w:r>
      </w:hyperlink>
      <w:r w:rsidRPr="009B23A8">
        <w:rPr>
          <w:rFonts w:eastAsia="Times New Roman" w:cs="Times New Roman"/>
          <w:b/>
          <w:bCs/>
          <w:sz w:val="15"/>
          <w:szCs w:val="15"/>
          <w:lang w:eastAsia="it-IT"/>
        </w:rPr>
        <w:t>).</w:t>
      </w:r>
    </w:p>
    <w:p w14:paraId="6BB6A62B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* Il Costo del Master si riferisce alla quota di partecipazione da corrispondere nel caso di pagamento da parte di iscritti per i quali sia previsto il rilascio dei crediti formativi ECM. Per le modalità di pagamento per gli iscritti per i quali non è previsto il rilascio dei crediti ECM, si prega di prendere visione della sezione “Modalità di Pagamento”.</w:t>
      </w:r>
    </w:p>
    <w:p w14:paraId="5911AC91" w14:textId="77777777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 xml:space="preserve">Si ricorda inoltre che, in entrambi i casi, gli importi e le date entro cui versarle sono da intendersi </w:t>
      </w:r>
      <w:r w:rsidRPr="009B23A8">
        <w:rPr>
          <w:rFonts w:eastAsia="Times New Roman" w:cs="Times New Roman"/>
          <w:szCs w:val="24"/>
          <w:u w:val="single"/>
          <w:lang w:eastAsia="it-IT"/>
        </w:rPr>
        <w:t>TASSATIVI</w:t>
      </w:r>
      <w:r w:rsidRPr="009B23A8">
        <w:rPr>
          <w:rFonts w:eastAsia="Times New Roman" w:cs="Times New Roman"/>
          <w:szCs w:val="24"/>
          <w:lang w:eastAsia="it-IT"/>
        </w:rPr>
        <w:t>. Altre modalità di pagamento devono essere  concordate preventivamente con la Segreteria Organizzativa.</w:t>
      </w:r>
    </w:p>
    <w:p w14:paraId="68256261" w14:textId="61A33024" w:rsidR="009B23A8" w:rsidRPr="009B23A8" w:rsidRDefault="009B23A8" w:rsidP="009B23A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7"/>
          <w:szCs w:val="27"/>
          <w:lang w:eastAsia="it-IT"/>
        </w:rPr>
      </w:pPr>
      <w:r w:rsidRPr="009B23A8">
        <w:rPr>
          <w:rFonts w:eastAsia="Times New Roman" w:cs="Times New Roman"/>
          <w:sz w:val="48"/>
          <w:szCs w:val="48"/>
          <w:lang w:eastAsia="it-IT"/>
        </w:rPr>
        <w:t> </w:t>
      </w:r>
      <w:bookmarkStart w:id="0" w:name="presentazione"/>
      <w:bookmarkEnd w:id="0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PRESENTAZIONE</w:t>
      </w:r>
    </w:p>
    <w:p w14:paraId="07003989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La trasversalità della nutrizione rispetto al benessere o viceversa alle patologie degenerative, ha accentrato l’attenzione sulla dietologia e dietoterapia di tutto il mondo medico. Pertanto, si giustifica la necessità di un aggiornamento continuo di tutti coloro che direttamente o indirettamente sono coinvolti nella prevenzione o nella terapia dietetica, isolatamente o in team specialistici sempre entro le direttive sancite dalla legge.</w:t>
      </w:r>
      <w:r w:rsidRPr="009B23A8">
        <w:rPr>
          <w:rFonts w:eastAsia="Times New Roman" w:cs="Times New Roman"/>
          <w:szCs w:val="24"/>
          <w:lang w:eastAsia="it-IT"/>
        </w:rPr>
        <w:br/>
        <w:t xml:space="preserve">Il Master prevede non solo una rivisitazione delle premesse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fisio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-patologiche, ma anche l’aggiornamento insito nell’evoluzione e nell’arricchimento epidemiologico del settore.</w:t>
      </w:r>
      <w:r w:rsidRPr="009B23A8">
        <w:rPr>
          <w:rFonts w:eastAsia="Times New Roman" w:cs="Times New Roman"/>
          <w:szCs w:val="24"/>
          <w:lang w:eastAsia="it-IT"/>
        </w:rPr>
        <w:br/>
        <w:t>In particolare verrà curato l’aspetto pratico della dietoterapia e il trasferimento ai discenti della manualità e del progresso nella diagnosi e classificazione dei vari gradi di obesità. A riguardo verranno date le informazioni essenziali sui requisiti nutrizionali dei più comuni alimenti e sul ruolo svolto dalle moderne tecnologie alimentari.</w:t>
      </w:r>
      <w:r w:rsidRPr="009B23A8">
        <w:rPr>
          <w:rFonts w:eastAsia="Times New Roman" w:cs="Times New Roman"/>
          <w:szCs w:val="24"/>
          <w:lang w:eastAsia="it-IT"/>
        </w:rPr>
        <w:br/>
        <w:t>Verrà trattato anche il tema della ristorazione collettiva come momento educativo per gran parte della popolazione sempre nei limiti della tradizione alimentare italiana e del gusto.</w:t>
      </w:r>
    </w:p>
    <w:p w14:paraId="2EAC0321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1" w:name="finalita"/>
      <w:bookmarkEnd w:id="1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FINALITA’</w:t>
      </w:r>
    </w:p>
    <w:p w14:paraId="7283EDC8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Le finalità possono essere sintetizzate:</w:t>
      </w:r>
    </w:p>
    <w:p w14:paraId="4A4617ED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 xml:space="preserve">1)Approfondire le moderne conoscenze applicative della Scienza dell’Alimentazione sia per il raggiungimento e il mantenimento dello stato di salute e del “benessere” delle persone, sia per </w:t>
      </w:r>
      <w:r w:rsidRPr="009B23A8">
        <w:rPr>
          <w:rFonts w:eastAsia="Times New Roman" w:cs="Times New Roman"/>
          <w:szCs w:val="24"/>
          <w:lang w:eastAsia="it-IT"/>
        </w:rPr>
        <w:lastRenderedPageBreak/>
        <w:t xml:space="preserve">una concreta conoscenza della dietoterapia e dei suoi presupposti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fisio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-patologici per una partecipazione più attiva e responsabile </w:t>
      </w:r>
      <w:proofErr w:type="gramStart"/>
      <w:r w:rsidRPr="009B23A8">
        <w:rPr>
          <w:rFonts w:eastAsia="Times New Roman" w:cs="Times New Roman"/>
          <w:szCs w:val="24"/>
          <w:lang w:eastAsia="it-IT"/>
        </w:rPr>
        <w:t>nel team specialistico</w:t>
      </w:r>
      <w:proofErr w:type="gramEnd"/>
      <w:r w:rsidRPr="009B23A8">
        <w:rPr>
          <w:rFonts w:eastAsia="Times New Roman" w:cs="Times New Roman"/>
          <w:szCs w:val="24"/>
          <w:lang w:eastAsia="it-IT"/>
        </w:rPr>
        <w:t>.</w:t>
      </w:r>
    </w:p>
    <w:p w14:paraId="7E10CC1D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2)Aggiornare, in sintonia con il progresso scientifico, le cognizioni relative a temi in evoluzione, come l’impiego di integratori, antiossidanti, sostituti dei pasti e altro in particolari situazioni di vita che possono giovarsi di specifiche attenzioni dietetiche.</w:t>
      </w:r>
    </w:p>
    <w:p w14:paraId="65737FC0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 xml:space="preserve">3)Illustrare le raccomandazioni fornite dagli enti internazionali (OMS, FAO, etc..) e nazionali (INRAN, ISS, e società scientifiche competenti) sulla prevenzione e sulle linee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dietoterapiche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ricollegabili allo stile di vita nelle più comuni patologie.</w:t>
      </w:r>
    </w:p>
    <w:p w14:paraId="1AF8D579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2" w:name="obiettivi"/>
      <w:bookmarkEnd w:id="2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OBIETTIVI FORMATIVI</w:t>
      </w:r>
    </w:p>
    <w:p w14:paraId="59C80CE1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OBIETTIVO NAZIONALE: Documentazione Clinica. Percorsi Clinico-Assistenziali Diagnostici e Riabilitativi, Profili di cura.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 </w:t>
      </w:r>
    </w:p>
    <w:p w14:paraId="6AA2F3A5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– Corretta alimentazione in condizioni fisiologiche e nelle più comuni patologie;</w:t>
      </w:r>
      <w:r w:rsidRPr="009B23A8">
        <w:rPr>
          <w:rFonts w:eastAsia="Times New Roman" w:cs="Times New Roman"/>
          <w:szCs w:val="24"/>
          <w:lang w:eastAsia="it-IT"/>
        </w:rPr>
        <w:br/>
        <w:t>– Nutrizione e dietoterapia;</w:t>
      </w:r>
      <w:r w:rsidRPr="009B23A8">
        <w:rPr>
          <w:rFonts w:eastAsia="Times New Roman" w:cs="Times New Roman"/>
          <w:szCs w:val="24"/>
          <w:lang w:eastAsia="it-IT"/>
        </w:rPr>
        <w:br/>
        <w:t xml:space="preserve">– Accertamento </w:t>
      </w:r>
      <w:proofErr w:type="gramStart"/>
      <w:r w:rsidRPr="009B23A8">
        <w:rPr>
          <w:rFonts w:eastAsia="Times New Roman" w:cs="Times New Roman"/>
          <w:szCs w:val="24"/>
          <w:lang w:eastAsia="it-IT"/>
        </w:rPr>
        <w:t>delle stato</w:t>
      </w:r>
      <w:proofErr w:type="gramEnd"/>
      <w:r w:rsidRPr="009B23A8">
        <w:rPr>
          <w:rFonts w:eastAsia="Times New Roman" w:cs="Times New Roman"/>
          <w:szCs w:val="24"/>
          <w:lang w:eastAsia="it-IT"/>
        </w:rPr>
        <w:t xml:space="preserve"> di nutrizione e conseguenti orientamenti dietetici.</w:t>
      </w:r>
    </w:p>
    <w:p w14:paraId="0869EDF7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3" w:name="programma"/>
      <w:bookmarkEnd w:id="3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PROGRAMMA</w:t>
      </w:r>
    </w:p>
    <w:p w14:paraId="0118DFEB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1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Gli alimenti e il loro valore nutrizionale. I gruppi alimentari. Macronutrienti (Carboidrati, Proteine ,Lipidi). Micronutrienti (Vitamine, sali minerali ). Acqua, Fibra, Alcol.</w:t>
      </w:r>
      <w:r w:rsidRPr="009B23A8">
        <w:rPr>
          <w:rFonts w:eastAsia="Times New Roman" w:cs="Times New Roman"/>
          <w:szCs w:val="24"/>
          <w:lang w:eastAsia="it-IT"/>
        </w:rPr>
        <w:br/>
        <w:t xml:space="preserve">– Anamnesi alimentare, uso corretto del diario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alimentare.Tecniche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di approccio al paziente: il counseling.</w:t>
      </w:r>
      <w:r w:rsidRPr="009B23A8">
        <w:rPr>
          <w:rFonts w:eastAsia="Times New Roman" w:cs="Times New Roman"/>
          <w:szCs w:val="24"/>
          <w:lang w:eastAsia="it-IT"/>
        </w:rPr>
        <w:br/>
        <w:t>– LARN. Come si usano le Tabelle di composizione degli alimenti, Pesi ,Porzioni. Variazioni di peso con la cottura.</w:t>
      </w:r>
      <w:r w:rsidRPr="009B23A8">
        <w:rPr>
          <w:rFonts w:eastAsia="Times New Roman" w:cs="Times New Roman"/>
          <w:szCs w:val="24"/>
          <w:lang w:eastAsia="it-IT"/>
        </w:rPr>
        <w:br/>
        <w:t>– Esercitazioni.</w:t>
      </w:r>
    </w:p>
    <w:p w14:paraId="3252F56A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2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 xml:space="preserve">– Valutazione dello stato nutrizionale. Valutazione dei parametri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bioumorali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. La malnutrizione.</w:t>
      </w:r>
      <w:r w:rsidRPr="009B23A8">
        <w:rPr>
          <w:rFonts w:eastAsia="Times New Roman" w:cs="Times New Roman"/>
          <w:szCs w:val="24"/>
          <w:lang w:eastAsia="it-IT"/>
        </w:rPr>
        <w:br/>
        <w:t>– Tecniche di valutazione antropometrica (peso , altezza, circonferenze…).</w:t>
      </w:r>
      <w:r w:rsidRPr="009B23A8">
        <w:rPr>
          <w:rFonts w:eastAsia="Times New Roman" w:cs="Times New Roman"/>
          <w:szCs w:val="24"/>
          <w:lang w:eastAsia="it-IT"/>
        </w:rPr>
        <w:br/>
        <w:t>– Tecniche di valutazione della composizione corporea: (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Bioimpedenzometria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, Plicometria,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Adipometria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).</w:t>
      </w:r>
    </w:p>
    <w:p w14:paraId="339DC272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– Esercitazioni: Anamnesi Alimentare e Uso del Diario Alimentare. Come impostare una dieta.</w:t>
      </w:r>
    </w:p>
    <w:p w14:paraId="463953B6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3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 xml:space="preserve">–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Vegetarianesimi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e Prevenzione.</w:t>
      </w:r>
      <w:r w:rsidRPr="009B23A8">
        <w:rPr>
          <w:rFonts w:eastAsia="Times New Roman" w:cs="Times New Roman"/>
          <w:szCs w:val="24"/>
          <w:lang w:eastAsia="it-IT"/>
        </w:rPr>
        <w:br/>
        <w:t>– Come impostare uno schema dietetico nell’adulto sano. La Dieta Mediterranea.</w:t>
      </w:r>
      <w:r w:rsidRPr="009B23A8">
        <w:rPr>
          <w:rFonts w:eastAsia="Times New Roman" w:cs="Times New Roman"/>
          <w:szCs w:val="24"/>
          <w:lang w:eastAsia="it-IT"/>
        </w:rPr>
        <w:br/>
        <w:t>– La Dieta Chetogenica.</w:t>
      </w:r>
      <w:r w:rsidRPr="009B23A8">
        <w:rPr>
          <w:rFonts w:eastAsia="Times New Roman" w:cs="Times New Roman"/>
          <w:szCs w:val="24"/>
          <w:lang w:eastAsia="it-IT"/>
        </w:rPr>
        <w:br/>
        <w:t>– Esercitazioni.</w:t>
      </w:r>
    </w:p>
    <w:p w14:paraId="204D4978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4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Alimentazione e sport</w:t>
      </w:r>
      <w:r w:rsidRPr="009B23A8">
        <w:rPr>
          <w:rFonts w:eastAsia="Times New Roman" w:cs="Times New Roman"/>
          <w:szCs w:val="24"/>
          <w:lang w:eastAsia="it-IT"/>
        </w:rPr>
        <w:br/>
        <w:t>– La ristorazione collettiva: ruolo del nutrizionista e sicurezza</w:t>
      </w:r>
      <w:r w:rsidRPr="009B23A8">
        <w:rPr>
          <w:rFonts w:eastAsia="Times New Roman" w:cs="Times New Roman"/>
          <w:szCs w:val="24"/>
          <w:lang w:eastAsia="it-IT"/>
        </w:rPr>
        <w:br/>
        <w:t>– Esercitazioni: La Dieta per lo Sportivo.</w:t>
      </w:r>
      <w:r w:rsidRPr="009B23A8">
        <w:rPr>
          <w:rFonts w:eastAsia="Times New Roman" w:cs="Times New Roman"/>
          <w:szCs w:val="24"/>
          <w:lang w:eastAsia="it-IT"/>
        </w:rPr>
        <w:br/>
      </w:r>
      <w:r w:rsidRPr="009B23A8">
        <w:rPr>
          <w:rFonts w:eastAsia="Times New Roman" w:cs="Times New Roman"/>
          <w:b/>
          <w:bCs/>
          <w:szCs w:val="24"/>
          <w:lang w:eastAsia="it-IT"/>
        </w:rPr>
        <w:lastRenderedPageBreak/>
        <w:t>5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Come impostare uno schema dietetico nelle varie condizioni fisiologiche</w:t>
      </w:r>
      <w:r w:rsidRPr="009B23A8">
        <w:rPr>
          <w:rFonts w:eastAsia="Times New Roman" w:cs="Times New Roman"/>
          <w:szCs w:val="24"/>
          <w:lang w:eastAsia="it-IT"/>
        </w:rPr>
        <w:br/>
        <w:t>– Gravidanza</w:t>
      </w:r>
      <w:r w:rsidRPr="009B23A8">
        <w:rPr>
          <w:rFonts w:eastAsia="Times New Roman" w:cs="Times New Roman"/>
          <w:szCs w:val="24"/>
          <w:lang w:eastAsia="it-IT"/>
        </w:rPr>
        <w:br/>
        <w:t>– Allattamento</w:t>
      </w:r>
      <w:r w:rsidRPr="009B23A8">
        <w:rPr>
          <w:rFonts w:eastAsia="Times New Roman" w:cs="Times New Roman"/>
          <w:szCs w:val="24"/>
          <w:lang w:eastAsia="it-IT"/>
        </w:rPr>
        <w:br/>
        <w:t>– Menopausa</w:t>
      </w:r>
      <w:r w:rsidRPr="009B23A8">
        <w:rPr>
          <w:rFonts w:eastAsia="Times New Roman" w:cs="Times New Roman"/>
          <w:szCs w:val="24"/>
          <w:lang w:eastAsia="it-IT"/>
        </w:rPr>
        <w:br/>
        <w:t>– Anziano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50084261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6 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Approccio dietetico nelle malattie metaboliche :</w:t>
      </w:r>
      <w:r w:rsidRPr="009B23A8">
        <w:rPr>
          <w:rFonts w:eastAsia="Times New Roman" w:cs="Times New Roman"/>
          <w:szCs w:val="24"/>
          <w:lang w:eastAsia="it-IT"/>
        </w:rPr>
        <w:br/>
        <w:t>– Sindrome metabolica.</w:t>
      </w:r>
      <w:r w:rsidRPr="009B23A8">
        <w:rPr>
          <w:rFonts w:eastAsia="Times New Roman" w:cs="Times New Roman"/>
          <w:szCs w:val="24"/>
          <w:lang w:eastAsia="it-IT"/>
        </w:rPr>
        <w:br/>
        <w:t xml:space="preserve">–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Obesita’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.</w:t>
      </w:r>
      <w:r w:rsidRPr="009B23A8">
        <w:rPr>
          <w:rFonts w:eastAsia="Times New Roman" w:cs="Times New Roman"/>
          <w:szCs w:val="24"/>
          <w:lang w:eastAsia="it-IT"/>
        </w:rPr>
        <w:br/>
        <w:t>– Diabete. Tipo di strategie nutrizionali.</w:t>
      </w:r>
    </w:p>
    <w:p w14:paraId="67E76F82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– Diabete Tipo 1. La conta dei carboidrati.</w:t>
      </w:r>
      <w:r w:rsidRPr="009B23A8">
        <w:rPr>
          <w:rFonts w:eastAsia="Times New Roman" w:cs="Times New Roman"/>
          <w:szCs w:val="24"/>
          <w:lang w:eastAsia="it-IT"/>
        </w:rPr>
        <w:br/>
        <w:t xml:space="preserve">– Patologie apparato cardiovascolare (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dislipidemie,ipertensione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).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34ADBA20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7 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Approccio dietetico in pediatria e nell’età evolutiva.</w:t>
      </w:r>
      <w:r w:rsidRPr="009B23A8">
        <w:rPr>
          <w:rFonts w:eastAsia="Times New Roman" w:cs="Times New Roman"/>
          <w:szCs w:val="24"/>
          <w:lang w:eastAsia="it-IT"/>
        </w:rPr>
        <w:br/>
        <w:t>– LARN e misure antropometriche in età pediatrica.</w:t>
      </w:r>
      <w:r w:rsidRPr="009B23A8">
        <w:rPr>
          <w:rFonts w:eastAsia="Times New Roman" w:cs="Times New Roman"/>
          <w:szCs w:val="24"/>
          <w:lang w:eastAsia="it-IT"/>
        </w:rPr>
        <w:br/>
        <w:t>– Divezzamento.</w:t>
      </w:r>
      <w:r w:rsidRPr="009B23A8">
        <w:rPr>
          <w:rFonts w:eastAsia="Times New Roman" w:cs="Times New Roman"/>
          <w:szCs w:val="24"/>
          <w:lang w:eastAsia="it-IT"/>
        </w:rPr>
        <w:br/>
        <w:t>– Obesità infantile.</w:t>
      </w:r>
      <w:r w:rsidRPr="009B23A8">
        <w:rPr>
          <w:rFonts w:eastAsia="Times New Roman" w:cs="Times New Roman"/>
          <w:szCs w:val="24"/>
          <w:lang w:eastAsia="it-IT"/>
        </w:rPr>
        <w:br/>
        <w:t>– Diabete infantile.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07CA26AF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8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Approccio dietetico nelle patologie dell’apparato gastrointestinale: patologie dell’esofago, stomaco, intestino.</w:t>
      </w:r>
      <w:r w:rsidRPr="009B23A8">
        <w:rPr>
          <w:rFonts w:eastAsia="Times New Roman" w:cs="Times New Roman"/>
          <w:szCs w:val="24"/>
          <w:lang w:eastAsia="it-IT"/>
        </w:rPr>
        <w:br/>
        <w:t>– La dieta nelle Malattie infiammatorie croniche intestinali (MICI )</w:t>
      </w:r>
      <w:r w:rsidRPr="009B23A8">
        <w:rPr>
          <w:rFonts w:eastAsia="Times New Roman" w:cs="Times New Roman"/>
          <w:szCs w:val="24"/>
          <w:lang w:eastAsia="it-IT"/>
        </w:rPr>
        <w:br/>
        <w:t>– La dieta nella Celiachia. Intolleranze Alimentari.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713ABEDE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9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Approccio dietetico nelle patologie del fegato e vie biliari</w:t>
      </w:r>
      <w:r w:rsidRPr="009B23A8">
        <w:rPr>
          <w:rFonts w:eastAsia="Times New Roman" w:cs="Times New Roman"/>
          <w:szCs w:val="24"/>
          <w:lang w:eastAsia="it-IT"/>
        </w:rPr>
        <w:br/>
        <w:t>– Approccio dietetico nelle malattie del rene e del pancreas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75B94CCC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10 Modulo</w:t>
      </w:r>
      <w:r w:rsidRPr="009B23A8">
        <w:rPr>
          <w:rFonts w:eastAsia="Times New Roman" w:cs="Times New Roman"/>
          <w:b/>
          <w:bCs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t>– DCA (disturbi del comportamento alimentare).</w:t>
      </w:r>
      <w:r w:rsidRPr="009B23A8">
        <w:rPr>
          <w:rFonts w:eastAsia="Times New Roman" w:cs="Times New Roman"/>
          <w:szCs w:val="24"/>
          <w:lang w:eastAsia="it-IT"/>
        </w:rPr>
        <w:br/>
        <w:t>– Nutrigenomica.</w:t>
      </w:r>
      <w:r w:rsidRPr="009B23A8">
        <w:rPr>
          <w:rFonts w:eastAsia="Times New Roman" w:cs="Times New Roman"/>
          <w:szCs w:val="24"/>
          <w:lang w:eastAsia="it-IT"/>
        </w:rPr>
        <w:br/>
        <w:t>– Il Microbiota.</w:t>
      </w:r>
      <w:r w:rsidRPr="009B23A8">
        <w:rPr>
          <w:rFonts w:eastAsia="Times New Roman" w:cs="Times New Roman"/>
          <w:szCs w:val="24"/>
          <w:lang w:eastAsia="it-IT"/>
        </w:rPr>
        <w:br/>
        <w:t>– Esercitazioni</w:t>
      </w:r>
    </w:p>
    <w:p w14:paraId="0555208E" w14:textId="77777777" w:rsid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Esame finale</w:t>
      </w:r>
      <w:bookmarkStart w:id="4" w:name="responsabile"/>
      <w:bookmarkEnd w:id="4"/>
    </w:p>
    <w:p w14:paraId="1FE0BA5D" w14:textId="3CD9A9D5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RESPONSABILE SCIENTIFICO/DIDATTICO</w:t>
      </w:r>
    </w:p>
    <w:p w14:paraId="6A4F2A59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Prof. Eugenio DEL TOMA</w:t>
      </w:r>
      <w:r w:rsidRPr="009B23A8">
        <w:rPr>
          <w:rFonts w:eastAsia="Times New Roman" w:cs="Times New Roman"/>
          <w:szCs w:val="24"/>
          <w:lang w:eastAsia="it-IT"/>
        </w:rPr>
        <w:t> – Primario Emerito Dietologia e Diabetologia. Professore associato di Nutrizione Clinica. Università Campus Biomedico di Roma. Presidente onorario dell’Associazione Italiana Dietetica e Nutrizione Clinica (ADI).</w:t>
      </w:r>
      <w:r w:rsidRPr="009B23A8">
        <w:rPr>
          <w:rFonts w:eastAsia="Times New Roman" w:cs="Times New Roman"/>
          <w:szCs w:val="24"/>
          <w:lang w:eastAsia="it-IT"/>
        </w:rPr>
        <w:br/>
      </w:r>
      <w:r w:rsidRPr="009B23A8">
        <w:rPr>
          <w:rFonts w:eastAsia="Times New Roman" w:cs="Times New Roman"/>
          <w:szCs w:val="24"/>
          <w:lang w:eastAsia="it-IT"/>
        </w:rPr>
        <w:lastRenderedPageBreak/>
        <w:t xml:space="preserve">Laureato in Medicina e Chirurgia a Roma presso La Sapienza, dove ha poi conseguito le specializzazioni in Scienza dell’Alimentazione e in Gastroenterologia. Ha diretto per oltre 30 anni  il Servizio di Dietologia e Diabetologia dell’Azienda Ospedaliera “San Camillo-Forlanini”, con successiva nomina a Primario Emerito. Attualmente, è Professore associato di Nutrizione Clinica dell’Università Campus-Biomedico di Roma dove insegna e dirige l’ambulatorio di Nutrizione clinica, annesso alla Gastroenterologia. E’ tuttora docente a contratto, per i Corsi di Laurea in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Dietistica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e Master nell’Università “La Sapienza” di Roma e nell’Università di Siena. Ha pubblicato più di cento lavori scientifici, oltre a due testi universitari “Dietoterapia e Nutrizione Clinica” e “Prevenzione e Terapia Dietetica” (Il Pensiero Scientifico Editore). E’ autore di diversi libri di divulgazione scientifica, fra i quali la “Guida all’Alimentazione”, nella Collana “Grandi Opere” del Gruppo editoriale L’Espresso, “Il gourmet di lunga vita” (Laterza), “Alimentazione: domande e risposte” e i recenti “Vivere senza dieta” e “La dieta si fa contando i passi” (2011, Il Pensiero Scientifico Editore).Iscritto all’Albo dei giornalisti ha una rubrica settimanale su “Salute” di Repubblica ed è consulente scientifico della RAI-TV per la rubrica di medicina “Elisir”. Già Presidente, per due mandati, dell’Associazione Italiana di Dietetica e Nutrizione Clinica (ADI) ne è oggi Presidente Onorario e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Managing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Director del “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Mediterranean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Journal of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Nutrition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and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Metabolism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”. Come esperto di Nutrizione fa parte di Comitati Scientifici e di Commissioni ministeriali, tra cui, per più mandati, della Commissione Consultiva per i Dietetici del Ministero della Salute e tuttora, per il Ministero delle Politiche Agricole, nel “Comitato di coordinamento delle iniziative in materia di alimentazione”.</w:t>
      </w:r>
    </w:p>
    <w:p w14:paraId="7A188B58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5" w:name="docenti"/>
      <w:bookmarkEnd w:id="5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DOCENTI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9B23A8" w:rsidRPr="009B23A8" w14:paraId="2F60B863" w14:textId="77777777" w:rsidTr="009B23A8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A8D6" w14:textId="4E196A3A" w:rsidR="009B23A8" w:rsidRPr="009B23A8" w:rsidRDefault="009B23A8" w:rsidP="009B23A8">
            <w:pPr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43ADC41B" wp14:editId="4056697B">
                  <wp:extent cx="1430020" cy="1430020"/>
                  <wp:effectExtent l="0" t="0" r="0" b="0"/>
                  <wp:docPr id="12" name="Immagine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DA54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Stefania  AGRIGENTO  – 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Biologo Nutrizionista. Laurea Scienza della Nutrizione Umana. Consigliere Direttivo  ADI  regionale Lazio (Associazione Italiana  di Dietetica e Nutrizione Clinica). Frequenza c/o il reparto di Diabetologia,  Ospedale San Camillo Forlanini dal 2002 ad ora, dove tiene corsi di Terapia nutrizionale (CHO 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counting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) del paziente 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insulino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dipendente portatore di microinfusore (CSSI).</w:t>
            </w:r>
          </w:p>
        </w:tc>
      </w:tr>
    </w:tbl>
    <w:p w14:paraId="2C8E68B6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Dott.ssa Giulia BELLINI</w:t>
      </w:r>
      <w:r w:rsidRPr="009B23A8">
        <w:rPr>
          <w:rFonts w:eastAsia="Times New Roman" w:cs="Times New Roman"/>
          <w:szCs w:val="24"/>
          <w:lang w:eastAsia="it-IT"/>
        </w:rPr>
        <w:t>– Dietista presso RSA Santa Chiara di Roma. Libero Professionista presso studio privato. Consulente e Formatore HACCP.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9B23A8" w:rsidRPr="009B23A8" w14:paraId="4D22CEA0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3D12D" w14:textId="25FFD224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7C491599" wp14:editId="041147E5">
                  <wp:extent cx="1430020" cy="1430020"/>
                  <wp:effectExtent l="0" t="0" r="0" b="0"/>
                  <wp:docPr id="11" name="Immagine 11" descr="Copia di CART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pia di CART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9AFE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Giuliana CARTA 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>– Medico Chirurgo. Specializzata in Scienza dell’Alimentazione. Medico frequentatore presso la Struttura Dipartimentale di Diabetologia e Malattie Metaboliche – Azienda Ospedaliera S. Camillo-Forlanini.</w:t>
            </w:r>
          </w:p>
        </w:tc>
      </w:tr>
    </w:tbl>
    <w:p w14:paraId="4B5DAD7C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Dott.ssa Donatella CIARAPICA </w:t>
      </w:r>
      <w:r w:rsidRPr="009B23A8">
        <w:rPr>
          <w:rFonts w:eastAsia="Times New Roman" w:cs="Times New Roman"/>
          <w:szCs w:val="24"/>
          <w:lang w:eastAsia="it-IT"/>
        </w:rPr>
        <w:t xml:space="preserve">– Laurea I livello in “Tecniche sanitarie di laboratorio Biomedico”, inquadrata come Tecnico (CTER) all’interno del CRA-NUT. (Consiglio Ricerca e Sperimentazione in Agricoltura – Centro Nutrizione). Si occupa delle misure inerenti all’area della composizione corporea e del dispendio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energetico,utilizzando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sia strumentazioni portatili </w:t>
      </w:r>
      <w:r w:rsidRPr="009B23A8">
        <w:rPr>
          <w:rFonts w:eastAsia="Times New Roman" w:cs="Times New Roman"/>
          <w:szCs w:val="24"/>
          <w:lang w:eastAsia="it-IT"/>
        </w:rPr>
        <w:lastRenderedPageBreak/>
        <w:t xml:space="preserve">(plicometri,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bioimpedenziometri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, sistema metabolico K4b2, accelerometri, cardiofrequenzimetri) che strumentazioni complesse (pesata idrostatica, camera calorimetrica).</w:t>
      </w:r>
    </w:p>
    <w:p w14:paraId="63D55452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Dott.ssa Nicoletta  DE AGRO’</w:t>
      </w:r>
      <w:r w:rsidRPr="009B23A8">
        <w:rPr>
          <w:rFonts w:eastAsia="Times New Roman" w:cs="Times New Roman"/>
          <w:szCs w:val="24"/>
          <w:lang w:eastAsia="it-IT"/>
        </w:rPr>
        <w:t xml:space="preserve"> – Dietista laureata. In servizio presso la UOSD Nutrizione Clinica, Ambulatorio di Dietologia e Day Hospital Disturbi del Comportamento Alimentare dell’ Az. 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Osped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>. S. Giovanni Addolorata.</w:t>
      </w:r>
    </w:p>
    <w:p w14:paraId="0A10CBAC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Prof. Eugenio DEL TOMA</w:t>
      </w:r>
      <w:r w:rsidRPr="009B23A8">
        <w:rPr>
          <w:rFonts w:eastAsia="Times New Roman" w:cs="Times New Roman"/>
          <w:szCs w:val="24"/>
          <w:lang w:eastAsia="it-IT"/>
        </w:rPr>
        <w:t> – Predetto.</w:t>
      </w: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6448"/>
      </w:tblGrid>
      <w:tr w:rsidR="009B23A8" w:rsidRPr="009B23A8" w14:paraId="738BFB46" w14:textId="77777777" w:rsidTr="009B23A8">
        <w:trPr>
          <w:tblCellSpacing w:w="15" w:type="dxa"/>
        </w:trPr>
        <w:tc>
          <w:tcPr>
            <w:tcW w:w="1755" w:type="dxa"/>
            <w:vAlign w:val="center"/>
            <w:hideMark/>
          </w:tcPr>
          <w:p w14:paraId="41623EF4" w14:textId="303763AE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1ACE8DF6" wp14:editId="2337D6C7">
                  <wp:extent cx="1430020" cy="1430020"/>
                  <wp:effectExtent l="0" t="0" r="0" b="0"/>
                  <wp:docPr id="10" name="Immagine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14:paraId="7115FCB1" w14:textId="77777777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 Mariarosa DI LELLA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– Biologo Nutrizionista.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br/>
              <w:t>Master di II Livello   “Educazione e Prevenzione dei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br/>
              <w:t>Disturbi  e delle Patologie dell’alimentazione”</w:t>
            </w:r>
          </w:p>
        </w:tc>
      </w:tr>
    </w:tbl>
    <w:p w14:paraId="5C3398B3" w14:textId="77777777" w:rsidR="009B23A8" w:rsidRPr="009B23A8" w:rsidRDefault="009B23A8" w:rsidP="009B23A8">
      <w:pPr>
        <w:rPr>
          <w:rFonts w:eastAsia="Times New Roman" w:cs="Times New Roman"/>
          <w:vanish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736"/>
      </w:tblGrid>
      <w:tr w:rsidR="009B23A8" w:rsidRPr="009B23A8" w14:paraId="648F3EB8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F700" w14:textId="6C4415E8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0128E81E" wp14:editId="675ABEED">
                  <wp:extent cx="1453662" cy="1959529"/>
                  <wp:effectExtent l="0" t="0" r="0" b="3175"/>
                  <wp:docPr id="9" name="Immagin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167" cy="199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8B06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Prof.ssa Laura DI RENZO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> – Farmacista, Biologo, Specialista in Scienza dell’Alimentazione. Professore Aggregato nel Settore Scienze e Tecniche Dietetiche Applicate presso l’Università Tor Vergata di Roma. Ricercatore confermato presso la Sezione di Nutrizione clinica e Nutrigenomica, Dipartimento Biomedicina e Prevenzione – Università Tor Vergata di Roma.</w:t>
            </w:r>
          </w:p>
        </w:tc>
      </w:tr>
    </w:tbl>
    <w:p w14:paraId="6665F501" w14:textId="77777777" w:rsidR="009B23A8" w:rsidRPr="009B23A8" w:rsidRDefault="009B23A8" w:rsidP="009B23A8">
      <w:pPr>
        <w:rPr>
          <w:rFonts w:eastAsia="Times New Roman" w:cs="Times New Roman"/>
          <w:vanish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6745"/>
      </w:tblGrid>
      <w:tr w:rsidR="009B23A8" w:rsidRPr="009B23A8" w14:paraId="1C3E674E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113C" w14:textId="14F58748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195D80E5" wp14:editId="1F20E840">
                  <wp:extent cx="1443497" cy="1606062"/>
                  <wp:effectExtent l="0" t="0" r="4445" b="0"/>
                  <wp:docPr id="8" name="Immagin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75" cy="164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1DE3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 Alessio FRANCO 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– Attualmente docente in “Scienze tecniche dietetiche applicate” per il corso di laurea di 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Dietistica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>, presso la facoltà di “Medicina e chirurgia” dell’Università Cattolica Sacro Cuore   (Policlinico A. Gemelli) di Roma e presso l’università “Claudiana” di Bolzano.  In servizio presso l’Istituto Nazionale di Medicina e Scienze dello Sport – C.O.N.I. di Roma. Dietista della Nazionale Italiana di Canottaggio (F.I.C.). Dietista della Nazionale Italiana di Hockey su prato (FIH). Docente per il Master Universitario di I Livello “Alimentazione per il benessere,  la salute e lo sport” presso Università Cattolica del Sacro Cuore di Roma.</w:t>
            </w:r>
          </w:p>
        </w:tc>
      </w:tr>
    </w:tbl>
    <w:p w14:paraId="210DED03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Dott.ssa  Carla  GUERRA </w:t>
      </w:r>
      <w:r w:rsidRPr="009B23A8">
        <w:rPr>
          <w:rFonts w:eastAsia="Times New Roman" w:cs="Times New Roman"/>
          <w:szCs w:val="24"/>
          <w:lang w:eastAsia="it-IT"/>
        </w:rPr>
        <w:t>– Biologo – Nutrizionista. Dietista in ruolo presso l’ I.N.M.I.  L. Spallanzani di Roma. Docente di Scienza dell’Alimentazione presso la facoltà di Infermieristica dell’  Università degli Studi di Roma ” LA SAPIENZA”. Docente nel Master di II Livello “Nutrizione Personalizzata: basi molecolari e genetiche” presso l’Università degli Studi di Roma Tor Vergata.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584"/>
      </w:tblGrid>
      <w:tr w:rsidR="009B23A8" w:rsidRPr="009B23A8" w14:paraId="2B970761" w14:textId="77777777" w:rsidTr="009B23A8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A3F1E" w14:textId="07A01BA3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lastRenderedPageBreak/>
              <w:drawing>
                <wp:inline distT="0" distB="0" distL="0" distR="0" wp14:anchorId="33269B4C" wp14:editId="65B9AED2">
                  <wp:extent cx="1336430" cy="133643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33" cy="134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301F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 Piero LABATE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– Biologo Nutrizionista, libero professionista occupato nel settore sovrappeso, obesità e gestione peri-operatoria del paziente grande obeso. Dottore magistrale in Scienze dell’Alimentazione e della Nutrizione Umana, PhD in Medicina Clinica e Molecolare.</w:t>
            </w:r>
          </w:p>
        </w:tc>
      </w:tr>
    </w:tbl>
    <w:p w14:paraId="5C02E04A" w14:textId="77777777" w:rsidR="009B23A8" w:rsidRPr="009B23A8" w:rsidRDefault="009B23A8" w:rsidP="009B23A8">
      <w:pPr>
        <w:rPr>
          <w:rFonts w:eastAsia="Times New Roman" w:cs="Times New Roman"/>
          <w:vanish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6799"/>
      </w:tblGrid>
      <w:tr w:rsidR="009B23A8" w:rsidRPr="009B23A8" w14:paraId="37DDDCC2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35EBB" w14:textId="341C7D06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6B208A3C" wp14:editId="58248553">
                  <wp:extent cx="1364600" cy="1336430"/>
                  <wp:effectExtent l="0" t="0" r="7620" b="0"/>
                  <wp:docPr id="6" name="Immagine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21" cy="135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22B3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Enrica MARCHIORI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> – Biologa Nutrizionista. Collaboratore presso l’Istituto di Medicina e Scienza dello Sport del CONI. Docente presso la Scuola dello Sport del CONI</w:t>
            </w:r>
          </w:p>
        </w:tc>
      </w:tr>
    </w:tbl>
    <w:p w14:paraId="556ACD00" w14:textId="77777777" w:rsidR="009B23A8" w:rsidRPr="009B23A8" w:rsidRDefault="009B23A8" w:rsidP="009B23A8">
      <w:pPr>
        <w:rPr>
          <w:rFonts w:eastAsia="Times New Roman" w:cs="Times New Roman"/>
          <w:vanish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9B23A8" w:rsidRPr="009B23A8" w14:paraId="53D1D9B9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6F02" w14:textId="3252F89E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5A641D43" wp14:editId="4CC81178">
                  <wp:extent cx="1430020" cy="1430020"/>
                  <wp:effectExtent l="0" t="0" r="0" b="0"/>
                  <wp:docPr id="5" name="Immagine 5" descr="Copia di MARIAN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pia di MARIAN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9B23A8">
                <w:rPr>
                  <w:rFonts w:eastAsia="Times New Roman" w:cs="Times New Roman"/>
                  <w:color w:val="0000FF"/>
                  <w:szCs w:val="24"/>
                  <w:u w:val="single"/>
                  <w:lang w:eastAsia="it-IT"/>
                </w:rPr>
                <w:br/>
              </w:r>
            </w:hyperlink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A327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Marina MARIANI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 – Biologo-Nutrizionista. In servizio come Dietista Collaboratore professionale Ospedale S. Eugenio di Roma. Componente del Team di Nutrizione Artificiale dell’Ospedale 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S.Eugenio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di Roma.</w:t>
            </w:r>
          </w:p>
        </w:tc>
      </w:tr>
      <w:tr w:rsidR="009B23A8" w:rsidRPr="009B23A8" w14:paraId="7B266F46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5DC8" w14:textId="1544D563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4DC38681" wp14:editId="6D4899E5">
                  <wp:extent cx="1430020" cy="1430020"/>
                  <wp:effectExtent l="0" t="0" r="0" b="0"/>
                  <wp:docPr id="4" name="Immagine 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97C0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Dott.ssa Maria Pia MULI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> – Biologo. Specializzata in Scienze dell’Alimentazione. Dal 1996 si occupa di nutrizione umana e dietetica delle collettività, in collaborazione con istituzioni pubbliche e private.</w:t>
            </w:r>
          </w:p>
        </w:tc>
      </w:tr>
    </w:tbl>
    <w:p w14:paraId="0C87B80F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Dott.ssa Angela  POLITO </w:t>
      </w:r>
      <w:r w:rsidRPr="009B23A8">
        <w:rPr>
          <w:rFonts w:eastAsia="Times New Roman" w:cs="Times New Roman"/>
          <w:szCs w:val="24"/>
          <w:lang w:eastAsia="it-IT"/>
        </w:rPr>
        <w:t xml:space="preserve">– Laureata in Scienze Biologiche presso l’Università degli Studi di Roma “la Sapienza” nel 1985. Dal 1989 è dipendente dell’Istituto Nazionale di Ricerca per gli Alimenti e la Nutrizione con la qualifica di Tecnologo ed è responsabile del laboratorio del dispendio energetico e composizione corporea. E’ componente del Gruppo di  esperti per la Revisione del Fabbisogno Energetico  della popolazione </w:t>
      </w:r>
      <w:proofErr w:type="gramStart"/>
      <w:r w:rsidRPr="009B23A8">
        <w:rPr>
          <w:rFonts w:eastAsia="Times New Roman" w:cs="Times New Roman"/>
          <w:szCs w:val="24"/>
          <w:lang w:eastAsia="it-IT"/>
        </w:rPr>
        <w:t>Italiana</w:t>
      </w:r>
      <w:proofErr w:type="gramEnd"/>
      <w:r w:rsidRPr="009B23A8">
        <w:rPr>
          <w:rFonts w:eastAsia="Times New Roman" w:cs="Times New Roman"/>
          <w:szCs w:val="24"/>
          <w:lang w:eastAsia="it-IT"/>
        </w:rPr>
        <w:t xml:space="preserve"> e  delle “Linee Guida per una sana Alimentazione Italiana”.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9B23A8" w:rsidRPr="009B23A8" w14:paraId="71D88625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CD304" w14:textId="4E11421A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610BE3AB" wp14:editId="0C19EE28">
                  <wp:extent cx="1324708" cy="1297545"/>
                  <wp:effectExtent l="0" t="0" r="8890" b="0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021" cy="132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29CD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 xml:space="preserve">Dott. Mauro ROSSINI 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>– Medico Chirurgo – Dirigente Medico Dietologo Ospedaliero presso Ospedale S. Spirito (Roma). Responsabile  dell’attività diabetologica per  il  PDTA-DIABETE  presso la Casa della Salute  (PRATI-TRIONFALE   ASL RM1)</w:t>
            </w:r>
          </w:p>
        </w:tc>
      </w:tr>
      <w:tr w:rsidR="009B23A8" w:rsidRPr="009B23A8" w14:paraId="3EDD6212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3035" w14:textId="43BE7F91" w:rsidR="009B23A8" w:rsidRPr="009B23A8" w:rsidRDefault="009B23A8" w:rsidP="009B23A8">
            <w:pPr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lastRenderedPageBreak/>
              <w:drawing>
                <wp:inline distT="0" distB="0" distL="0" distR="0" wp14:anchorId="202A0B0A" wp14:editId="0959592B">
                  <wp:extent cx="1430020" cy="1430020"/>
                  <wp:effectExtent l="0" t="0" r="0" b="0"/>
                  <wp:docPr id="2" name="Immagine 2" descr="SANDRI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NDRI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9B23A8">
                <w:rPr>
                  <w:rFonts w:eastAsia="Times New Roman" w:cs="Times New Roman"/>
                  <w:color w:val="0000FF"/>
                  <w:szCs w:val="24"/>
                  <w:u w:val="single"/>
                  <w:lang w:eastAsia="it-IT"/>
                </w:rPr>
                <w:br/>
              </w:r>
            </w:hyperlink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10FB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 Giancarlo SANDRI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– Medico Chirurgo. Specializzato in Scienze dell’Alimentazione, Ematologia Clinica e di Laboratorio, Clinica Pediatrica e Medicina Interna. Già Dirigente Responsabile della Unità Operativa di Nutrizione Clinica dell’Ospedale 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S.Eugenio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di Roma. Membro del Consiglio Direttivo nazionale della Società Italiana di Nutrizione Artificiale e Metabolismo (SINPE).</w:t>
            </w:r>
          </w:p>
        </w:tc>
      </w:tr>
    </w:tbl>
    <w:p w14:paraId="4E08342A" w14:textId="77777777" w:rsidR="009B23A8" w:rsidRPr="009B23A8" w:rsidRDefault="009B23A8" w:rsidP="009B23A8">
      <w:pPr>
        <w:rPr>
          <w:rFonts w:eastAsia="Times New Roman" w:cs="Times New Roman"/>
          <w:vanish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9B23A8" w:rsidRPr="009B23A8" w14:paraId="471E68CE" w14:textId="77777777" w:rsidTr="009B23A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111E" w14:textId="7F0462C1" w:rsidR="009B23A8" w:rsidRPr="009B23A8" w:rsidRDefault="009B23A8" w:rsidP="009B23A8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noProof/>
                <w:color w:val="0000FF"/>
                <w:szCs w:val="24"/>
                <w:lang w:eastAsia="it-IT"/>
              </w:rPr>
              <w:drawing>
                <wp:inline distT="0" distB="0" distL="0" distR="0" wp14:anchorId="07F6320A" wp14:editId="6D3AACCF">
                  <wp:extent cx="1430020" cy="1430020"/>
                  <wp:effectExtent l="0" t="0" r="0" b="0"/>
                  <wp:docPr id="1" name="Immagine 1" descr="Dott. Spigone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tt. Spigone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67EA" w14:textId="77777777" w:rsidR="009B23A8" w:rsidRPr="009B23A8" w:rsidRDefault="009B23A8" w:rsidP="009B23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9B23A8">
              <w:rPr>
                <w:rFonts w:eastAsia="Times New Roman" w:cs="Times New Roman"/>
                <w:b/>
                <w:bCs/>
                <w:szCs w:val="24"/>
                <w:lang w:eastAsia="it-IT"/>
              </w:rPr>
              <w:t>Dott. Carlo SPIGONE </w:t>
            </w:r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– Laureato in Medicina e Chirurgia, Specializzato in Igiene e Medicina Preventiva e Specializzato in Angiologia Medica. Dirigente Medico Responsabile della UOS –Distretto 17 e Coordinamento Aziendale per i programmi di prevenzione IAN-ASL RME. </w:t>
            </w:r>
            <w:proofErr w:type="gramStart"/>
            <w:r w:rsidRPr="009B23A8">
              <w:rPr>
                <w:rFonts w:eastAsia="Times New Roman" w:cs="Times New Roman"/>
                <w:szCs w:val="24"/>
                <w:lang w:eastAsia="it-IT"/>
              </w:rPr>
              <w:t>Vice Direttore</w:t>
            </w:r>
            <w:proofErr w:type="gram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della UOC SIAN (Servizio Igiene Alimenti e Nutrizione) della ASL Roma 1. Responsabile SIAN ASL Roma 1 per la giornata nazionale dell’</w:t>
            </w:r>
            <w:proofErr w:type="spellStart"/>
            <w:r w:rsidRPr="009B23A8">
              <w:rPr>
                <w:rFonts w:eastAsia="Times New Roman" w:cs="Times New Roman"/>
                <w:szCs w:val="24"/>
                <w:lang w:eastAsia="it-IT"/>
              </w:rPr>
              <w:t>Obesity</w:t>
            </w:r>
            <w:proofErr w:type="spellEnd"/>
            <w:r w:rsidRPr="009B23A8">
              <w:rPr>
                <w:rFonts w:eastAsia="Times New Roman" w:cs="Times New Roman"/>
                <w:szCs w:val="24"/>
                <w:lang w:eastAsia="it-IT"/>
              </w:rPr>
              <w:t xml:space="preserve"> Day.</w:t>
            </w:r>
          </w:p>
        </w:tc>
      </w:tr>
    </w:tbl>
    <w:p w14:paraId="74A776C8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br/>
        <w:t>Prof.ssa Giuliana VINCI </w:t>
      </w:r>
      <w:r w:rsidRPr="009B23A8">
        <w:rPr>
          <w:rFonts w:eastAsia="Times New Roman" w:cs="Times New Roman"/>
          <w:szCs w:val="24"/>
          <w:lang w:eastAsia="it-IT"/>
        </w:rPr>
        <w:t>– “Professore Associato” di SCIENZE MERCEOLOGICHE” (SECS-P/13) -Sapienza Università di Roma. Docente di “Tecnologie Alimentari e Nutrizione nei PVS”  (Corso di Laurea “Cooperazione Internazionale e Sviluppo”); “Biotecnologie e Sviluppo Sostenibile”, (Corso di Laurea Magistrale “Scienze  dello Sviluppo e della Cooperazione Internazionale). Docente di  “Chimica degli Alimenti e Tecnologie Alimentari” (Corso di laurea “Dietista” – Sapienza Università di Roma). Docente di  “Merceologia e Tecnologie Alimentari” (Scuola di Specializzazione in Scienza dell’Alimentazione – Sapienza Università di Roma).</w:t>
      </w:r>
    </w:p>
    <w:p w14:paraId="5784CF97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6" w:name="titolo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TITOLO FINALE*</w:t>
      </w:r>
    </w:p>
    <w:p w14:paraId="713D4BF4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Previa ammissione e superamento dell’esame finale, verranno conferiti agli iscritti:</w:t>
      </w:r>
      <w:r w:rsidRPr="009B23A8">
        <w:rPr>
          <w:rFonts w:eastAsia="Times New Roman" w:cs="Times New Roman"/>
          <w:szCs w:val="24"/>
          <w:lang w:eastAsia="it-IT"/>
        </w:rPr>
        <w:br/>
        <w:t>– l’Attestato di “</w:t>
      </w:r>
      <w:r w:rsidRPr="009B23A8">
        <w:rPr>
          <w:rFonts w:eastAsia="Times New Roman" w:cs="Times New Roman"/>
          <w:b/>
          <w:bCs/>
          <w:szCs w:val="24"/>
          <w:lang w:eastAsia="it-IT"/>
        </w:rPr>
        <w:t xml:space="preserve">Master   in    Dietologia   e     Nutrizione </w:t>
      </w:r>
      <w:r w:rsidRPr="009B23A8">
        <w:rPr>
          <w:rFonts w:eastAsia="Times New Roman" w:cs="Times New Roman"/>
          <w:szCs w:val="24"/>
          <w:lang w:eastAsia="it-IT"/>
        </w:rPr>
        <w:t>”    rilasciato  dall’Istituto di Alta   Formazione*.</w:t>
      </w:r>
      <w:r w:rsidRPr="009B23A8">
        <w:rPr>
          <w:rFonts w:eastAsia="Times New Roman" w:cs="Times New Roman"/>
          <w:szCs w:val="24"/>
          <w:lang w:eastAsia="it-IT"/>
        </w:rPr>
        <w:br/>
        <w:t>– il Certificato dei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Crediti Formativi ECM</w:t>
      </w:r>
      <w:r w:rsidRPr="009B23A8">
        <w:rPr>
          <w:rFonts w:eastAsia="Times New Roman" w:cs="Times New Roman"/>
          <w:szCs w:val="24"/>
          <w:lang w:eastAsia="it-IT"/>
        </w:rPr>
        <w:t> (Educazione Continua in Medicina).</w:t>
      </w:r>
    </w:p>
    <w:p w14:paraId="5797BE02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i/>
          <w:iCs/>
          <w:szCs w:val="24"/>
          <w:lang w:eastAsia="it-IT"/>
        </w:rPr>
        <w:t>Si precisa che il corso non equivale ai Master o corsi di perfezionamento universitari.</w:t>
      </w:r>
    </w:p>
    <w:p w14:paraId="736141FE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Saranno inviati a richiesta di privati e con il consenso degli interessati, i nominativi di quanti avranno frequentato con profitto il Master.</w:t>
      </w:r>
    </w:p>
    <w:p w14:paraId="752DA35C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7" w:name="destinatari"/>
      <w:bookmarkEnd w:id="7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DESTINATARI**</w:t>
      </w:r>
    </w:p>
    <w:p w14:paraId="38A8FC80" w14:textId="6CA679CB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</w:t>
      </w:r>
      <w:r w:rsidRPr="009B23A8">
        <w:rPr>
          <w:rFonts w:eastAsia="Times New Roman" w:cs="Times New Roman"/>
          <w:szCs w:val="24"/>
          <w:lang w:eastAsia="it-IT"/>
        </w:rPr>
        <w:t>l Master è rivolto a Medici, Biologi, Dietisti e Farmacisti.</w:t>
      </w:r>
    </w:p>
    <w:p w14:paraId="45EB838E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Potranno essere ammesse altre figure professionali, previa visione del curriculum, che però naturalmente non avranno diritto ai crediti ECM. In tal caso, conseguiranno un Certificato di frequenza.</w:t>
      </w:r>
    </w:p>
    <w:p w14:paraId="7722BC3E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** </w:t>
      </w:r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Si precisa che la frequenza del Master non comporta la possibilità di prescrivere ed elaborare diete, qualora non lo preveda il titolo di studio dell’iscritto secondo la normativa </w:t>
      </w:r>
      <w:r w:rsidRPr="009B23A8">
        <w:rPr>
          <w:rFonts w:eastAsia="Times New Roman" w:cs="Times New Roman"/>
          <w:i/>
          <w:iCs/>
          <w:szCs w:val="24"/>
          <w:lang w:eastAsia="it-IT"/>
        </w:rPr>
        <w:lastRenderedPageBreak/>
        <w:t>vigente.</w:t>
      </w:r>
      <w:r w:rsidRPr="009B23A8">
        <w:rPr>
          <w:rFonts w:eastAsia="Times New Roman" w:cs="Times New Roman"/>
          <w:szCs w:val="24"/>
          <w:lang w:eastAsia="it-IT"/>
        </w:rPr>
        <w:br/>
      </w:r>
      <w:r w:rsidRPr="009B23A8">
        <w:rPr>
          <w:rFonts w:eastAsia="Times New Roman" w:cs="Times New Roman"/>
          <w:i/>
          <w:iCs/>
          <w:szCs w:val="24"/>
          <w:lang w:eastAsia="it-IT"/>
        </w:rPr>
        <w:t>Parere del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Consiglio Superiore della Sanità</w:t>
      </w:r>
      <w:r w:rsidRPr="009B23A8">
        <w:rPr>
          <w:rFonts w:eastAsia="Times New Roman" w:cs="Times New Roman"/>
          <w:i/>
          <w:iCs/>
          <w:szCs w:val="24"/>
          <w:lang w:eastAsia="it-IT"/>
        </w:rPr>
        <w:t> del 12.04.2011:</w:t>
      </w:r>
    </w:p>
    <w:p w14:paraId="0A9C98AD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i/>
          <w:iCs/>
          <w:szCs w:val="24"/>
          <w:lang w:eastAsia="it-IT"/>
        </w:rPr>
        <w:t>[….]</w:t>
      </w:r>
      <w:r w:rsidRPr="009B23A8">
        <w:rPr>
          <w:rFonts w:eastAsia="Times New Roman" w:cs="Times New Roman"/>
          <w:i/>
          <w:iCs/>
          <w:szCs w:val="24"/>
          <w:lang w:eastAsia="it-IT"/>
        </w:rPr>
        <w:br/>
      </w:r>
      <w:r w:rsidRPr="009B23A8">
        <w:rPr>
          <w:rFonts w:eastAsia="Times New Roman" w:cs="Times New Roman"/>
          <w:b/>
          <w:bCs/>
          <w:i/>
          <w:iCs/>
          <w:szCs w:val="24"/>
          <w:lang w:eastAsia="it-IT"/>
        </w:rPr>
        <w:t>a)</w:t>
      </w:r>
      <w:r w:rsidRPr="009B23A8">
        <w:rPr>
          <w:rFonts w:eastAsia="Times New Roman" w:cs="Times New Roman"/>
          <w:i/>
          <w:iCs/>
          <w:szCs w:val="24"/>
          <w:lang w:eastAsia="it-IT"/>
        </w:rPr>
        <w:t>Mentre il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medico-chirurgo</w:t>
      </w:r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 può, 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ovviamente,prescrivere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diete a soggetti sani e a soggetti malati, è     corretto ritenere che il </w:t>
      </w:r>
      <w:r w:rsidRPr="009B23A8">
        <w:rPr>
          <w:rFonts w:eastAsia="Times New Roman" w:cs="Times New Roman"/>
          <w:b/>
          <w:bCs/>
          <w:i/>
          <w:iCs/>
          <w:szCs w:val="24"/>
          <w:lang w:eastAsia="it-IT"/>
        </w:rPr>
        <w:t>biologo</w:t>
      </w:r>
      <w:r w:rsidRPr="009B23A8">
        <w:rPr>
          <w:rFonts w:eastAsia="Times New Roman" w:cs="Times New Roman"/>
          <w:i/>
          <w:iCs/>
          <w:szCs w:val="24"/>
          <w:lang w:eastAsia="it-IT"/>
        </w:rPr>
        <w:t> possa elaborare e determinare diete nei confronti sia di soggetti    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sani,sia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di soggetti cui è stata diagnosticata una 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patologia,solo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previo accertamento delle    condizioni 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fisio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>-patologiche effettuate dal medico chirurgo.</w:t>
      </w:r>
    </w:p>
    <w:p w14:paraId="3499EBF5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i/>
          <w:iCs/>
          <w:szCs w:val="24"/>
          <w:lang w:eastAsia="it-IT"/>
        </w:rPr>
        <w:t>b)</w:t>
      </w:r>
      <w:r w:rsidRPr="009B23A8">
        <w:rPr>
          <w:rFonts w:eastAsia="Times New Roman" w:cs="Times New Roman"/>
          <w:i/>
          <w:iCs/>
          <w:szCs w:val="24"/>
          <w:lang w:eastAsia="it-IT"/>
        </w:rPr>
        <w:t>Il </w:t>
      </w:r>
      <w:r w:rsidRPr="009B23A8">
        <w:rPr>
          <w:rFonts w:eastAsia="Times New Roman" w:cs="Times New Roman"/>
          <w:b/>
          <w:bCs/>
          <w:szCs w:val="24"/>
          <w:lang w:eastAsia="it-IT"/>
        </w:rPr>
        <w:t>biologo </w:t>
      </w:r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può autonomamente elaborare profili nutrizionali al fine di proporre alla persona che     ne    fa richiesta un miglioramento del proprio “benessere”, quale orientamento nutrizionale   finalizzato    al miglioramento dello stato di 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salute.In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tale ambito può suggerire o consigliare   integratori    </w:t>
      </w:r>
      <w:proofErr w:type="spellStart"/>
      <w:r w:rsidRPr="009B23A8">
        <w:rPr>
          <w:rFonts w:eastAsia="Times New Roman" w:cs="Times New Roman"/>
          <w:i/>
          <w:iCs/>
          <w:szCs w:val="24"/>
          <w:lang w:eastAsia="it-IT"/>
        </w:rPr>
        <w:t>alimentari,stabilendone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o indicandone anche le modalità di assunzione.</w:t>
      </w:r>
    </w:p>
    <w:p w14:paraId="0FFDD7F2" w14:textId="77777777" w:rsidR="009B23A8" w:rsidRPr="009B23A8" w:rsidRDefault="009B23A8" w:rsidP="009B23A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i/>
          <w:iCs/>
          <w:szCs w:val="24"/>
          <w:lang w:eastAsia="it-IT"/>
        </w:rPr>
        <w:t>c)</w:t>
      </w:r>
      <w:r w:rsidRPr="009B23A8">
        <w:rPr>
          <w:rFonts w:eastAsia="Times New Roman" w:cs="Times New Roman"/>
          <w:i/>
          <w:iCs/>
          <w:szCs w:val="24"/>
          <w:lang w:eastAsia="it-IT"/>
        </w:rPr>
        <w:t>Il </w:t>
      </w:r>
      <w:proofErr w:type="spellStart"/>
      <w:r w:rsidRPr="009B23A8">
        <w:rPr>
          <w:rFonts w:eastAsia="Times New Roman" w:cs="Times New Roman"/>
          <w:b/>
          <w:bCs/>
          <w:szCs w:val="24"/>
          <w:lang w:eastAsia="it-IT"/>
        </w:rPr>
        <w:t>dietista</w:t>
      </w:r>
      <w:r w:rsidRPr="009B23A8">
        <w:rPr>
          <w:rFonts w:eastAsia="Times New Roman" w:cs="Times New Roman"/>
          <w:i/>
          <w:iCs/>
          <w:szCs w:val="24"/>
          <w:lang w:eastAsia="it-IT"/>
        </w:rPr>
        <w:t>,profilo</w:t>
      </w:r>
      <w:proofErr w:type="spellEnd"/>
      <w:r w:rsidRPr="009B23A8">
        <w:rPr>
          <w:rFonts w:eastAsia="Times New Roman" w:cs="Times New Roman"/>
          <w:i/>
          <w:iCs/>
          <w:szCs w:val="24"/>
          <w:lang w:eastAsia="it-IT"/>
        </w:rPr>
        <w:t xml:space="preserve"> professionale dell’area tecnico-sanitaria individuato dal D.M.14 settembre 1994,n.744,ex art.6,comma 3 D.Lgs.502/92,opera nelle strutture del S.S.N., “svolge la sua attività professionale in strutture pubbliche o private, in regime di dipendenza o libero professionale e, in particolare in collaborazione con il    medico ai fini della formulazione delle diete su prescrizione medica. [….]</w:t>
      </w:r>
    </w:p>
    <w:p w14:paraId="1EB26259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7"/>
          <w:szCs w:val="27"/>
          <w:lang w:eastAsia="it-IT"/>
        </w:rPr>
      </w:pPr>
      <w:bookmarkStart w:id="8" w:name="procedura"/>
      <w:bookmarkEnd w:id="8"/>
      <w:r w:rsidRPr="009B23A8">
        <w:rPr>
          <w:rFonts w:eastAsia="Times New Roman" w:cs="Times New Roman"/>
          <w:b/>
          <w:bCs/>
          <w:color w:val="FF0000"/>
          <w:sz w:val="27"/>
          <w:szCs w:val="27"/>
          <w:lang w:eastAsia="it-IT"/>
        </w:rPr>
        <w:t>Procedura E.C.M.</w:t>
      </w:r>
    </w:p>
    <w:p w14:paraId="3EB8A755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 xml:space="preserve">L’Evento ha ottenuto </w:t>
      </w:r>
      <w:r w:rsidRPr="009B23A8">
        <w:rPr>
          <w:rFonts w:eastAsia="Times New Roman" w:cs="Times New Roman"/>
          <w:b/>
          <w:bCs/>
          <w:szCs w:val="24"/>
          <w:lang w:eastAsia="it-IT"/>
        </w:rPr>
        <w:t>50 Crediti Formativi ECM</w:t>
      </w:r>
      <w:r w:rsidRPr="009B23A8">
        <w:rPr>
          <w:rFonts w:eastAsia="Times New Roman" w:cs="Times New Roman"/>
          <w:szCs w:val="24"/>
          <w:lang w:eastAsia="it-IT"/>
        </w:rPr>
        <w:t xml:space="preserve"> per l’anno 2021.</w:t>
      </w:r>
    </w:p>
    <w:p w14:paraId="6ADB8311" w14:textId="77777777" w:rsidR="009B23A8" w:rsidRPr="009B23A8" w:rsidRDefault="009B23A8" w:rsidP="009B23A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it-IT"/>
        </w:rPr>
      </w:pPr>
      <w:bookmarkStart w:id="9" w:name="durata"/>
      <w:bookmarkEnd w:id="9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DURATA E FREQUENZA</w:t>
      </w:r>
    </w:p>
    <w:p w14:paraId="5CEBC55C" w14:textId="7560DE70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3</w:t>
      </w:r>
      <w:r w:rsidRPr="009B23A8">
        <w:rPr>
          <w:rFonts w:eastAsia="Times New Roman" w:cs="Times New Roman"/>
          <w:szCs w:val="24"/>
          <w:lang w:eastAsia="it-IT"/>
        </w:rPr>
        <w:t>1° EDIZIONE</w:t>
      </w:r>
      <w:r>
        <w:rPr>
          <w:rFonts w:eastAsia="Times New Roman" w:cs="Times New Roman"/>
          <w:szCs w:val="24"/>
          <w:lang w:eastAsia="it-IT"/>
        </w:rPr>
        <w:t xml:space="preserve"> - </w:t>
      </w:r>
      <w:r w:rsidRPr="009B23A8">
        <w:rPr>
          <w:rFonts w:eastAsia="Times New Roman" w:cs="Times New Roman"/>
          <w:szCs w:val="24"/>
          <w:lang w:eastAsia="it-IT"/>
        </w:rPr>
        <w:t>Il Master ha una durata di  80 ore, suddivise in 20 lezioni, organizzate  in 2 pomeriggi consecutivi (giovedì e venerdì, dalle ore 14 alle ore 18) a cadenza quindicinale.</w:t>
      </w:r>
    </w:p>
    <w:p w14:paraId="043B607D" w14:textId="7777777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szCs w:val="24"/>
          <w:lang w:eastAsia="it-IT"/>
        </w:rPr>
        <w:t>L’orario delle lezioni è da intendersi tassativo ai fini del conseguimento dei crediti formativi ECM</w:t>
      </w:r>
      <w:r w:rsidRPr="009B23A8">
        <w:rPr>
          <w:rFonts w:eastAsia="Times New Roman" w:cs="Times New Roman"/>
          <w:szCs w:val="24"/>
          <w:lang w:eastAsia="it-IT"/>
        </w:rPr>
        <w:t>.</w:t>
      </w:r>
    </w:p>
    <w:p w14:paraId="69FFAE3F" w14:textId="73BC3387" w:rsidR="009B23A8" w:rsidRPr="009B23A8" w:rsidRDefault="009B23A8" w:rsidP="009B23A8">
      <w:pPr>
        <w:spacing w:before="100" w:beforeAutospacing="1" w:after="100" w:afterAutospacing="1"/>
        <w:rPr>
          <w:rFonts w:eastAsia="Times New Roman" w:cs="Times New Roman"/>
          <w:b/>
          <w:bCs/>
          <w:sz w:val="27"/>
          <w:szCs w:val="27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 </w:t>
      </w:r>
      <w:bookmarkStart w:id="10" w:name="sede"/>
      <w:bookmarkEnd w:id="6"/>
      <w:bookmarkEnd w:id="10"/>
      <w:r w:rsidRPr="009B23A8">
        <w:rPr>
          <w:rFonts w:eastAsia="Times New Roman" w:cs="Times New Roman"/>
          <w:b/>
          <w:bCs/>
          <w:sz w:val="27"/>
          <w:szCs w:val="27"/>
          <w:lang w:eastAsia="it-IT"/>
        </w:rPr>
        <w:t>SEDE DEL CORSO</w:t>
      </w:r>
    </w:p>
    <w:p w14:paraId="11DD60F3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Le lezioni si svolgeranno presso il Centro Congressi del “</w:t>
      </w:r>
      <w:proofErr w:type="spellStart"/>
      <w:r w:rsidRPr="009B23A8">
        <w:rPr>
          <w:rFonts w:eastAsia="Times New Roman" w:cs="Times New Roman"/>
          <w:szCs w:val="24"/>
          <w:lang w:eastAsia="it-IT"/>
        </w:rPr>
        <w:t>Globus</w:t>
      </w:r>
      <w:proofErr w:type="spellEnd"/>
      <w:r w:rsidRPr="009B23A8">
        <w:rPr>
          <w:rFonts w:eastAsia="Times New Roman" w:cs="Times New Roman"/>
          <w:szCs w:val="24"/>
          <w:lang w:eastAsia="it-IT"/>
        </w:rPr>
        <w:t xml:space="preserve"> Hotel – Best Western” sito a Roma in viale Ippocrate, 119.</w:t>
      </w:r>
    </w:p>
    <w:p w14:paraId="74DD0F22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b/>
          <w:bCs/>
          <w:color w:val="FF0000"/>
          <w:szCs w:val="24"/>
          <w:lang w:eastAsia="it-IT"/>
        </w:rPr>
        <w:t>ATTENZIONE</w:t>
      </w:r>
      <w:r w:rsidRPr="009B23A8">
        <w:rPr>
          <w:rFonts w:eastAsia="Times New Roman" w:cs="Times New Roman"/>
          <w:szCs w:val="24"/>
          <w:lang w:eastAsia="it-IT"/>
        </w:rPr>
        <w:t xml:space="preserve">: Qualora le circostanze lo richiedessero e qualora l’emergenza epidemiologica da Covid-19 dovesse perdurare, l’Istituto di Alta Formazione si riserva la possibilità di convertire le lezioni in modalità Formazione A Distanza. </w:t>
      </w:r>
    </w:p>
    <w:p w14:paraId="5F9A88C8" w14:textId="77777777" w:rsidR="009B23A8" w:rsidRPr="009B23A8" w:rsidRDefault="009B23A8" w:rsidP="009B23A8">
      <w:pPr>
        <w:jc w:val="both"/>
        <w:rPr>
          <w:rFonts w:eastAsia="Times New Roman" w:cs="Times New Roman"/>
          <w:szCs w:val="24"/>
          <w:lang w:eastAsia="it-IT"/>
        </w:rPr>
      </w:pPr>
      <w:r w:rsidRPr="009B23A8">
        <w:rPr>
          <w:rFonts w:eastAsia="Times New Roman" w:cs="Times New Roman"/>
          <w:szCs w:val="24"/>
          <w:lang w:eastAsia="it-IT"/>
        </w:rPr>
        <w:t>L’eventuale variazione sarà comunicata entro 30 giorni dall’inizio delle lezioni.</w:t>
      </w:r>
    </w:p>
    <w:sectPr w:rsidR="009B23A8" w:rsidRPr="009B23A8" w:rsidSect="005B38AC">
      <w:type w:val="continuous"/>
      <w:pgSz w:w="11907" w:h="16840" w:code="9"/>
      <w:pgMar w:top="1418" w:right="1418" w:bottom="1134" w:left="1418" w:header="68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E2CB1"/>
    <w:multiLevelType w:val="multilevel"/>
    <w:tmpl w:val="6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A8"/>
    <w:rsid w:val="005B38AC"/>
    <w:rsid w:val="008C376A"/>
    <w:rsid w:val="009B23A8"/>
    <w:rsid w:val="00E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7832"/>
  <w15:chartTrackingRefBased/>
  <w15:docId w15:val="{ECFBB9B3-D066-48D7-890F-97055A94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B23A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B23A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9B23A8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23A8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3A8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23A8"/>
    <w:rPr>
      <w:rFonts w:eastAsia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23A8"/>
    <w:rPr>
      <w:rFonts w:eastAsia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23A8"/>
    <w:rPr>
      <w:rFonts w:eastAsia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23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B2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form.it/wp-content/uploads/2013/07/Copia-di-CART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aform.it/wp-content/uploads/2013/07/EM-copia.jpg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iaform.it/wp-content/uploads/2013/07/Prof.ssa-Laura-Di-Renzo.jpe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iaform.it/wp-content/uploads/2020/01/DOTT-ROSSINI-1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aform.it/wp-content/uploads/2013/07/LABATE.jpg" TargetMode="External"/><Relationship Id="rId20" Type="http://schemas.openxmlformats.org/officeDocument/2006/relationships/hyperlink" Target="https://iaform.it/wp-content/uploads/2013/07/Copia-di-MARIANI.jpg" TargetMode="External"/><Relationship Id="rId29" Type="http://schemas.openxmlformats.org/officeDocument/2006/relationships/hyperlink" Target="https://iaform.it/wp-content/uploads/2013/07/SANDRI.b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aform.it/wp-content/uploads/2013/07/agrigento-2_24560f1a20bf26b723a5f64650934203.pn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hyperlink" Target="https://iaform.it/wp-content/uploads/2020/09/Informativa-COVID-IAF.pdf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iaform.it/wp-content/uploads/2013/07/Immagine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iaform.it/wp-content/uploads/2013/07/di-lella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aform.it/wp-content/uploads/2013/08/foto_franco_ok.bmp" TargetMode="External"/><Relationship Id="rId22" Type="http://schemas.openxmlformats.org/officeDocument/2006/relationships/hyperlink" Target="https://iaform.it/wp-content/uploads/2013/07/MARIANI.jpg" TargetMode="External"/><Relationship Id="rId27" Type="http://schemas.openxmlformats.org/officeDocument/2006/relationships/hyperlink" Target="https://iaform.it/wp-content/uploads/2013/07/SANDRI.jpg" TargetMode="External"/><Relationship Id="rId30" Type="http://schemas.openxmlformats.org/officeDocument/2006/relationships/hyperlink" Target="https://iaform.it/wp-content/uploads/2013/08/Dott.-Spigone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2622</Words>
  <Characters>14949</Characters>
  <Application>Microsoft Office Word</Application>
  <DocSecurity>0</DocSecurity>
  <Lines>124</Lines>
  <Paragraphs>35</Paragraphs>
  <ScaleCrop>false</ScaleCrop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Renzetti</dc:creator>
  <cp:keywords/>
  <dc:description/>
  <cp:lastModifiedBy>Carla Renzetti</cp:lastModifiedBy>
  <cp:revision>1</cp:revision>
  <cp:lastPrinted>2021-01-13T08:41:00Z</cp:lastPrinted>
  <dcterms:created xsi:type="dcterms:W3CDTF">2021-01-13T08:32:00Z</dcterms:created>
  <dcterms:modified xsi:type="dcterms:W3CDTF">2021-01-13T08:43:00Z</dcterms:modified>
</cp:coreProperties>
</file>