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A3FF1" w14:textId="0947AB73" w:rsidR="007E41C5" w:rsidRPr="007E41C5" w:rsidRDefault="007E41C5" w:rsidP="007E41C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E41C5">
        <w:rPr>
          <w:rFonts w:ascii="Arial" w:hAnsi="Arial" w:cs="Arial"/>
          <w:b/>
          <w:bCs/>
          <w:sz w:val="24"/>
          <w:szCs w:val="24"/>
        </w:rPr>
        <w:t>Cassazione civile sez. VI, 31/03/2021, n.8839</w:t>
      </w:r>
    </w:p>
    <w:p w14:paraId="2B4D8977" w14:textId="70B6BD81" w:rsidR="00500254" w:rsidRPr="007E41C5" w:rsidRDefault="007E41C5" w:rsidP="007E41C5">
      <w:pPr>
        <w:jc w:val="both"/>
        <w:rPr>
          <w:rFonts w:ascii="Arial" w:hAnsi="Arial" w:cs="Arial"/>
          <w:sz w:val="24"/>
          <w:szCs w:val="24"/>
        </w:rPr>
      </w:pPr>
      <w:r w:rsidRPr="007E41C5">
        <w:rPr>
          <w:rFonts w:ascii="Arial" w:hAnsi="Arial" w:cs="Arial"/>
          <w:sz w:val="24"/>
          <w:szCs w:val="24"/>
        </w:rPr>
        <w:t>ORDINANZA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sul ricorso 9226-2019 proposto da:</w:t>
      </w:r>
      <w:r w:rsidR="00C03EBB"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L.S., elettivamente domiciliato in ROMA, PIAZZA CAVOUR,</w:t>
      </w:r>
      <w:r w:rsidR="00C03EBB"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presso la CORTE DI CASSAZIONE, rappresentato e difeso dall'avvocato</w:t>
      </w:r>
      <w:r w:rsidR="00C03E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(Omissis)</w:t>
      </w:r>
      <w:r w:rsidRPr="007E41C5">
        <w:rPr>
          <w:rFonts w:ascii="Arial" w:hAnsi="Arial" w:cs="Arial"/>
          <w:sz w:val="24"/>
          <w:szCs w:val="24"/>
        </w:rPr>
        <w:t xml:space="preserve">- ricorrente </w:t>
      </w:r>
      <w:r w:rsidR="00C03EB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Contro</w:t>
      </w:r>
      <w:r w:rsidR="00C03EBB"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PRESIDENZA DEL CONSIGLIO DEI MINISTRI (OMISSIS), in persona del</w:t>
      </w:r>
      <w:r w:rsidR="00C03EBB"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Presidente del Consiglio dei Ministro pro tempore, MINISTERO DELLA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SALUTE (OMISSIS), MINISTERO DELL'ISTRUZIONE DELL'UNIVERSITA' E DELLA</w:t>
      </w:r>
      <w:r w:rsidR="00C03EBB"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RICERCA (OMISSIS), in persona dei rispettivi Ministri pro tempore,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UNIVERSITA' DEGLI STUDI DI NAPOLI FEDERICO II, in persona del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Rettore pro tempore, domiciliati in ROMA, VIA DEI PORTOGHESI 12,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presso l'AVVOCATURA GENERALE DELLO STATO, che li rappresenta e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 xml:space="preserve">difende </w:t>
      </w:r>
      <w:proofErr w:type="spellStart"/>
      <w:r w:rsidRPr="007E41C5">
        <w:rPr>
          <w:rFonts w:ascii="Arial" w:hAnsi="Arial" w:cs="Arial"/>
          <w:sz w:val="24"/>
          <w:szCs w:val="24"/>
        </w:rPr>
        <w:t>ope</w:t>
      </w:r>
      <w:proofErr w:type="spellEnd"/>
      <w:r w:rsidRPr="007E41C5">
        <w:rPr>
          <w:rFonts w:ascii="Arial" w:hAnsi="Arial" w:cs="Arial"/>
          <w:sz w:val="24"/>
          <w:szCs w:val="24"/>
        </w:rPr>
        <w:t xml:space="preserve"> legis;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- controricorrenti e ricorrenti incidentali -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avverso la sentenza n. 4040/2018 della CORTE D'APPELLO di NAPOLI,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depositata il 05/09/2018;</w:t>
      </w:r>
      <w:r w:rsidR="00C03EBB"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udita la relazione della causa svolta nella camera di consiglio non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partecipata del 17/12/2020 dal Consigliere Relatore (OMISSIS).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CONSIDERATO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che: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L.S. conveniva in giudizio la Presidenza del consiglio dei ministri, il Ministero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dell'istruzione, università e ricerca, il Ministero della salute, l'Università degli studi Federico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II di Napoli esponendo di aver frequentato un corso di specializzazione in pediatria, presso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la citata università, tra il 1987 e il 1991, senza percepire la giusta remunerazione imposta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dall'"</w:t>
      </w:r>
      <w:proofErr w:type="spellStart"/>
      <w:r w:rsidRPr="007E41C5">
        <w:rPr>
          <w:rFonts w:ascii="Arial" w:hAnsi="Arial" w:cs="Arial"/>
          <w:sz w:val="24"/>
          <w:szCs w:val="24"/>
        </w:rPr>
        <w:t>acquis</w:t>
      </w:r>
      <w:proofErr w:type="spellEnd"/>
      <w:r w:rsidRPr="007E41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41C5">
        <w:rPr>
          <w:rFonts w:ascii="Arial" w:hAnsi="Arial" w:cs="Arial"/>
          <w:sz w:val="24"/>
          <w:szCs w:val="24"/>
        </w:rPr>
        <w:t>communautaire</w:t>
      </w:r>
      <w:proofErr w:type="spellEnd"/>
      <w:r w:rsidRPr="007E41C5">
        <w:rPr>
          <w:rFonts w:ascii="Arial" w:hAnsi="Arial" w:cs="Arial"/>
          <w:sz w:val="24"/>
          <w:szCs w:val="24"/>
        </w:rPr>
        <w:t>": chiedeva dunque la condanna delle amministrazioni al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risarcimento dei danni, inclusi quelli per i mancati punteggi di carriera, in subordine a titolo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di ingiustificato arricchimento;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si costituivano i Ministeri e l'Università, eccependo la carenza di legittimazione passiva e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chiedendo, unitamente alla Presidenza del consiglio dei ministri, il rigetto nel merito della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pretesa;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il Tribunale rigettava la domanda principale per intervenuta prescrizione e dichiarava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inammissibile la domanda subordinata;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la Corte di appello disattendeva il gravame osservando che: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- la decorrenza della prescrizione decennale individuata dal Tribunale al 31 agosto 1991,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 xml:space="preserve">data di entrata in vigore delle disposizioni del </w:t>
      </w:r>
      <w:proofErr w:type="spellStart"/>
      <w:r w:rsidRPr="007E41C5">
        <w:rPr>
          <w:rFonts w:ascii="Arial" w:hAnsi="Arial" w:cs="Arial"/>
          <w:sz w:val="24"/>
          <w:szCs w:val="24"/>
        </w:rPr>
        <w:t>D.Lgs.</w:t>
      </w:r>
      <w:proofErr w:type="spellEnd"/>
      <w:r w:rsidRPr="007E41C5">
        <w:rPr>
          <w:rFonts w:ascii="Arial" w:hAnsi="Arial" w:cs="Arial"/>
          <w:sz w:val="24"/>
          <w:szCs w:val="24"/>
        </w:rPr>
        <w:t xml:space="preserve"> n. 257 del 1991, era stata solo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genericamente contestata;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- anche a ritenere che la data in parola fosse quella del 27 ottobre 1999, tempo di entrata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in vigore della L. n. 370 del 1999 che aveva palesato l'adempimento solo parziale dello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Stato italiano, gli atti interruttivi della prescrizione ricevuti dai Ministeri dell'istruzione e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della salute il 9 e 10 novembre 2009 erano inidonei a evitare l'estinzione del diritto in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parola;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- gli atti di messa in mora dei Ministeri non potevano comunque avere effetto d'interruzione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della prescrizione stante la legittimazione passiva spettante alla sola Presidenza del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consiglio in nome dello Stato;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avverso questa decisione ricorre per cassazione L.S. articolando sei motivi, corredati da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memoria;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resistono con controricorso la Presidenza del consiglio dei ministri, il Ministero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dell'istruzione, università e ricerca, il Ministero della salute, l'Università degli studi Federico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II di Napoli, che hanno altresì formulato un motivo di ricorso incidentale condizionato.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Diritto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RILEVATO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che: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con il primo motivo di ricorso si prospetta la violazione e falsa applicazione dell'art. 112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 xml:space="preserve">c.p.c., </w:t>
      </w:r>
      <w:proofErr w:type="spellStart"/>
      <w:r w:rsidRPr="007E41C5">
        <w:rPr>
          <w:rFonts w:ascii="Arial" w:hAnsi="Arial" w:cs="Arial"/>
          <w:sz w:val="24"/>
          <w:szCs w:val="24"/>
        </w:rPr>
        <w:t>poichè</w:t>
      </w:r>
      <w:proofErr w:type="spellEnd"/>
      <w:r w:rsidRPr="007E41C5">
        <w:rPr>
          <w:rFonts w:ascii="Arial" w:hAnsi="Arial" w:cs="Arial"/>
          <w:sz w:val="24"/>
          <w:szCs w:val="24"/>
        </w:rPr>
        <w:t xml:space="preserve"> la Corte di appello avrebbe omesso di esaminare la deduzione inerente alla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legittimazione passiva dei Ministeri in ragione della natura collegiale della responsabilità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del Consiglio dei ministri;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con il secondo motivo si prospetta la violazione e falsa applicazione dell'art. 95 Cost., della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 xml:space="preserve">L. n. 400 del 1988, artt. 1 e 2, della L. n. 370 del 1999, del </w:t>
      </w:r>
      <w:proofErr w:type="spellStart"/>
      <w:r w:rsidRPr="007E41C5">
        <w:rPr>
          <w:rFonts w:ascii="Arial" w:hAnsi="Arial" w:cs="Arial"/>
          <w:sz w:val="24"/>
          <w:szCs w:val="24"/>
        </w:rPr>
        <w:t>D.Lgs.</w:t>
      </w:r>
      <w:proofErr w:type="spellEnd"/>
      <w:r w:rsidRPr="007E41C5">
        <w:rPr>
          <w:rFonts w:ascii="Arial" w:hAnsi="Arial" w:cs="Arial"/>
          <w:sz w:val="24"/>
          <w:szCs w:val="24"/>
        </w:rPr>
        <w:t xml:space="preserve"> n. 257 del 1991, del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41C5">
        <w:rPr>
          <w:rFonts w:ascii="Arial" w:hAnsi="Arial" w:cs="Arial"/>
          <w:sz w:val="24"/>
          <w:szCs w:val="24"/>
        </w:rPr>
        <w:t>D.Lgs.</w:t>
      </w:r>
      <w:proofErr w:type="spellEnd"/>
      <w:r w:rsidRPr="007E41C5">
        <w:rPr>
          <w:rFonts w:ascii="Arial" w:hAnsi="Arial" w:cs="Arial"/>
          <w:sz w:val="24"/>
          <w:szCs w:val="24"/>
        </w:rPr>
        <w:t xml:space="preserve"> n. 368 del 1999, </w:t>
      </w:r>
      <w:proofErr w:type="spellStart"/>
      <w:r w:rsidRPr="007E41C5">
        <w:rPr>
          <w:rFonts w:ascii="Arial" w:hAnsi="Arial" w:cs="Arial"/>
          <w:sz w:val="24"/>
          <w:szCs w:val="24"/>
        </w:rPr>
        <w:t>poichè</w:t>
      </w:r>
      <w:proofErr w:type="spellEnd"/>
      <w:r w:rsidRPr="007E41C5">
        <w:rPr>
          <w:rFonts w:ascii="Arial" w:hAnsi="Arial" w:cs="Arial"/>
          <w:sz w:val="24"/>
          <w:szCs w:val="24"/>
        </w:rPr>
        <w:t xml:space="preserve"> la Corte di appello avrebbe errato negando la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responsabilità solidale dei Ministeri e, anche ammettendo la legittimazione processuale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passiva unica della Presidenza del consiglio, escludendo, per ciò solo, l'idoneità 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interrompere la prescrizione degli atti di messa in mora indirizzati ai dicasteri,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collegialmente titolati a rispondere degli atti della relativa Presidenza;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con il terzo motivo si prospetta la violazione e falsa applicazione dell'art. 112 c.p.c., e della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 xml:space="preserve">L. n. 260 del </w:t>
      </w:r>
      <w:r w:rsidRPr="007E41C5">
        <w:rPr>
          <w:rFonts w:ascii="Arial" w:hAnsi="Arial" w:cs="Arial"/>
          <w:sz w:val="24"/>
          <w:szCs w:val="24"/>
        </w:rPr>
        <w:lastRenderedPageBreak/>
        <w:t xml:space="preserve">1958, art. 4, </w:t>
      </w:r>
      <w:proofErr w:type="spellStart"/>
      <w:r w:rsidRPr="007E41C5">
        <w:rPr>
          <w:rFonts w:ascii="Arial" w:hAnsi="Arial" w:cs="Arial"/>
          <w:sz w:val="24"/>
          <w:szCs w:val="24"/>
        </w:rPr>
        <w:t>poichè</w:t>
      </w:r>
      <w:proofErr w:type="spellEnd"/>
      <w:r w:rsidRPr="007E41C5">
        <w:rPr>
          <w:rFonts w:ascii="Arial" w:hAnsi="Arial" w:cs="Arial"/>
          <w:sz w:val="24"/>
          <w:szCs w:val="24"/>
        </w:rPr>
        <w:t xml:space="preserve"> la Corte di appello avrebbe errato mancando di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pronunciarsi e considerare la fondatezza dell'eccepito difetto d'idonea indicazione, da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parte della costituita difesa erariale, del soggetto legittimato passivamente in luogo de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Ministeri, con ciò lasciando incontestata la legittimazione passiva di questi ultimi e perciò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l'idoneità dei correlativi atti interruttivi;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con il quarto motivo si prospetta la violazione e falsa applicazione dell'art. 2935 c.c., del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41C5">
        <w:rPr>
          <w:rFonts w:ascii="Arial" w:hAnsi="Arial" w:cs="Arial"/>
          <w:sz w:val="24"/>
          <w:szCs w:val="24"/>
        </w:rPr>
        <w:t>D.Lgs.</w:t>
      </w:r>
      <w:proofErr w:type="spellEnd"/>
      <w:r w:rsidRPr="007E41C5">
        <w:rPr>
          <w:rFonts w:ascii="Arial" w:hAnsi="Arial" w:cs="Arial"/>
          <w:sz w:val="24"/>
          <w:szCs w:val="24"/>
        </w:rPr>
        <w:t xml:space="preserve"> n. 257 del 1991, del </w:t>
      </w:r>
      <w:proofErr w:type="spellStart"/>
      <w:r w:rsidRPr="007E41C5">
        <w:rPr>
          <w:rFonts w:ascii="Arial" w:hAnsi="Arial" w:cs="Arial"/>
          <w:sz w:val="24"/>
          <w:szCs w:val="24"/>
        </w:rPr>
        <w:t>D.Lgs.</w:t>
      </w:r>
      <w:proofErr w:type="spellEnd"/>
      <w:r w:rsidRPr="007E41C5">
        <w:rPr>
          <w:rFonts w:ascii="Arial" w:hAnsi="Arial" w:cs="Arial"/>
          <w:sz w:val="24"/>
          <w:szCs w:val="24"/>
        </w:rPr>
        <w:t xml:space="preserve"> n. 368 del 1999, della L. n. 370 del 1999, </w:t>
      </w:r>
      <w:proofErr w:type="spellStart"/>
      <w:r w:rsidRPr="007E41C5">
        <w:rPr>
          <w:rFonts w:ascii="Arial" w:hAnsi="Arial" w:cs="Arial"/>
          <w:sz w:val="24"/>
          <w:szCs w:val="24"/>
        </w:rPr>
        <w:t>poichè</w:t>
      </w:r>
      <w:proofErr w:type="spellEnd"/>
      <w:r w:rsidRPr="007E41C5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Corte di appello avrebbe errato mancando di considerare che la decorrenza della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prescrizione non avrebbe potuto precedere l'anno 2007, corrispondente alla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 xml:space="preserve">implementazione delle previsioni del </w:t>
      </w:r>
      <w:proofErr w:type="spellStart"/>
      <w:r w:rsidRPr="007E41C5">
        <w:rPr>
          <w:rFonts w:ascii="Arial" w:hAnsi="Arial" w:cs="Arial"/>
          <w:sz w:val="24"/>
          <w:szCs w:val="24"/>
        </w:rPr>
        <w:t>D.Lgs.</w:t>
      </w:r>
      <w:proofErr w:type="spellEnd"/>
      <w:r w:rsidRPr="007E41C5">
        <w:rPr>
          <w:rFonts w:ascii="Arial" w:hAnsi="Arial" w:cs="Arial"/>
          <w:sz w:val="24"/>
          <w:szCs w:val="24"/>
        </w:rPr>
        <w:t xml:space="preserve"> n. 368 del 1999, finalmente attuative della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normativa comunitaria;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con il quinto motivo si prospetta la violazione e falsa applicazione del R.D. n. 1611 del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1933 e prim'ancora l'omessa pronuncia sull'eccezione di mancanza di specificazione del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nome del procuratore titolato a spendere le difese dell'Avvocatura dello Stato nel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preambolo dell'atto di relativa costituzione, con conseguente nullità della procura e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insussistenza di una valida eccezione di prescrizione;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con il sesto motivo si prospetta la violazione e falsa applicazione dell'art. 112 c.p.c., e del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 xml:space="preserve">R.D. n. 1611 del 1933, </w:t>
      </w:r>
      <w:proofErr w:type="spellStart"/>
      <w:r w:rsidRPr="007E41C5">
        <w:rPr>
          <w:rFonts w:ascii="Arial" w:hAnsi="Arial" w:cs="Arial"/>
          <w:sz w:val="24"/>
          <w:szCs w:val="24"/>
        </w:rPr>
        <w:t>poichè</w:t>
      </w:r>
      <w:proofErr w:type="spellEnd"/>
      <w:r w:rsidRPr="007E41C5">
        <w:rPr>
          <w:rFonts w:ascii="Arial" w:hAnsi="Arial" w:cs="Arial"/>
          <w:sz w:val="24"/>
          <w:szCs w:val="24"/>
        </w:rPr>
        <w:t xml:space="preserve"> la Corte di appello avrebbe errato mancando di considerare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che sia l'atto interruttivo della prescrizione del 2006 che quelli del novembre 2009 erano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stati sì inviati e ricevuti dall'Avvocatura dello Stato ma efficacemente, posto l'obbligo di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trasmissione alle amministrazioni competenti in capo alla stessa;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con il motivo di ricorso incidentale condizionato la difesa erariale prospetta la violazione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 xml:space="preserve">dell'art. 2909 c.c., e dell'art. 324 c.p.c., </w:t>
      </w:r>
      <w:proofErr w:type="spellStart"/>
      <w:r w:rsidRPr="007E41C5">
        <w:rPr>
          <w:rFonts w:ascii="Arial" w:hAnsi="Arial" w:cs="Arial"/>
          <w:sz w:val="24"/>
          <w:szCs w:val="24"/>
        </w:rPr>
        <w:t>poichè</w:t>
      </w:r>
      <w:proofErr w:type="spellEnd"/>
      <w:r w:rsidRPr="007E41C5">
        <w:rPr>
          <w:rFonts w:ascii="Arial" w:hAnsi="Arial" w:cs="Arial"/>
          <w:sz w:val="24"/>
          <w:szCs w:val="24"/>
        </w:rPr>
        <w:t xml:space="preserve"> in relazione alla posizione del ricorrente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sarebbe intervenuto giudicato di rigetto con la sentenza n. 17039 del 2005 del Tribunale di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Roma, non appellata;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Rilevato che: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per ragioni logiche va esaminato prioritariamente il quinto motivo di ricorso principale;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la censura, involgente questione che non si dimostra proposta nelle fasi di merito, è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comunque manifestamente infondata, non esistendo alcuna norma che imponga la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descritta indicazione, nel preambolo dell'atto costitutivo, del nome della singola persona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fisica che, quale avvocato dello Stato, qualità non contestata nel caso di specie, sia titolato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a difendere l'amministrazione;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il motivo, ai limiti della decifrabilità logica prim'ancora che giuridica, trascura l'evidente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sussistenza legale del patrocinio erariale in capo a tutti i soggetti che rivestano la relativa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qualità, senza necessità di preliminari e non meglio chiarite specificazioni;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gli altri cinque motivi, da esaminare congiuntamente per connessione, sono in parte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inammissibili, in parte infondati;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come eccepito dalla difesa erariale, non si riporta il necessario contenuto dei pretesi atti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 xml:space="preserve">d'interruzione della prescrizione, </w:t>
      </w:r>
      <w:proofErr w:type="spellStart"/>
      <w:r w:rsidRPr="007E41C5">
        <w:rPr>
          <w:rFonts w:ascii="Arial" w:hAnsi="Arial" w:cs="Arial"/>
          <w:sz w:val="24"/>
          <w:szCs w:val="24"/>
        </w:rPr>
        <w:t>nè</w:t>
      </w:r>
      <w:proofErr w:type="spellEnd"/>
      <w:r w:rsidRPr="007E41C5">
        <w:rPr>
          <w:rFonts w:ascii="Arial" w:hAnsi="Arial" w:cs="Arial"/>
          <w:sz w:val="24"/>
          <w:szCs w:val="24"/>
        </w:rPr>
        <w:t xml:space="preserve"> si indica la loro esatta collocazione processuale in uno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 xml:space="preserve">al quando e al come sarebbero stati prodotti, in violazione dell'art. 366 c.p.c., </w:t>
      </w:r>
      <w:proofErr w:type="spellStart"/>
      <w:r w:rsidRPr="007E41C5">
        <w:rPr>
          <w:rFonts w:ascii="Arial" w:hAnsi="Arial" w:cs="Arial"/>
          <w:sz w:val="24"/>
          <w:szCs w:val="24"/>
        </w:rPr>
        <w:t>nn</w:t>
      </w:r>
      <w:proofErr w:type="spellEnd"/>
      <w:r w:rsidRPr="007E41C5">
        <w:rPr>
          <w:rFonts w:ascii="Arial" w:hAnsi="Arial" w:cs="Arial"/>
          <w:sz w:val="24"/>
          <w:szCs w:val="24"/>
        </w:rPr>
        <w:t>. 3 e 6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(Cass., Sez. U., 27/12/2019, n. 34469, Cass., 13/11/2018, n., 29093, Cass., 20/11/2017,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n. 27475);</w:t>
      </w:r>
      <w:r w:rsidR="00C03EBB"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la prospettazione complessiva sarebbe comunque stata altrimenti infondata;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parte ricorrente specifica (a pag. 18 del ricorso) che le diffide del 2006 e del 2009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sarebbero state inviate all'Avvocatura dello Stato;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sul punto è stato già osservato che la diffida o intimazione notiziati all'Avvocatura dello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Stato sono inidonei a interrompere la prescrizione nei confronti del diverso e specifico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 xml:space="preserve">soggetto, debitore pubblico, passivamente legittimato, </w:t>
      </w:r>
      <w:proofErr w:type="spellStart"/>
      <w:r w:rsidRPr="007E41C5">
        <w:rPr>
          <w:rFonts w:ascii="Arial" w:hAnsi="Arial" w:cs="Arial"/>
          <w:sz w:val="24"/>
          <w:szCs w:val="24"/>
        </w:rPr>
        <w:t>poichè</w:t>
      </w:r>
      <w:proofErr w:type="spellEnd"/>
      <w:r w:rsidRPr="007E41C5">
        <w:rPr>
          <w:rFonts w:ascii="Arial" w:hAnsi="Arial" w:cs="Arial"/>
          <w:sz w:val="24"/>
          <w:szCs w:val="24"/>
        </w:rPr>
        <w:t xml:space="preserve"> la rappresentanza legale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della difesa erariale opera con riferimento agli atti giudiziali (R.D. n. 1611 del 1933, art. 11)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(Cass., 19/12/2003, n. 19512);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è sicuramente corretto affermare che in caso d'inadempimento della direttiva comunitaria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n. 82/76/CEE (e correlate), di cui risponde unicamente lo Stato, l'atto interruttivo della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prescrizione proveniente dai medici specializzati e indirizzato a uno dei Ministeri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competenti in materia di organizzazione universitaria e finanziamento delle attività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istituzionali statali, che costituiscono articolazioni del Governo, è idoneo a interrompere la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prescrizione nei confronti della Presidenza del Consiglio, posto che non viene rivolto a una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lastRenderedPageBreak/>
        <w:t>qualsiasi amministrazione estranea al rapporto controverso, conservando la funzione di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messa in mora e induzione del debitore all'adempimento (Cass., 11/10/2016, n. 20414,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Cass., 25/07/2019, n. 20100);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ma, come visto, a tal fine non avrebbero comunque potuto considerarsi i supposti atti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interruttivi del 2006 e del 2009;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con la conseguenza che tra la diffida notiziata nel 2000 e la citazione in giudizio notificata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nel 2011, quali accertate dai giudici di merito, sarebbe comunque decorsa la prescrizione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decennale, parimenti correttamente affermata;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d'altro canto, la giurisprudenza di questa Corte ha da tempo chiarito che il diritto al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risarcimento del danno da inadempimento della direttiva n. 82/76/CEE, riassuntiva delle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direttive n. 75/362/CEE e n. 75/363/CEE, insorto in favore dei soggetti che avevano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 xml:space="preserve">seguito corsi di specializzazione medica iniziati, dopo l'applicabilità del regime </w:t>
      </w:r>
      <w:proofErr w:type="spellStart"/>
      <w:r w:rsidRPr="007E41C5">
        <w:rPr>
          <w:rFonts w:ascii="Arial" w:hAnsi="Arial" w:cs="Arial"/>
          <w:sz w:val="24"/>
          <w:szCs w:val="24"/>
        </w:rPr>
        <w:t>Eurounitario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ed entro l'anno accademico 1990-1991, in condizioni tali che, se detta direttiva fosse stata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attuata, avrebbero acquisito i diritti da essa previsti, si prescrive nel termine di dieci anni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decorrente dal 27 ottobre 1999, data di entrata in vigore della L. 19 ottobre 1999, n. 370,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art. 11, quale atto di adempimento parziale dello Stato, laddove, al contempo, in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riferimento a detta situazione, nessuna influenza può avere la sopravvenuta disposizione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di cui alla L. 12 novembre 2011, n. 183, art. 4, comma 43 - secondo cui la prescrizione del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diritto al risarcimento del danno da mancato recepimento di direttive comunitarie soggiace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alla disciplina dell'art. 2947 c.c. e decorre dalla data in cui il fatto, dal quale sarebbero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derivati i diritti se la direttiva fosse stata tempestivamente recepita, si è effettivamente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verificato - trattandosi di norma che, in difetto di espressa previsione, non può che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spiegare la sua efficacia rispetto a quanto verificatosi successivamente alla sua entrata in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 xml:space="preserve">vigore, ossia al 1 gennaio 2012 (Cass., 09/02/2012, n. 1917, che riprende Cass., </w:t>
      </w:r>
      <w:proofErr w:type="spellStart"/>
      <w:r w:rsidRPr="007E41C5">
        <w:rPr>
          <w:rFonts w:ascii="Arial" w:hAnsi="Arial" w:cs="Arial"/>
          <w:sz w:val="24"/>
          <w:szCs w:val="24"/>
        </w:rPr>
        <w:t>nn</w:t>
      </w:r>
      <w:proofErr w:type="spellEnd"/>
      <w:r w:rsidRPr="007E41C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10813, 10814, 10815, 10816 del 2011, con orientamento confermato da innumerevoli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successivi arresti, come, ad esempio, Cass., 19/07/2019, n. 16452 e Cass., 24/01/2020, n.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1589);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tutto ciò fermo restando che non vi è idonea censura al rilievo (di pag. 5, primo capoverso,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della sentenza impugnata) per cui era stata censurata solo genericamente in appello la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statuizione del Tribunale per cui la data di originaria decorrenza della prescrizione era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quella del 31 agosto del 1991, per quanto riportato in premessa;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ne deriva che non vi sarebbe stata dunque alcuna omissione di pronuncia rilevante in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ordine alla censura di appello relativa alla corretta statuizione del Tribunale sull'inidoneità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alla messa in mora inviata all'Avvocatura dello Stato;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difatti, alla luce dei principi di economia processuale e di ragionevole durata del processo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come costituzionalizzato nell'art. 111 Cost., comma 2 (</w:t>
      </w:r>
      <w:proofErr w:type="spellStart"/>
      <w:r w:rsidRPr="007E41C5">
        <w:rPr>
          <w:rFonts w:ascii="Arial" w:hAnsi="Arial" w:cs="Arial"/>
          <w:sz w:val="24"/>
          <w:szCs w:val="24"/>
        </w:rPr>
        <w:t>nonchè</w:t>
      </w:r>
      <w:proofErr w:type="spellEnd"/>
      <w:r w:rsidRPr="007E41C5">
        <w:rPr>
          <w:rFonts w:ascii="Arial" w:hAnsi="Arial" w:cs="Arial"/>
          <w:sz w:val="24"/>
          <w:szCs w:val="24"/>
        </w:rPr>
        <w:t xml:space="preserve"> di una lettura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costituzionalmente orientata dell'art. 384 c.p.c. ispirata a tali principi) una volta verificata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l'omessa pronuncia su un motivo di appello, la Suprema Corte può omettere la cassazione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con rinvio della sentenza impugnata (se del caso decidendo nel merito la causa) quando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la questione di diritto posta con quel motivo risulti infondata (sempre che si tratti di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questione che non richieda ulteriori accertamenti di fatto) (cfr., ad esempio, Cass.,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28/06/2017, n. 16171, Cass., 19/04/2018, n. 9693);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 xml:space="preserve">è opportuno peraltro ribadire, per mera completezza, che l'evocazione in giudizio </w:t>
      </w:r>
      <w:r>
        <w:rPr>
          <w:rFonts w:ascii="Arial" w:hAnsi="Arial" w:cs="Arial"/>
          <w:sz w:val="24"/>
          <w:szCs w:val="24"/>
        </w:rPr>
        <w:t>–</w:t>
      </w:r>
      <w:r w:rsidRPr="007E41C5">
        <w:rPr>
          <w:rFonts w:ascii="Arial" w:hAnsi="Arial" w:cs="Arial"/>
          <w:sz w:val="24"/>
          <w:szCs w:val="24"/>
        </w:rPr>
        <w:t xml:space="preserve"> oltre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che della Presidenza del Consiglio dei Ministri, legittimata a stare in giudizio - anche di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singoli Ministeri, non comporta alcuna conseguenza in termini di legittimazione passiva,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trattandosi di articolazioni del governo della Repubblica (Cass., 25/03/2015, n. 6029,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Cass., 19/01/2016, n. 765);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com'è stato osservato (Cass., 15/11/2016, n. 23202, pagg. 9-10) la difesa erariale, cioè, di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fronte a un'evocazione dello Stato non già nell'articolazione governativa della Presidenza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del consiglio, bensì dei Ministeri, potrebbe porre non una questione di legittimazione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passiva bensì ai sensi della L. 25 marzo 1958 n. 260, art. 4, rivendicando come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articolazione legittimata unicamente la Presidenza e, sulla base di tale deduzione,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chiedere la rimessione in termini, essendo dunque evidente che nessuna conseguenza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 xml:space="preserve">può invece esservi se siano </w:t>
      </w:r>
      <w:r w:rsidRPr="007E41C5">
        <w:rPr>
          <w:rFonts w:ascii="Arial" w:hAnsi="Arial" w:cs="Arial"/>
          <w:sz w:val="24"/>
          <w:szCs w:val="24"/>
        </w:rPr>
        <w:lastRenderedPageBreak/>
        <w:t>chiamate in lite sia la Presidenza sia i Ministeri (cfr., nello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stesso conclusivo senso, successivamente, Cass., Sez. U., 27/11/2018, n. 30649, che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ribadisce come in difetto di richiesta ex art. 4, cit., l'irritualità afferente alla legittimazione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viene come tale superata);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rimane assorbito il motivo di ricorso incidentale condizionato, in tesi anche preliminare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 xml:space="preserve">logicamente, ma che sarebbe stato inammissibile </w:t>
      </w:r>
      <w:proofErr w:type="spellStart"/>
      <w:r w:rsidRPr="007E41C5">
        <w:rPr>
          <w:rFonts w:ascii="Arial" w:hAnsi="Arial" w:cs="Arial"/>
          <w:sz w:val="24"/>
          <w:szCs w:val="24"/>
        </w:rPr>
        <w:t>poichè</w:t>
      </w:r>
      <w:proofErr w:type="spellEnd"/>
      <w:r w:rsidRPr="007E41C5">
        <w:rPr>
          <w:rFonts w:ascii="Arial" w:hAnsi="Arial" w:cs="Arial"/>
          <w:sz w:val="24"/>
          <w:szCs w:val="24"/>
        </w:rPr>
        <w:t xml:space="preserve"> nel corpo dell'atto della difesa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erariale non è chiarito, in violazione dell'art. 366 c.p.c., n. 6, a quale esatta domanda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 xml:space="preserve">dell'odierno ricorrente faccia riferimento l'invocata sentenza del Tribunale di Roma </w:t>
      </w:r>
      <w:proofErr w:type="spellStart"/>
      <w:r w:rsidRPr="007E41C5">
        <w:rPr>
          <w:rFonts w:ascii="Arial" w:hAnsi="Arial" w:cs="Arial"/>
          <w:sz w:val="24"/>
          <w:szCs w:val="24"/>
        </w:rPr>
        <w:t>nè</w:t>
      </w:r>
      <w:proofErr w:type="spellEnd"/>
      <w:r w:rsidRPr="007E41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soprattutto, se vi sia stata impugnazione, posto che l'Avvocatura statale richiama una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sentenza della Corte di appello che attesta l'impugnazione di altri originari attori in prime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cure la cui pretesa era stata definita con il medesimo arresto del giudice capitolino, ma ciò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non dimostra che non vi possa essere stato distinto appello non riunito, vertendosi,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all'evidenza, in tema di cause scindibili;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deve ricordarsi che nel giudizio di legittimità, il principio della rilevabilità del giudicato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esterno va coordinato con gli oneri ex art. 366 c.p.c., n. 6, e pertanto la parte ricorrente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che deduca l'esistenza del giudicato deve, a pena d'inammissibilità del ricorso, se del caso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incidentale, riprodurre in quest'ultimo il testo integrale necessario della sentenza che si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assume essere passata in giudicato (Cass., 23/06/2017, n. 15737, Cass., 31/05/2018, n.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13988);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spese secondo soccombenza.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P.Q.M.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La Corte rigetta il ricorso principale, assorbito l'incidentale, e condanna parte ricorrente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 xml:space="preserve">alla rifusione delle spese processuali delle parti controricorrenti liquidate in </w:t>
      </w:r>
      <w:proofErr w:type="gramStart"/>
      <w:r w:rsidRPr="007E41C5">
        <w:rPr>
          <w:rFonts w:ascii="Arial" w:hAnsi="Arial" w:cs="Arial"/>
          <w:sz w:val="24"/>
          <w:szCs w:val="24"/>
        </w:rPr>
        <w:t>Euro</w:t>
      </w:r>
      <w:proofErr w:type="gramEnd"/>
      <w:r w:rsidRPr="007E41C5">
        <w:rPr>
          <w:rFonts w:ascii="Arial" w:hAnsi="Arial" w:cs="Arial"/>
          <w:sz w:val="24"/>
          <w:szCs w:val="24"/>
        </w:rPr>
        <w:t xml:space="preserve"> 5.200,00,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oltre a spese prenotate a debito.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Ai sensi del D.P.R. n. 115 del 2002, art. 13, comma 1 quater, la Corte dà atto che il tenore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del dispositivo è tale da giustificare il pagamento, se dovuto e nella misura dovuta, da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parte ricorrente, dell'ulteriore importo a titolo di contributo unificato, pari a quello dovuto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per il ricorso.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Così deciso in Roma, il 17 dicembre 2020.</w:t>
      </w:r>
      <w:r>
        <w:rPr>
          <w:rFonts w:ascii="Arial" w:hAnsi="Arial" w:cs="Arial"/>
          <w:sz w:val="24"/>
          <w:szCs w:val="24"/>
        </w:rPr>
        <w:t xml:space="preserve"> </w:t>
      </w:r>
      <w:r w:rsidRPr="007E41C5">
        <w:rPr>
          <w:rFonts w:ascii="Arial" w:hAnsi="Arial" w:cs="Arial"/>
          <w:sz w:val="24"/>
          <w:szCs w:val="24"/>
        </w:rPr>
        <w:t>Depositato in Cancelleria il 31 marzo 2021</w:t>
      </w:r>
    </w:p>
    <w:sectPr w:rsidR="00500254" w:rsidRPr="007E41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C5"/>
    <w:rsid w:val="00500254"/>
    <w:rsid w:val="007E41C5"/>
    <w:rsid w:val="00C0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80B9"/>
  <w15:chartTrackingRefBased/>
  <w15:docId w15:val="{102F9C8D-637F-4C16-A84B-7EEF8205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Lorenzo</dc:creator>
  <cp:keywords/>
  <dc:description/>
  <cp:lastModifiedBy>Chiara Di Lorenzo</cp:lastModifiedBy>
  <cp:revision>1</cp:revision>
  <dcterms:created xsi:type="dcterms:W3CDTF">2021-04-13T11:59:00Z</dcterms:created>
  <dcterms:modified xsi:type="dcterms:W3CDTF">2021-04-13T12:14:00Z</dcterms:modified>
</cp:coreProperties>
</file>