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DB25" w14:textId="77777777" w:rsidR="00A67A31" w:rsidRPr="00A67A31" w:rsidRDefault="00A67A31" w:rsidP="00A67A31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A31"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  <w:lang w:eastAsia="it-IT"/>
        </w:rPr>
        <w:t>Disegni di legge in materia di defibrillatori (A.S. n. 1441, A.S. n. 320, A.S. n. 947 e A.S. n. 1501) Assegnato alla </w:t>
      </w:r>
      <w:hyperlink r:id="rId4" w:tgtFrame="_blank" w:history="1">
        <w:r w:rsidRPr="00A67A31">
          <w:rPr>
            <w:rFonts w:ascii="Arial" w:eastAsia="Times New Roman" w:hAnsi="Arial" w:cs="Arial"/>
            <w:b/>
            <w:bCs/>
            <w:color w:val="002060"/>
            <w:sz w:val="28"/>
            <w:szCs w:val="28"/>
            <w:u w:val="single"/>
            <w:shd w:val="clear" w:color="auto" w:fill="FFFFFF"/>
            <w:lang w:eastAsia="it-IT"/>
          </w:rPr>
          <w:t>12ª Commissione permanente (Igiene e sanità)</w:t>
        </w:r>
      </w:hyperlink>
      <w:r w:rsidRPr="00A67A31"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  <w:lang w:eastAsia="it-IT"/>
        </w:rPr>
        <w:t> in sede deliberante. Nominata relatrice Sen. Boldrini.</w:t>
      </w:r>
    </w:p>
    <w:p w14:paraId="6FDBF2A1" w14:textId="77777777" w:rsidR="00A67A31" w:rsidRPr="00A67A31" w:rsidRDefault="00A67A31" w:rsidP="00A67A31">
      <w:pPr>
        <w:shd w:val="clear" w:color="auto" w:fill="FFFFFF"/>
        <w:spacing w:after="30" w:line="240" w:lineRule="auto"/>
        <w:ind w:left="30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</w:p>
    <w:p w14:paraId="63F802AC" w14:textId="77777777" w:rsidR="00A67A31" w:rsidRPr="00A67A31" w:rsidRDefault="00A67A31" w:rsidP="00A67A31">
      <w:pPr>
        <w:shd w:val="clear" w:color="auto" w:fill="FFFFFF"/>
        <w:spacing w:after="30" w:line="240" w:lineRule="auto"/>
        <w:ind w:left="30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Il disegno di legge 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A.S. n. 1441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concernente l'utilizzo dei defibrillatori semiautomatici ed automatici</w:t>
      </w:r>
      <w:r w:rsidRPr="00A67A31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it-IT"/>
        </w:rPr>
        <w:t> 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in ambiente extraospedaliero (DAE), è stato trasmesso al Senato dalla Camera dei deputati, la quale l'ha approvato il 30 luglio 2019.</w:t>
      </w:r>
    </w:p>
    <w:p w14:paraId="3C8B67D0" w14:textId="77777777" w:rsidR="00A67A31" w:rsidRPr="00A67A31" w:rsidRDefault="00A67A31" w:rsidP="00A67A31">
      <w:pPr>
        <w:shd w:val="clear" w:color="auto" w:fill="FFFFFF"/>
        <w:spacing w:after="30" w:line="240" w:lineRule="auto"/>
        <w:ind w:left="30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L'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articolo 1 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è inteso a favorire la progressiva diffusione e l'utilizzazione dei defibrillatori semiautomatici e automatici esterni presso alcune sedi di pubbliche amministrazioni, presso infrastrutture e mezzi di trasporto e presso i gestori di servizi pubblici. Esso demanda inoltre ad un decreto del Ministro della salute la definizione dei criteri e delle modalità per l'installazione dei defibrillatori semiautomatici ed automatici esterni. Tali criteri e modalità sono oggetto anche dell'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articolo 2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il quale fa anche riferimento - in merito all'eventuale definizione sia di tali profili sia di misure di incentivo - a regolamenti ed atti degli enti territoriali. L'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articolo 3 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opera una revisione della normativa sull'utilizzo dei defibrillatori da parte di personale non medico. L'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articolo 4 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modifica la disciplina sugli obblighi relativi alla dotazione ed all'impiego da parte delle società sportive, sia professionistiche sia dilettantistiche, dei defibrillatori. L'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articolo 5 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concerne le iniziative di formazione in ambito scolastico sulle tecniche di rianimazione cardiopolmonare di base, facendo anche riferimento alla generalità delle tecniche di primo soccorso. L'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articolo 6 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riguarda le comunicazioni da parte dei soggetti che siano già dotati o si dotino di un DAE e da parte dei venditori, l'individuazione del soggetto avente alcune responsabilità riguardo al DAE in dotazione e le funzioni di registrazione e di monitoraggio dei DAE da parte delle centrali operative del sistema di emergenza sanitaria "118". L'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articolo 7 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concerne la disciplina di alcune modalità del sistema di emergenza sanitaria "118", con particolare riferimento all'utilizzo dei DAE. L'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articolo 8 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prevede la promozione di campagne di sensibilizzazione in materia di primo soccorso e di uso dei DAE e la riserva di relativi spazi di informazione nell'ambito del servizio pubblico radiotelevisivo. L'</w:t>
      </w:r>
      <w:r w:rsidRPr="00A67A3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articolo 9 </w:t>
      </w:r>
      <w:r w:rsidRPr="00A67A3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concerne l'applicazione della presente legge nei territori in cui vi siano minoranze linguistiche riconosciute.</w:t>
      </w:r>
    </w:p>
    <w:p w14:paraId="4B1A5C8C" w14:textId="77777777" w:rsidR="00A67A31" w:rsidRPr="00A67A31" w:rsidRDefault="00A67A31" w:rsidP="00A67A31">
      <w:pPr>
        <w:shd w:val="clear" w:color="auto" w:fill="FFFFFF"/>
        <w:spacing w:after="30" w:line="240" w:lineRule="auto"/>
        <w:ind w:left="30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A31">
        <w:rPr>
          <w:rFonts w:ascii="Arial" w:eastAsia="Times New Roman" w:hAnsi="Arial" w:cs="Arial"/>
          <w:b/>
          <w:bCs/>
          <w:color w:val="002060"/>
          <w:sz w:val="28"/>
          <w:szCs w:val="28"/>
          <w:lang w:eastAsia="it-IT"/>
        </w:rPr>
        <w:t>La Commissione Igiene e sanità nella seduta in sede deliberante del 27.5.21 ha approvato con modificazioni il provvedimento.</w:t>
      </w:r>
    </w:p>
    <w:p w14:paraId="0251543E" w14:textId="77777777" w:rsidR="00830EF0" w:rsidRDefault="00A67A31"/>
    <w:sectPr w:rsidR="00830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31"/>
    <w:rsid w:val="0031497D"/>
    <w:rsid w:val="00A67A31"/>
    <w:rsid w:val="00E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8B28"/>
  <w15:chartTrackingRefBased/>
  <w15:docId w15:val="{77575E23-EEED-47B4-B96C-65F0A102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7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ato.it/loc/link.asp?tipodoc=SCOM&amp;leg=18&amp;tipo=0&amp;cod=1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2021-05-28T09:12:00Z</dcterms:created>
  <dcterms:modified xsi:type="dcterms:W3CDTF">2021-05-28T09:12:00Z</dcterms:modified>
</cp:coreProperties>
</file>