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FAA1" w14:textId="5E98A59E" w:rsidR="006C6908" w:rsidRPr="006C6908" w:rsidRDefault="00075753" w:rsidP="000757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TAR </w:t>
      </w:r>
      <w:r w:rsidR="00DB3450">
        <w:rPr>
          <w:rFonts w:ascii="Arial" w:hAnsi="Arial" w:cs="Arial"/>
          <w:b/>
          <w:bCs/>
        </w:rPr>
        <w:t xml:space="preserve">Campania </w:t>
      </w:r>
      <w:r w:rsidR="00A24456">
        <w:rPr>
          <w:rFonts w:ascii="Arial" w:hAnsi="Arial" w:cs="Arial"/>
          <w:b/>
          <w:bCs/>
        </w:rPr>
        <w:t xml:space="preserve">sent. </w:t>
      </w:r>
      <w:r w:rsidR="00DB3450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. </w:t>
      </w:r>
      <w:r w:rsidR="006C6908" w:rsidRPr="006C6908">
        <w:rPr>
          <w:rFonts w:ascii="Arial" w:hAnsi="Arial" w:cs="Arial"/>
          <w:b/>
          <w:bCs/>
        </w:rPr>
        <w:t>0</w:t>
      </w:r>
      <w:bookmarkStart w:id="0" w:name="_Hlk92703191"/>
      <w:r w:rsidR="006C6908" w:rsidRPr="006C6908">
        <w:rPr>
          <w:rFonts w:ascii="Arial" w:hAnsi="Arial" w:cs="Arial"/>
          <w:b/>
          <w:bCs/>
        </w:rPr>
        <w:t>8381</w:t>
      </w:r>
      <w:bookmarkEnd w:id="0"/>
      <w:r w:rsidR="006C6908" w:rsidRPr="006C6908">
        <w:rPr>
          <w:rFonts w:ascii="Arial" w:hAnsi="Arial" w:cs="Arial"/>
          <w:b/>
          <w:bCs/>
        </w:rPr>
        <w:t>/2021</w:t>
      </w:r>
      <w:r w:rsidR="00A24456">
        <w:rPr>
          <w:rFonts w:ascii="Arial" w:hAnsi="Arial" w:cs="Arial"/>
          <w:b/>
          <w:bCs/>
        </w:rPr>
        <w:t xml:space="preserve"> -</w:t>
      </w:r>
      <w:r w:rsidR="00A24456" w:rsidRPr="00A24456">
        <w:rPr>
          <w:rFonts w:ascii="Arial-BoldMT" w:hAnsi="Arial-BoldMT" w:cs="Arial-BoldMT"/>
          <w:b/>
          <w:bCs/>
          <w:color w:val="002060"/>
          <w:lang w:eastAsia="en-US"/>
        </w:rPr>
        <w:t xml:space="preserve"> </w:t>
      </w:r>
      <w:r w:rsidR="00A24456" w:rsidRPr="00A24456">
        <w:rPr>
          <w:rFonts w:ascii="Arial" w:hAnsi="Arial" w:cs="Arial"/>
          <w:b/>
          <w:bCs/>
        </w:rPr>
        <w:t xml:space="preserve">Medici </w:t>
      </w:r>
      <w:r w:rsidR="002A6606">
        <w:rPr>
          <w:rFonts w:ascii="Arial" w:hAnsi="Arial" w:cs="Arial"/>
          <w:b/>
          <w:bCs/>
        </w:rPr>
        <w:t xml:space="preserve">specializzandi </w:t>
      </w:r>
      <w:r w:rsidR="00A24456">
        <w:rPr>
          <w:rFonts w:ascii="Arial" w:hAnsi="Arial" w:cs="Arial"/>
          <w:b/>
          <w:bCs/>
        </w:rPr>
        <w:t xml:space="preserve">- </w:t>
      </w:r>
      <w:r w:rsidR="006C6908" w:rsidRPr="006C6908">
        <w:rPr>
          <w:rFonts w:ascii="Arial" w:hAnsi="Arial" w:cs="Arial"/>
        </w:rPr>
        <w:t>S</w:t>
      </w:r>
      <w:r w:rsidR="00DB3450" w:rsidRPr="00DB3450">
        <w:rPr>
          <w:rFonts w:ascii="Arial" w:hAnsi="Arial" w:cs="Arial"/>
        </w:rPr>
        <w:t>entenza</w:t>
      </w:r>
      <w:r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sul ricorso numero di registro generale 483 del 2021, proposto da: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A</w:t>
      </w:r>
      <w:r w:rsidR="00D832E3">
        <w:rPr>
          <w:rFonts w:ascii="Arial" w:hAnsi="Arial" w:cs="Arial"/>
        </w:rPr>
        <w:t>.</w:t>
      </w:r>
      <w:r w:rsidR="006C6908" w:rsidRPr="006C6908">
        <w:rPr>
          <w:rFonts w:ascii="Arial" w:hAnsi="Arial" w:cs="Arial"/>
        </w:rPr>
        <w:t xml:space="preserve"> F</w:t>
      </w:r>
      <w:r w:rsidR="00D832E3">
        <w:rPr>
          <w:rFonts w:ascii="Arial" w:hAnsi="Arial" w:cs="Arial"/>
        </w:rPr>
        <w:t>.</w:t>
      </w:r>
      <w:r w:rsidR="006C6908" w:rsidRPr="006C6908">
        <w:rPr>
          <w:rFonts w:ascii="Arial" w:hAnsi="Arial" w:cs="Arial"/>
        </w:rPr>
        <w:t>, rappresentato e difeso dall'avvocato E</w:t>
      </w:r>
      <w:r w:rsidR="00DB3450">
        <w:rPr>
          <w:rFonts w:ascii="Arial" w:hAnsi="Arial" w:cs="Arial"/>
        </w:rPr>
        <w:t>.</w:t>
      </w:r>
      <w:r w:rsidR="006C6908" w:rsidRPr="006C6908">
        <w:rPr>
          <w:rFonts w:ascii="Arial" w:hAnsi="Arial" w:cs="Arial"/>
        </w:rPr>
        <w:t xml:space="preserve"> Errichiello, con recapito digitale come da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PEC da Registri di Giustizia e con domicilio eletto in Napoli, via Tasso 169;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contro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Regione Campania, in persona del legale rappresentante pro tempore, rappresentato e difeso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dall'avvocato R</w:t>
      </w:r>
      <w:r w:rsidR="00D832E3">
        <w:rPr>
          <w:rFonts w:ascii="Arial" w:hAnsi="Arial" w:cs="Arial"/>
        </w:rPr>
        <w:t>.</w:t>
      </w:r>
      <w:r w:rsidR="006C6908" w:rsidRPr="006C6908">
        <w:rPr>
          <w:rFonts w:ascii="Arial" w:hAnsi="Arial" w:cs="Arial"/>
        </w:rPr>
        <w:t xml:space="preserve"> Saturno, con recapito digitale come da PEC da Registri di Giustizia e domicilio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eletto presso gli uffici dell’Avvocatura regionale, in Napoli, via S. Lucia 81;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per l'annullamento: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- del contratto o modello di accettazione del Corso di Formazione in Medicina Generale della Regione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Campania, triennio 2019/2022 – Sovrannumero ex L. 60/2019;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- della nota del 7 dicembre 2020 della Segreteria Scuola di formazione specifica in Medicina Generale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della Regione Campania avente ad oggetto “Ammissione con riserva CFSMG 2019/22 – Grad. Ris. L.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075753">
        <w:rPr>
          <w:rFonts w:ascii="Arial" w:hAnsi="Arial" w:cs="Arial"/>
        </w:rPr>
        <w:t>60/2019”;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della nota del 10 dicembre 2020 della Segreteria Scuola di formazione specifica in Medicina Generale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della Regione Campania avente ad oggetto: “Accettazione Dott. A</w:t>
      </w:r>
      <w:r w:rsidR="00D832E3">
        <w:rPr>
          <w:rFonts w:ascii="Arial" w:hAnsi="Arial" w:cs="Arial"/>
        </w:rPr>
        <w:t>.</w:t>
      </w:r>
      <w:r w:rsidR="006C6908" w:rsidRPr="006C6908">
        <w:rPr>
          <w:rFonts w:ascii="Arial" w:hAnsi="Arial" w:cs="Arial"/>
        </w:rPr>
        <w:t xml:space="preserve"> F</w:t>
      </w:r>
      <w:r w:rsidR="00D832E3">
        <w:rPr>
          <w:rFonts w:ascii="Arial" w:hAnsi="Arial" w:cs="Arial"/>
        </w:rPr>
        <w:t>.</w:t>
      </w:r>
      <w:r w:rsidR="006C6908" w:rsidRPr="006C6908">
        <w:rPr>
          <w:rFonts w:ascii="Arial" w:hAnsi="Arial" w:cs="Arial"/>
        </w:rPr>
        <w:t xml:space="preserve"> Ammissione con</w:t>
      </w:r>
      <w:r w:rsidR="00D832E3">
        <w:rPr>
          <w:rFonts w:ascii="Arial" w:hAnsi="Arial" w:cs="Arial"/>
          <w:b/>
          <w:bCs/>
        </w:rPr>
        <w:t xml:space="preserve"> </w:t>
      </w:r>
      <w:r w:rsidR="006C6908" w:rsidRPr="006C6908">
        <w:rPr>
          <w:rFonts w:ascii="Arial" w:hAnsi="Arial" w:cs="Arial"/>
        </w:rPr>
        <w:t>riserva CFSMG 2019/2022 Regione Campania, candidati ricorrenti Grad. Ris. (Decreto Calabria)”;</w:t>
      </w:r>
    </w:p>
    <w:p w14:paraId="542DFB49" w14:textId="7F46181E" w:rsidR="006C6908" w:rsidRPr="00075753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- della nota del 18 gennaio 2021 della Segreteria Scuola di formazione specifica in Medicina Generale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della Regione Campania avente ad oggetto: “Scorrimento graduatoria CFSMG 2019/22 - Grad. Ris.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L.60/2019 (D. Calabria)”;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- della nota del 18 gennaio 2021 della Segreteria Scuola di formazione specifica in Medicina Generale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della Regione Campania avente ad oggetto: “Contratto accettazione Dott. A</w:t>
      </w:r>
      <w:r w:rsidR="00D832E3">
        <w:rPr>
          <w:rFonts w:ascii="Arial" w:hAnsi="Arial" w:cs="Arial"/>
        </w:rPr>
        <w:t xml:space="preserve">. </w:t>
      </w:r>
      <w:r w:rsidRPr="006C6908">
        <w:rPr>
          <w:rFonts w:ascii="Arial" w:hAnsi="Arial" w:cs="Arial"/>
        </w:rPr>
        <w:t>F</w:t>
      </w:r>
      <w:r w:rsidR="00D832E3">
        <w:rPr>
          <w:rFonts w:ascii="Arial" w:hAnsi="Arial" w:cs="Arial"/>
        </w:rPr>
        <w:t xml:space="preserve">. </w:t>
      </w:r>
      <w:r w:rsidRPr="006C6908">
        <w:rPr>
          <w:rFonts w:ascii="Arial" w:hAnsi="Arial" w:cs="Arial"/>
        </w:rPr>
        <w:t>Ammissione CFSMG 2019/2022 Regione Campania Grad. Ris. (Decreto Calabria)”;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- ove occorra e per quanto di ragione, del Decreto n. 10 del 22 gennaio 2021 della Regione Campania;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- ove occorra e per quanto di ragione, del Regolamento del corso di Medicina Generale della Regione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Campania;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- ove occorra e per quanto di ragione, dell'avviso per l'ammissione al corso di formazione specifica in</w:t>
      </w:r>
      <w:r w:rsidR="00D832E3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medicina generale triennio 2019/2022 tramite graduatoria riservata della Regione Campania, se e nella parte in cui preclude l'assunzione o la conservazione di incarichi convenzionali o l'esercizio di attività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libero professionale compatibile in concreto con gli obblighi formativi;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- ove esistente, anche se non conosciuto, qualsiasi altra comunicazione della Regione Campania che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vieti ai corsisti soprannumerari l'esercizio di attività libero professionale compatibile in concreto con gli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obblighi formativi;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- ove esistente o nelle more pervenuto, di qualsiasi altro atto – anche non conosciuto - nella misura in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cui dovesse stabilire l'incompatibilità tra la frequenza del corso di formazione specifica in medicina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generale e lo svolgimento di attività libero professionale;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- di ogni atto presupposto, consequenziale o comunque connesso, anche non conosciuto, rispetto a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quelli impugnati;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Nonché in subordine,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per la questione di costituzionalità, in quanto occorra e per quanto di ragione, dell'art. 12, comma 3,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della legge 25 giugno 2019, n. 60 conversione in legge, con modificazioni, del decreto-legge 30 aprile</w:t>
      </w:r>
      <w:r w:rsidR="00D832E3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2019, n. 35;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Nonché per l'accertamento del diritto di parte ricorrente a frequentare il corso di Formazione Specifica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in Medicina Generale, tramite graduatoria riservata, e a svolgere attività libero professionale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compatibile con gli obblighi formativi.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Visti il ricorso e i relativi allegati;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Visto l'atto di costituzione in giudizio della Regione Campania;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Vista l’ordinanza cautelare n. 473 del 10 marzo 2021;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Visti tutti gli atti della causa;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Relatore nell'udienza pubblica del giorno 6 ottobre 2021, il dott.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G</w:t>
      </w:r>
      <w:r w:rsidR="00D832E3">
        <w:rPr>
          <w:rFonts w:ascii="Arial" w:hAnsi="Arial" w:cs="Arial"/>
        </w:rPr>
        <w:t>.</w:t>
      </w:r>
      <w:r w:rsidRPr="006C6908">
        <w:rPr>
          <w:rFonts w:ascii="Arial" w:hAnsi="Arial" w:cs="Arial"/>
        </w:rPr>
        <w:t xml:space="preserve"> Palliggiano, presente l’avv.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Saturno per la Regione; Vista, per il ricorrente la nota dell’avv. Errichiello con istanza di passaggio in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decisione;</w:t>
      </w:r>
      <w:r w:rsidR="00D832E3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Ritenuto e considerato in fatto e diritto quanto segue.</w:t>
      </w:r>
    </w:p>
    <w:p w14:paraId="410E7150" w14:textId="3E5C28BF" w:rsidR="006C6908" w:rsidRPr="006C6908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FATTO e DIRITTO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1.- Con Decreto dirigenziale n. 64 del 30 settembre 2019, la Regione Campania aveva approvato il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bando per l’accesso ai corsi – relativi al triennio 2019/2022 – per Medico di Medicina Generale (MMG),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senza test d’ingresso, per corsisti soprannumerari privi di borsa, in applicazione del decreto legge n. 35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del 30 aprile 2019, convertito nella legge n. 60 del 25 giugno 2019 (cosiddetto decreto Calabria), per un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totale di 17 posti, categoria parallela all’altra di soprannumerari regolata dalla L. n. 401/2000.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La graduatoria definitiva è stata pubblicata sul BURC n. 142 del 13 luglio 2020.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 xml:space="preserve">Il ricorrente, </w:t>
      </w:r>
      <w:r w:rsidR="00D832E3">
        <w:rPr>
          <w:rFonts w:ascii="Arial" w:hAnsi="Arial" w:cs="Arial"/>
        </w:rPr>
        <w:t>A.F.</w:t>
      </w:r>
      <w:r w:rsidRPr="006C6908">
        <w:rPr>
          <w:rFonts w:ascii="Arial" w:hAnsi="Arial" w:cs="Arial"/>
        </w:rPr>
        <w:t xml:space="preserve">, che aveva </w:t>
      </w:r>
      <w:r w:rsidRPr="006C6908">
        <w:rPr>
          <w:rFonts w:ascii="Arial" w:hAnsi="Arial" w:cs="Arial"/>
        </w:rPr>
        <w:lastRenderedPageBreak/>
        <w:t>partecipato alla selezione, non essendosi inizialmente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classificato tra i vincitori, presentava ricorso al Tar Lazio, rubricato al numero R.G. 8306/2020, col quale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aveva censurato il sottodimensionamento dei posti messi a bando nel concorso tramite graduatoria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riservata.</w:t>
      </w:r>
    </w:p>
    <w:p w14:paraId="1C74691D" w14:textId="745B2BBF" w:rsidR="006C6908" w:rsidRPr="006C6908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Il Tar Lazio, in accoglimento della domanda cautelare, disponeva la sua ammissione al corso con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riserva, prima con decreto monocratico e poi con ordinanza n. 7070 del 16 novembre 2020.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In seguito, in data 7 dicembre 2020, la Segreteria del corso comunicava ai ricorrenti l’ammissione con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riserva indicando le sedi in cui prendere servizio, per la quale in data 8 dicembre 2020, il ricorrente, in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accettazione dell’iscrizione con riserva, indicava come preferenza l’ASL di Benevento.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 PEC del 18 gennaio 2021, la Regione annunciava lo scorrimento della graduatoria e, quindi,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l’ammissione a titolo definitivo del ricorrente.</w:t>
      </w:r>
    </w:p>
    <w:p w14:paraId="38D7644B" w14:textId="260D6846" w:rsidR="006C6908" w:rsidRPr="006C6908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Nella stessa data, gli sottoponeva per la firma, a mezzo PEC, il modello di accettazione, in cui era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presente la clausola d’incompatibilità che richiamava il Decreto ministeriale 7 marzo 2006.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 decreto del 22 gennaio 2021, la Regione disponeva l’assegnazione del ricorrente, già ammesso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 riserva, al corso presso l’ASL di Benevento.</w:t>
      </w:r>
    </w:p>
    <w:p w14:paraId="51217BD3" w14:textId="1F0B59AD" w:rsidR="006C6908" w:rsidRPr="00075753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2.- A</w:t>
      </w:r>
      <w:r w:rsidR="00D832E3">
        <w:rPr>
          <w:rFonts w:ascii="Arial" w:hAnsi="Arial" w:cs="Arial"/>
        </w:rPr>
        <w:t>.</w:t>
      </w:r>
      <w:r w:rsidRPr="006C6908">
        <w:rPr>
          <w:rFonts w:ascii="Arial" w:hAnsi="Arial" w:cs="Arial"/>
        </w:rPr>
        <w:t xml:space="preserve"> F</w:t>
      </w:r>
      <w:r w:rsidR="00D832E3">
        <w:rPr>
          <w:rFonts w:ascii="Arial" w:hAnsi="Arial" w:cs="Arial"/>
        </w:rPr>
        <w:t>.</w:t>
      </w:r>
      <w:r w:rsidRPr="006C6908">
        <w:rPr>
          <w:rFonts w:ascii="Arial" w:hAnsi="Arial" w:cs="Arial"/>
        </w:rPr>
        <w:t xml:space="preserve"> - sul presupposto che, sottoscrivendo il contratto di adesione, sarebbe stato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costretto a rinunciare al corso di formazione, ovvero a qualsiasi attività libero professionale, anche se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di fatto compatibile con la frequenza, e benché questa costituisse l’unica fonte di reddito - ha proposto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l’odierno ricorso, notificato e depositato il 5 febbraio 2021, col quale ha impugnato, per l’annullamento,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previa richiesta di sospensione cautelare, il contratto o modello di accettazione con le note pregresse,</w:t>
      </w:r>
      <w:r w:rsidR="00D832E3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come in epigrafe in dettaglio specificate.  Ha formulato le seguenti censure.</w:t>
      </w:r>
    </w:p>
    <w:p w14:paraId="07FC8E21" w14:textId="32124F4A" w:rsidR="006C6908" w:rsidRPr="006C6908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1) violazione degli artt. 3, 4, 33 ultimo comma e 97 Cost.; violazione del bando per l’accesso al corso di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medicina generale di cui sopra, violazione del d.l. 35/2019 convertito con l. 60/2019, violazione degli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artt. 32 e 34 del d.lgs. n. 151 del 2001, irragionevolezza, carenza di istruttoria e motivazione. Eccesso di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potere per erroneità ovvero carenza dei presupposti di fatto e di diritto, per ingiustizia manifesta e per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disparità di trattamento.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L’avviso per l’ammissione al corso triennale di formazione specifica in medicina generale tramite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graduatoria riservata - come altri atti o provvedimenti inviati o pubblicati dalla Regione in data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 xml:space="preserve">antecedente l’iscrizione, quali in particolare il decreto dirigenziale n. 25 del 13 febbraio 2020 </w:t>
      </w:r>
      <w:r w:rsidR="00D832E3">
        <w:rPr>
          <w:rFonts w:ascii="Arial" w:hAnsi="Arial" w:cs="Arial"/>
        </w:rPr>
        <w:t>–</w:t>
      </w:r>
      <w:r w:rsidRPr="006C6908">
        <w:rPr>
          <w:rFonts w:ascii="Arial" w:hAnsi="Arial" w:cs="Arial"/>
        </w:rPr>
        <w:t xml:space="preserve"> non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contiene alcuna previsione espressa che rende applicabili, ai corsisti soprannumerari ammessi senza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borsa, le incompatibilità di cui all’art. 11 del D.M. 7 marzo 2006.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Quanto al Regolamento del corso di Medicina Generale e del quale la Regione ha chiesto, con le note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impugnate, il rispetto al momento dell’iscrizione, questo è stato adottato con Decreto dirigenziale n.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247 del 14 novembre 2018, pertanto prima che il D.L. 35/2019, convertito dalla L. n. 60/2019 (cd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Decreto Calabria) entrasse in vigore.</w:t>
      </w:r>
    </w:p>
    <w:p w14:paraId="23486BC4" w14:textId="0AA70ABB" w:rsidR="006C6908" w:rsidRPr="006C6908" w:rsidRDefault="006C6908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2) Violazione delle norme di cui al punto 1) per diversi profili.</w:t>
      </w:r>
      <w:r w:rsidR="00D832E3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Il menzionato D.L. 35/2019 ha previsto una modalità di accesso alternativa ai corsi di formazione,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riservata a candidati definiti per l’appunto “soprannumerari” in quanto il loro numero va oltre il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contingente ammesso annualmente ai corsi.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In particolare, l’art. 12 del predetto Decreto legge, fino al 31 dicembre 2021, consente ai laureati in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medicina e chirurgia che abbiano già maturato per almeno 24 mesi un’esperienza con incarichi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convenzionali, la possibilità di accedere, tramite una graduatoria riservata al corso, senza borsa di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studio.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In questi termini, la disciplina di cui al menzionato D.L. 35/2019 non solo costituisce una norma</w:t>
      </w:r>
    </w:p>
    <w:p w14:paraId="68850B6B" w14:textId="6CCF8220" w:rsidR="006C6908" w:rsidRPr="006C6908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speciale ma anche di grado sovraordinato rispetto al menzionato Decreto Ministeriale 7 marzo 2006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che regolamenta il test di accesso al corso di Medicina Generale, nonché di pari grado ma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cronologicamente successiva al D. Lgs 368/1999.</w:t>
      </w:r>
    </w:p>
    <w:p w14:paraId="5C2A8925" w14:textId="6D895B4E" w:rsidR="006C6908" w:rsidRPr="00075753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Sarebbe quindi in contraddizione coi principi basilari della gerarchia delle fonti ritenere che le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disposizioni di grado secondario di cui al menzionato decreto ministeriale siano automaticamente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applicabili ai corsisti ai sensi del cd. Decreto Calabria, tanto più che trattasi di una norma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regolamentare anteriore (di ben 14 anni) a quella in questa sede applicabile.</w:t>
      </w:r>
    </w:p>
    <w:p w14:paraId="124AA350" w14:textId="1E683AD4" w:rsidR="006C6908" w:rsidRPr="00075753" w:rsidRDefault="006C6908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3) violazione dell’art. 3 L. n. 401/2000; dell’art. 12 d.l. 35/2019 convertito con l. 60/2019;</w:t>
      </w:r>
    </w:p>
    <w:p w14:paraId="1FA58FD0" w14:textId="06A6E2DA" w:rsidR="006C6908" w:rsidRPr="00075753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lastRenderedPageBreak/>
        <w:t>violazione del bando per l’accesso al corso in questione; violazione di legge ed eccesso di potere per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erroneità o carenza dei presupposti di fatto e di diritto; contraddittorietà tra atti dell’amministrazione;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violazione degli artt. 3, 33, 34, 35, 36 e 97 Cost.; violazione del principio di non discriminazione e par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condicio.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Tra le prescrizioni contenute negli atti impugnati e, in particolare, nel Regolamento del corso,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modificato in tal senso solo a corso avviato, si indica che esclusivamente per i corsisti ex L. n.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401/2000 è prevista la possibilità di svolgimento dell’attività libero professionale.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Nel caso del D.L. 35/2019, il legislatore non ha dato disposizioni circa lo svolgimento dell’attività libero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professionale.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Ciò nonostante una lettura costituzionalmente orientata della normativa, impone di estendere anche ai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corsisti di cui al DL Calabria la possibilità di svolgere attività libero professionale, come riconosciuta ai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corsisti soprannumerari ammessi ai sensi della L. 401/2000.</w:t>
      </w:r>
    </w:p>
    <w:p w14:paraId="1CBA5B18" w14:textId="4306E9B1" w:rsidR="006C6908" w:rsidRPr="006C6908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4) incostituzionalità dell’articolo 12, comma 3, d.l. 35/2019, convertito dalla L. n. 60/2019; violazione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degli artt. 3, 33, 34, 35, 36 e 97 Cost.</w:t>
      </w:r>
    </w:p>
    <w:p w14:paraId="07958EA7" w14:textId="43A8CBC7" w:rsidR="006C6908" w:rsidRPr="006C6908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In subordine, rispetto al motivo che precede, ove si ritenga che gli atti impugnati siano effettivamente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conformi al vigente impianto legislativa e non siano frutto di errata applicazione della norma, l’art. 12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d.l. 35/2019, convertito dalla legge 60/2019, sarebbe costituzionalmente illegittimo, in quanto porrebbe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un’ingiustificabile limite alla piena esplicazione al diritto allo studio, alla formazione, al lavoro e alla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carriera, come enucleati dalle norme sopra indicate della Costituzione.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3.- Con memoria depositata il 5 marzo 2021, si è costituita in giudizio la Regione Campania che ha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argomentato per la legittimità e la correttezza del proprio operato, chiedendo il rigetto del ricorso.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Con ordinanza n. 473 del 10 marzo 2021, la Sezione ha accolto la richiesta di sospensione cautelare dei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provvedimenti impugnati, con l’effetto il ricorrente è stato ammesso temporaneamente alla frequenza</w:t>
      </w:r>
    </w:p>
    <w:p w14:paraId="320B5FDD" w14:textId="31110B6D" w:rsidR="006C6908" w:rsidRPr="006C6908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al corso in soprannumero senza dovere rinunciare allo svolgimento della libera attività professionale.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La causa è stata inserita nel ruolo dell’udienza pubblica del 6 ottobre 2021, a conclusione della quale la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stessa è stata trattenuta per la decisione.</w:t>
      </w:r>
    </w:p>
    <w:p w14:paraId="51D77F6B" w14:textId="3A186295" w:rsidR="00075753" w:rsidRPr="00075753" w:rsidRDefault="006C6908" w:rsidP="00075753">
      <w:pPr>
        <w:jc w:val="both"/>
        <w:rPr>
          <w:rFonts w:ascii="Arial" w:hAnsi="Arial" w:cs="Arial"/>
        </w:rPr>
      </w:pPr>
      <w:r w:rsidRPr="006C6908">
        <w:rPr>
          <w:rFonts w:ascii="Arial" w:hAnsi="Arial" w:cs="Arial"/>
        </w:rPr>
        <w:t>4.- Il ricorso è fondato.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Le censure proposte con i primi tre motivi di ricorso possono essere trattate congiuntamente in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relazione ai profili di connessione di argomenti e contenuti. Le stesse sono fondate.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La Direttiva 1993/16/CE del 5 aprile 1993, in particolare l’art. 35, autorizza gli Stati membri ad istituire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corsi di formazione specifica in medicina generale a tempo ridotto a condizione che sia garantito un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livello qualitativo equivalente a quello della formazione a tempo pieno.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Sul punto, la Corte di giustizia ha chiarito che durante il corso – a prescindere che la formazione sia a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tempo pieno o a tempo ridotto - agli specializzandi debba essere riconosciuta una “remunerazione</w:t>
      </w:r>
      <w:r w:rsidR="00C2659C">
        <w:rPr>
          <w:rFonts w:ascii="Arial" w:hAnsi="Arial" w:cs="Arial"/>
        </w:rPr>
        <w:t xml:space="preserve"> </w:t>
      </w:r>
      <w:r w:rsidRPr="006C6908">
        <w:rPr>
          <w:rFonts w:ascii="Arial" w:hAnsi="Arial" w:cs="Arial"/>
        </w:rPr>
        <w:t>adeguata”, con prescrizione da ritenersi direttamente esecutiva (Corte giust. UE, Sez. VIII, 24 gennaio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2018, in C616/16 e C617/16).</w:t>
      </w:r>
      <w:r w:rsidR="00075753" w:rsidRPr="00075753">
        <w:rPr>
          <w:rFonts w:ascii="Arial" w:hAnsi="Arial" w:cs="Arial"/>
        </w:rPr>
        <w:t xml:space="preserve"> Secondo costante giurisprudenza, il giudice nazionale, qualora applichi disposizioni di diritto nazionale</w:t>
      </w:r>
      <w:r w:rsidR="00C2659C">
        <w:rPr>
          <w:rFonts w:ascii="Arial" w:hAnsi="Arial" w:cs="Arial"/>
        </w:rPr>
        <w:t xml:space="preserve"> </w:t>
      </w:r>
      <w:r w:rsidR="00075753" w:rsidRPr="00075753">
        <w:rPr>
          <w:rFonts w:ascii="Arial" w:hAnsi="Arial" w:cs="Arial"/>
        </w:rPr>
        <w:t>precedenti o successive ad una direttiva, è tenuto ad interpretarle, quanto più possibile, alla luce del</w:t>
      </w:r>
      <w:r w:rsidR="00C2659C">
        <w:rPr>
          <w:rFonts w:ascii="Arial" w:hAnsi="Arial" w:cs="Arial"/>
        </w:rPr>
        <w:t xml:space="preserve"> </w:t>
      </w:r>
      <w:r w:rsidR="00075753" w:rsidRPr="00075753">
        <w:rPr>
          <w:rFonts w:ascii="Arial" w:hAnsi="Arial" w:cs="Arial"/>
        </w:rPr>
        <w:t>loro tenore letterale e della finalità in modo da raggiungere il risultato perseguito da questa, con</w:t>
      </w:r>
      <w:r w:rsidR="00C2659C">
        <w:rPr>
          <w:rFonts w:ascii="Arial" w:hAnsi="Arial" w:cs="Arial"/>
        </w:rPr>
        <w:t xml:space="preserve"> </w:t>
      </w:r>
      <w:r w:rsidR="00075753" w:rsidRPr="00075753">
        <w:rPr>
          <w:rFonts w:ascii="Arial" w:hAnsi="Arial" w:cs="Arial"/>
        </w:rPr>
        <w:t>riferimento allo specifico caso in esame (Cons. Stato, Sez. V, 8 settembre 2008, n. 4242).</w:t>
      </w:r>
      <w:r w:rsidR="00C2659C">
        <w:rPr>
          <w:rFonts w:ascii="Arial" w:hAnsi="Arial" w:cs="Arial"/>
        </w:rPr>
        <w:t xml:space="preserve"> </w:t>
      </w:r>
      <w:r w:rsidR="00075753" w:rsidRPr="00075753">
        <w:rPr>
          <w:rFonts w:ascii="Arial" w:hAnsi="Arial" w:cs="Arial"/>
        </w:rPr>
        <w:t>Il giudice deve quindi fare tutto quanto gli compete, prendendo in considerazione il diritto interno nella</w:t>
      </w:r>
      <w:r w:rsidR="00C2659C">
        <w:rPr>
          <w:rFonts w:ascii="Arial" w:hAnsi="Arial" w:cs="Arial"/>
        </w:rPr>
        <w:t xml:space="preserve"> </w:t>
      </w:r>
      <w:r w:rsidR="00075753" w:rsidRPr="00075753">
        <w:rPr>
          <w:rFonts w:ascii="Arial" w:hAnsi="Arial" w:cs="Arial"/>
        </w:rPr>
        <w:t>sua globalità e applicando i metodi di interpretazione riconosciuti da tale diritto, per garantire</w:t>
      </w:r>
      <w:r w:rsidR="00C2659C">
        <w:rPr>
          <w:rFonts w:ascii="Arial" w:hAnsi="Arial" w:cs="Arial"/>
        </w:rPr>
        <w:t xml:space="preserve"> </w:t>
      </w:r>
      <w:r w:rsidR="00075753" w:rsidRPr="00075753">
        <w:rPr>
          <w:rFonts w:ascii="Arial" w:hAnsi="Arial" w:cs="Arial"/>
        </w:rPr>
        <w:t>l’attuazione delle disposizioni della direttiva (Corte giust. UE, 18 dicembre 2014, in C131/13, C163/13 e</w:t>
      </w:r>
      <w:r w:rsidR="00C2659C">
        <w:rPr>
          <w:rFonts w:ascii="Arial" w:hAnsi="Arial" w:cs="Arial"/>
        </w:rPr>
        <w:t xml:space="preserve"> </w:t>
      </w:r>
      <w:r w:rsidR="00075753" w:rsidRPr="00075753">
        <w:rPr>
          <w:rFonts w:ascii="Arial" w:hAnsi="Arial" w:cs="Arial"/>
        </w:rPr>
        <w:t>C164/13).</w:t>
      </w:r>
    </w:p>
    <w:p w14:paraId="57ED18D1" w14:textId="4162D1B6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Il diritto al lavoro, il diritto ad una retribuzione proporzionata e sufficiente a soddisfare i bisogni propri 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della propria famiglia nonché lo stesso diritto allo studio costituiscono valori fondanti del nostro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ordinamento nazionale, come sanciti dalla Costituzione.</w:t>
      </w:r>
    </w:p>
    <w:p w14:paraId="3DDDF0A7" w14:textId="77777777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Da tali principi, discende che le norme le quali prevedono cause di incompatibilità, in quanto</w:t>
      </w:r>
    </w:p>
    <w:p w14:paraId="523971F6" w14:textId="6F73E233" w:rsidR="006C6908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introducono un’eccezione rispetto al generale diritto al lavoro e alla libertà di iniziativa economica, sono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da considerarsi di stretta interpretazione.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Con uno dei motivi di doglianza centrali, il ricorrente predica l’erroneità dell’interpretazione della legge,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assunta a presupposto dell’impugnato divieto di svolgere attività libero professionale.</w:t>
      </w:r>
    </w:p>
    <w:p w14:paraId="1F54F1BC" w14:textId="216B3CF3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lastRenderedPageBreak/>
        <w:t>5.- La doglianza è degna di considerazione.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Sul punto, vanno condivise le considerazioni alle quali, per una fattispecie analoga a quella in esame, è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pervenuto il TAR Venezia, con la sentenza 4 ottobre 2021, n. 1167, al cui impianto motivazione ci si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riconduce, con le seguenti precisazioni.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La normativa di riferimento - interpretata in senso conforme ai sopra brevemente sintetizzati principi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dell’Unione e nazionali – ammette che l’interessato possa proseguire il corso e conseguire una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remunerazione adeguata grazie allo svolgimento delle attività lavorative e professionali quando queste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ultime siano in concreto compatibili con l’assolvimento degli obblighi formativi previsti (in questo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senso: T.A.R. Lazio, Roma, Sez. III Quater, ordinanza 22 gennaio 2021, n. 391; T.A.R. Lazio, Roma, Sez.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III Quater, decreto 7 luglio 2021, n. 3685; Tar Lazio, Roma, Sez. III Quater, ordinanza 22 luglio 2021, n.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4063; T.A.R. Toscana, Sez. I, ordinanza 22 luglio 2021 n. 453; TAR Emilia Romagna, Sez. II, ordinanza 22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settembre 2021, n. 434).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Da un punto di vista letterale, infatti, non vi è alcuna disposizione che espressamente estenda le cause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d’incompatibilità di cui all’art. 11 del d.m. 7 marzo 2006 agli specializzandi ammessi in base al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menzionato art. 12, comma 3, del d.l.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n. 35 del 2019, convertito dalla legge n. 60 del 2019 (cd Decreto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Calabria).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Con quest’ultimo decreto, il legislatore, in forza di una fonte di rango primario successiva al d.m. del 7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marzo 2006, ha previsto una differente categoria, con evidenti elementi di specialità, di medici.</w:t>
      </w:r>
    </w:p>
    <w:p w14:paraId="153E623A" w14:textId="5AF6A07A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Si tratta in particolare di medici ammessi al corso: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- in via eccezionale per sopperire alle croniche carenze di medici di medicina generale;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- in sovrannumero sulla base di una graduatoria separata; in quanto, pur non essendosi classificati in posizione utile al concorso, hanno già avviato e svolto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un’attività professionale per un periodo di almeno 24 mesi;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- senza la corresponsione di una borsa di studio.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La specialità della disciplina impone di valutare in concreto la compatibilità alla fattispecie in esame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delle precedenti disposizioni di cui all’art. 11 del d.m. 7 marzo 2006, le cui cause d’incompatibilità si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fondano su due presupposti tra loro correlati: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- la necessità di garantire l’adempimento degli obblighi formativi;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- il riconoscimento della borsa di studio.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Sotto quest’ultimo profilo, al pari degli specializzandi ammessi ai sensi dell’art. 3 della legge n. 401 del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2000, l’attenuazione del regime delle incompatibilità per gli specializzandi ammessi in base al d.l.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35/2019 trova giustificazione nel mancato riconoscimento di una borsa di studio (T.A.R. Campania,</w:t>
      </w:r>
    </w:p>
    <w:p w14:paraId="2CA3AE05" w14:textId="0D469C6D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Napoli, sez. V, 13 febbraio 2013, n. 892).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Proprio perché l’art. 12, comma 3, d. l. 35/2019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esclude il riconoscimento della borsa di studio,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l’interpretazione che estende il divieto di cui all’art. 11 del d.m. 7 marzo 2006 anche alle attività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lavorative in concreto compatibili con gli obblighi formativi non risulta quindi coerente con la disciplina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legislativa speciale.</w:t>
      </w:r>
    </w:p>
    <w:p w14:paraId="475F16BF" w14:textId="6D2A49C3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Qualora la mancata assegnazione della borsa di studio fosse accompagnata anche dal divieto di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svolgere altre attività lavorative-professionali, l’accesso in base al d.l. 35/2019 finirebbe per essere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irragionevolmente circoscritto ai soli soggetti che già dispongono di altre risorse proprie e che possono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studiare senza conseguire alcuna remunerazione.</w:t>
      </w:r>
    </w:p>
    <w:p w14:paraId="78BCFD58" w14:textId="5986D70D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Come si è sopra illustrato, invece, in base alle prescrizioni unionali e ai valori costituzionali, deve essere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quantomeno riconosciuta agli specializzandi la possibilità di conseguire in via indiretta una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remunerazione adeguata e sufficiente attraverso lo svolgimento di attività lavorative compatibili.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In merito alla necessità di garantire l’adempimento degli obblighi formativi, dalle disposizioni di cui alla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legge n. 401 del 2000 e dai successivi decreti emergenziali può desumersi che non vi sia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incompatibilità tra la partecipazione al corso e lo svolgimento di ulteriori attività lavorative che siano in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concreto conciliabili con l’adempimento degli obblighi formativi previsti.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Come si è visto, ciò risulta pienamente conforme anche alle prescrizioni della Direttiva 1993/16/CE che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all’art. 35 consente agli Stati membri di autorizzare anche una formazione specifica in medicina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generale a tempo ridotto a condizione che venga garantito un livello qualitativo equivalente a quello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della formazione a tempo pieno.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6.- La soluzione interpretativa accolta risulta peraltro coerente anche con la necessità di tutelare il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legittimo affidamento ingenerato in parte ricorrente circa la possibilità di proseguire, durante il corso,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 xml:space="preserve">l’avviata attività libero professionale compatibile. In primo </w:t>
      </w:r>
      <w:r w:rsidRPr="00075753">
        <w:rPr>
          <w:rFonts w:ascii="Arial" w:hAnsi="Arial" w:cs="Arial"/>
        </w:rPr>
        <w:lastRenderedPageBreak/>
        <w:t>luogo, la lex specialis della procedura selettiva non fa alcun richiamo alle cause di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incompatibilità di cui al d.m. del 7 marzo 2006.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In secondo luogo, col decreto del 28 settembre 2020, il Ministero della Salute ha espressamente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riconosciuto agli specializzandi ammessi in base al cd Decreto Calabria di “mantenere gli incarichi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convenzionali di cui all’accordo collettivo nazionale per la disciplina dei rapporti con i medici di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medicina generale, ivi inclusi gli incarichi nell’ambito della medicina penitenziaria, in essere al momento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dell’iscrizione”, al fine di sopperire alla cronica mancanza di “medici impegnati nelle attività afferenti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alla medicina generale, aggravata dall’emergenza Covid-19”.</w:t>
      </w:r>
    </w:p>
    <w:p w14:paraId="706E0625" w14:textId="0C66D783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Va rilevato come tale decreto, per quanto dia per presupposta l’applicazione delle cause di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incompatibilità di cui all’art. 11 del d.m. del 2006 agli specializzandi ammessi in base al Decreto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Calabria, da un lato, non vieti agli stessi di svolgere attività libero professionali e, dall’altro lato,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confermi la sostanziale necessità di consentire agli specializzandi di conseguire una remunerazione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attraverso la prosecuzione delle attività lavorative precedentemente avviate.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7.- Risulta quindi coerente con tale logica di fondo che al ricorrente non sia impedito di continuare a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svolgere la precedente attività libero professionale in concreto compatibile.</w:t>
      </w:r>
      <w:r w:rsidR="00C2659C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Per le ragioni sopra esposte il ricorso va accolto e, per l’effetto, devono essere annullati gli atti in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epigrafe indicati, nella parte in cui vietano al ricorrente lo svolgimento di attività libero professionale in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concreto compatibile con gli obblighi formativi del corso.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Le spese seguono la soccombenza e sono determinate nella misura indicata in dispositivo.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P.Q.M.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Il Tribunale Amministrativo Regionale della Campania (Sezione Prima), definitivamente pronunciando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sul ricorso, come in epigrafe proposto, lo accoglie e, per l’effetto, annulla per i profili di ragione gli atti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impugnati.</w:t>
      </w:r>
    </w:p>
    <w:p w14:paraId="7E1BFF68" w14:textId="511EADA7" w:rsidR="00075753" w:rsidRPr="00075753" w:rsidRDefault="00075753" w:rsidP="00075753">
      <w:pPr>
        <w:jc w:val="both"/>
        <w:rPr>
          <w:rFonts w:ascii="Arial" w:hAnsi="Arial" w:cs="Arial"/>
        </w:rPr>
      </w:pPr>
      <w:r w:rsidRPr="00075753">
        <w:rPr>
          <w:rFonts w:ascii="Arial" w:hAnsi="Arial" w:cs="Arial"/>
        </w:rPr>
        <w:t>Condanna la Regione Campania al pagamento, in favore del ricorrente, delle spese del presente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giudizio, che liquida in complessivi € 2.500,00 (duemilacinquecento/00), oltre accessori di legge e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rimborso del contributo unificato, il tutto da attribuirsi direttamente al procuratore di parte per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dichiarato anticipo.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Ordina che la presente sentenza sia eseguita dall'autorità amministrativa.</w:t>
      </w:r>
      <w:r w:rsidR="00DB3450">
        <w:rPr>
          <w:rFonts w:ascii="Arial" w:hAnsi="Arial" w:cs="Arial"/>
        </w:rPr>
        <w:t xml:space="preserve"> </w:t>
      </w:r>
      <w:r w:rsidRPr="00075753">
        <w:rPr>
          <w:rFonts w:ascii="Arial" w:hAnsi="Arial" w:cs="Arial"/>
        </w:rPr>
        <w:t>Così deciso in Napoli nella camera di consiglio del giorno 6 ottobre 2021</w:t>
      </w:r>
      <w:r w:rsidR="00DB3450">
        <w:rPr>
          <w:rFonts w:ascii="Arial" w:hAnsi="Arial" w:cs="Arial"/>
        </w:rPr>
        <w:t>.</w:t>
      </w:r>
    </w:p>
    <w:p w14:paraId="0E1F4465" w14:textId="204EEDB3" w:rsidR="00075753" w:rsidRPr="00075753" w:rsidRDefault="00075753" w:rsidP="00075753">
      <w:pPr>
        <w:jc w:val="both"/>
        <w:rPr>
          <w:rFonts w:ascii="Arial" w:hAnsi="Arial" w:cs="Arial"/>
        </w:rPr>
      </w:pPr>
    </w:p>
    <w:sectPr w:rsidR="00075753" w:rsidRPr="00075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0C"/>
    <w:rsid w:val="00075753"/>
    <w:rsid w:val="002A6606"/>
    <w:rsid w:val="00423CD6"/>
    <w:rsid w:val="006C6908"/>
    <w:rsid w:val="0095057F"/>
    <w:rsid w:val="00A24456"/>
    <w:rsid w:val="00C2659C"/>
    <w:rsid w:val="00D71A0C"/>
    <w:rsid w:val="00D832E3"/>
    <w:rsid w:val="00D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61C"/>
  <w15:chartTrackingRefBased/>
  <w15:docId w15:val="{B6537C8F-034B-4F5C-8006-818790B4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57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0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0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0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05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05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OMM">
    <w:name w:val="TESTOCOMM"/>
    <w:basedOn w:val="Normale"/>
    <w:qFormat/>
    <w:rsid w:val="0095057F"/>
    <w:pPr>
      <w:autoSpaceDE w:val="0"/>
      <w:autoSpaceDN w:val="0"/>
      <w:adjustRightInd w:val="0"/>
      <w:spacing w:line="230" w:lineRule="exact"/>
      <w:ind w:firstLine="170"/>
      <w:jc w:val="both"/>
    </w:pPr>
    <w:rPr>
      <w:rFonts w:eastAsia="Times New Roman" w:cs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05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05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05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05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05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05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5057F"/>
    <w:pPr>
      <w:widowControl w:val="0"/>
      <w:ind w:left="396"/>
    </w:pPr>
    <w:rPr>
      <w:rFonts w:eastAsia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057F"/>
    <w:rPr>
      <w:rFonts w:ascii="Times New Roman" w:eastAsia="Times New Roman" w:hAnsi="Times New Roman"/>
      <w:lang w:val="en-US"/>
    </w:rPr>
  </w:style>
  <w:style w:type="character" w:styleId="Enfasigrassetto">
    <w:name w:val="Strong"/>
    <w:basedOn w:val="Carpredefinitoparagrafo"/>
    <w:uiPriority w:val="22"/>
    <w:qFormat/>
    <w:rsid w:val="0095057F"/>
    <w:rPr>
      <w:b/>
      <w:bCs/>
    </w:rPr>
  </w:style>
  <w:style w:type="character" w:styleId="Enfasicorsivo">
    <w:name w:val="Emphasis"/>
    <w:basedOn w:val="Carpredefinitoparagrafo"/>
    <w:uiPriority w:val="20"/>
    <w:qFormat/>
    <w:rsid w:val="0095057F"/>
    <w:rPr>
      <w:i/>
      <w:iCs/>
    </w:rPr>
  </w:style>
  <w:style w:type="paragraph" w:styleId="Nessunaspaziatura">
    <w:name w:val="No Spacing"/>
    <w:uiPriority w:val="1"/>
    <w:qFormat/>
    <w:rsid w:val="0095057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05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14E8-BD64-426D-9925-76719C6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ferro</dc:creator>
  <cp:keywords/>
  <dc:description/>
  <cp:lastModifiedBy>riccardo ferro</cp:lastModifiedBy>
  <cp:revision>4</cp:revision>
  <dcterms:created xsi:type="dcterms:W3CDTF">2022-01-10T08:47:00Z</dcterms:created>
  <dcterms:modified xsi:type="dcterms:W3CDTF">2022-01-10T12:03:00Z</dcterms:modified>
</cp:coreProperties>
</file>