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DBCF" w14:textId="7248A1FA" w:rsidR="00B12B31" w:rsidRPr="00B12B31" w:rsidRDefault="000F3607" w:rsidP="00B12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607">
        <w:rPr>
          <w:rFonts w:ascii="Arial" w:hAnsi="Arial" w:cs="Arial"/>
          <w:b/>
          <w:bCs/>
          <w:sz w:val="24"/>
          <w:szCs w:val="24"/>
        </w:rPr>
        <w:t xml:space="preserve">Tar Lombardia sent. n. 15/2022 del 5/01/2022 – Responsabilità medica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="00B12B31" w:rsidRPr="000F3607">
        <w:rPr>
          <w:rFonts w:ascii="Arial" w:hAnsi="Arial" w:cs="Arial"/>
          <w:sz w:val="24"/>
          <w:szCs w:val="24"/>
        </w:rPr>
        <w:t>S</w:t>
      </w:r>
      <w:r w:rsidRPr="000F3607">
        <w:rPr>
          <w:rFonts w:ascii="Arial" w:hAnsi="Arial" w:cs="Arial"/>
          <w:sz w:val="24"/>
          <w:szCs w:val="24"/>
        </w:rPr>
        <w:t>entenza</w:t>
      </w:r>
      <w:r>
        <w:rPr>
          <w:rFonts w:ascii="Arial" w:hAnsi="Arial" w:cs="Arial"/>
          <w:sz w:val="24"/>
          <w:szCs w:val="24"/>
        </w:rPr>
        <w:t xml:space="preserve"> </w:t>
      </w:r>
      <w:r w:rsidR="00B12B31" w:rsidRPr="000F3607">
        <w:rPr>
          <w:rFonts w:ascii="Arial" w:hAnsi="Arial" w:cs="Arial"/>
          <w:sz w:val="24"/>
          <w:szCs w:val="24"/>
        </w:rPr>
        <w:t>sul ricorso numero di registro generale 809 del 2020, proposto da</w:t>
      </w:r>
      <w:r>
        <w:rPr>
          <w:rFonts w:ascii="Arial" w:hAnsi="Arial" w:cs="Arial"/>
          <w:sz w:val="24"/>
          <w:szCs w:val="24"/>
        </w:rPr>
        <w:t xml:space="preserve"> </w:t>
      </w:r>
      <w:r w:rsidR="00B12B31" w:rsidRPr="00B12B31">
        <w:rPr>
          <w:rFonts w:ascii="Arial" w:hAnsi="Arial" w:cs="Arial"/>
          <w:sz w:val="24"/>
          <w:szCs w:val="24"/>
        </w:rPr>
        <w:t>Società Oftalmologica Italiana - Associazione Medici Oculisti Italiani, SOI AMOI, e Associazione</w:t>
      </w:r>
      <w:r>
        <w:rPr>
          <w:rFonts w:ascii="Arial" w:hAnsi="Arial" w:cs="Arial"/>
          <w:sz w:val="24"/>
          <w:szCs w:val="24"/>
        </w:rPr>
        <w:t xml:space="preserve"> </w:t>
      </w:r>
      <w:r w:rsidR="00B12B31" w:rsidRPr="00B12B31">
        <w:rPr>
          <w:rFonts w:ascii="Arial" w:hAnsi="Arial" w:cs="Arial"/>
          <w:sz w:val="24"/>
          <w:szCs w:val="24"/>
        </w:rPr>
        <w:t>Sindacale Medici Oculisti ed Ortottisti Italiani, ASMOOI, in persona del rispettivo legale rappresentante</w:t>
      </w:r>
      <w:r>
        <w:rPr>
          <w:rFonts w:ascii="Arial" w:hAnsi="Arial" w:cs="Arial"/>
          <w:sz w:val="24"/>
          <w:szCs w:val="24"/>
        </w:rPr>
        <w:t xml:space="preserve"> </w:t>
      </w:r>
      <w:r w:rsidR="00B12B31" w:rsidRPr="00B12B31">
        <w:rPr>
          <w:rFonts w:ascii="Arial" w:hAnsi="Arial" w:cs="Arial"/>
          <w:sz w:val="24"/>
          <w:szCs w:val="24"/>
        </w:rPr>
        <w:t>pro tempore, rappresentate e difese dall'avvocato R</w:t>
      </w:r>
      <w:r>
        <w:rPr>
          <w:rFonts w:ascii="Arial" w:hAnsi="Arial" w:cs="Arial"/>
          <w:sz w:val="24"/>
          <w:szCs w:val="24"/>
        </w:rPr>
        <w:t>.</w:t>
      </w:r>
      <w:r w:rsidR="00B12B31" w:rsidRPr="00B12B31">
        <w:rPr>
          <w:rFonts w:ascii="Arial" w:hAnsi="Arial" w:cs="Arial"/>
          <w:sz w:val="24"/>
          <w:szCs w:val="24"/>
        </w:rPr>
        <w:t xml:space="preserve"> La Placa, con domicilio digitale come da</w:t>
      </w:r>
      <w:r>
        <w:rPr>
          <w:rFonts w:ascii="Arial" w:hAnsi="Arial" w:cs="Arial"/>
          <w:sz w:val="24"/>
          <w:szCs w:val="24"/>
        </w:rPr>
        <w:t xml:space="preserve"> </w:t>
      </w:r>
      <w:r w:rsidR="00B12B31" w:rsidRPr="00B12B31">
        <w:rPr>
          <w:rFonts w:ascii="Arial" w:hAnsi="Arial" w:cs="Arial"/>
          <w:sz w:val="24"/>
          <w:szCs w:val="24"/>
        </w:rPr>
        <w:t>PEC da Registri di Giustizia;</w:t>
      </w:r>
      <w:r>
        <w:rPr>
          <w:rFonts w:ascii="Arial" w:hAnsi="Arial" w:cs="Arial"/>
          <w:sz w:val="24"/>
          <w:szCs w:val="24"/>
        </w:rPr>
        <w:t xml:space="preserve"> </w:t>
      </w:r>
      <w:r w:rsidR="00B12B31" w:rsidRPr="00B12B31">
        <w:rPr>
          <w:rFonts w:ascii="Arial" w:hAnsi="Arial" w:cs="Arial"/>
          <w:sz w:val="24"/>
          <w:szCs w:val="24"/>
        </w:rPr>
        <w:t>contro</w:t>
      </w:r>
      <w:r>
        <w:rPr>
          <w:rFonts w:ascii="Arial" w:hAnsi="Arial" w:cs="Arial"/>
          <w:sz w:val="24"/>
          <w:szCs w:val="24"/>
        </w:rPr>
        <w:t xml:space="preserve"> </w:t>
      </w:r>
      <w:r w:rsidR="00B12B31" w:rsidRPr="00B12B31">
        <w:rPr>
          <w:rFonts w:ascii="Arial" w:hAnsi="Arial" w:cs="Arial"/>
          <w:sz w:val="24"/>
          <w:szCs w:val="24"/>
        </w:rPr>
        <w:t>Regione Lombardia, non costituita in giudizio;</w:t>
      </w:r>
      <w:r>
        <w:rPr>
          <w:rFonts w:ascii="Arial" w:hAnsi="Arial" w:cs="Arial"/>
          <w:sz w:val="24"/>
          <w:szCs w:val="24"/>
        </w:rPr>
        <w:t xml:space="preserve"> </w:t>
      </w:r>
      <w:r w:rsidR="00B12B31" w:rsidRPr="00B12B31">
        <w:rPr>
          <w:rFonts w:ascii="Arial" w:hAnsi="Arial" w:cs="Arial"/>
          <w:sz w:val="24"/>
          <w:szCs w:val="24"/>
        </w:rPr>
        <w:t>nei confronti</w:t>
      </w:r>
    </w:p>
    <w:p w14:paraId="09448EF1" w14:textId="38BB18D2" w:rsidR="00B12B31" w:rsidRPr="00B12B31" w:rsidRDefault="00B12B31" w:rsidP="00B12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B31">
        <w:rPr>
          <w:rFonts w:ascii="Arial" w:hAnsi="Arial" w:cs="Arial"/>
          <w:sz w:val="24"/>
          <w:szCs w:val="24"/>
        </w:rPr>
        <w:t>ATS Città Metropolitana di Milano, non costituita in giudizio;</w:t>
      </w:r>
      <w:r w:rsidR="000F3607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per l'annullamento</w:t>
      </w:r>
      <w:r w:rsidR="000F3607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- del provvedimento della Regione Lombardia – Direzione Generale Welfare – G1.2020.0008315 del 19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febbraio 2020, trasmesso via pec in data 20/2/2020.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Visti il ricorso e i relativi allegati;</w:t>
      </w:r>
    </w:p>
    <w:p w14:paraId="0AC6CC68" w14:textId="67F74ED6" w:rsidR="00B12B31" w:rsidRPr="00B12B31" w:rsidRDefault="00B12B31" w:rsidP="00B12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B31">
        <w:rPr>
          <w:rFonts w:ascii="Arial" w:hAnsi="Arial" w:cs="Arial"/>
          <w:sz w:val="24"/>
          <w:szCs w:val="24"/>
        </w:rPr>
        <w:t>Visti tutti gli atti della causa;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Vista la richiesta di passaggio in decisione della causa senza discussione, depositata da parte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ricorrente il 26/11/2021;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Relatore la dott.ssa Concetta Plantamura, nell'udienza pubblica del giorno 30 novembre 2021, tenutasi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come specificato nel verbale;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Ritenuto e considerato in fatto e diritto quanto segue.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FATTO e DIRITTO</w:t>
      </w:r>
    </w:p>
    <w:p w14:paraId="71B451F2" w14:textId="0B8565BC" w:rsidR="00B12B31" w:rsidRPr="00B12B31" w:rsidRDefault="00B12B31" w:rsidP="00B12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B31">
        <w:rPr>
          <w:rFonts w:ascii="Arial" w:hAnsi="Arial" w:cs="Arial"/>
          <w:sz w:val="24"/>
          <w:szCs w:val="24"/>
        </w:rPr>
        <w:t>1) Con ricorso notificato il 21/4/2020 e depositato il successivo 6/05/2020 le esponenti Associazioni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hanno contestato la risposta fornita loro dalla Regione, in riscontro all’istanza del 29 aprile 2019, dalle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stesse trasmessa per sollecitare un intervento in autotutela in relazione ad alcuni contenuti (in specie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l’allegato A) della Deliberazione della Giunta della Regione Lombardia n. XI/1046, del 17 dicembre 2018,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riportante “Determinazioni in ordine alla gestione del servizio sociosanitario per l’esercizio 2019” (c.d.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Regole 2019).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2) I motivi dedotti sono tre.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2.1) Il primo motivo si dirige contro la previsione della DGR, rimasta invariata a seguito della risposta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regionale del 19 febbraio 2020, per cui in caso di anestesia topica è esclusa la presenza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dell’anestesista all’operazione. Tale previsione sarebbe affetta da eccesso di potere per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irragionevolezza, illogicità, non proporzionalità e contraddittorietà, nonché, da violazione di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legge, con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riferimento alle norme che disciplinano l’esercizio dell’attività medica.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Ad avviso delle esponenti, nell’intervento di cataratta la presenza e il ruolo dell’anestesista non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dovrebbero essere eventuali ma garantiti in ogni circostanza, trattandosi d’intervento chirurgico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particolarmente complesso e delicato al cui grado di difficoltà concorrono, da un lato, l’insieme delle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condizioni pre-operatorie del paziente e, dall’altro, l’insieme degli eventi che possono intervenire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durante l’intervento. La presenza del medico anestesista sarebbe fondamentale per la tutela della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salute del paziente e per la corretta delimitazione delle responsabilità del chirurgo oculista, atteso che,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per la letteratura dominante nella comunità scientifica, il chirurgo della cataratta sarebbe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impossibilitato a gestire eventi avversi che si potrebbero verificare durante l’atto operatorio.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2.2) Il secondo motivo fa leva sull’eccesso di potere per irragionevolezza e manifesta ingiustizia con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riferimento agli effetti sulla responsabilità del chirurgo oculista discendente dall’esclusione della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presenza dell’anestesista durante gli interventi di cataratta in anestesia topica.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2.3) Con il terzo motivo si deduce la violazione degli artt. 3 e 10 della legge n. 241/1990 in relazione al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difetto d’istruttoria e motivazione che affliggerebbe la risposta regionale, la quale non darebbe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puntualmente conto delle ragioni che avrebbero indotto la Direzione a escludere il ruolo del medico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anestesista dagli interventi di chirurgia della cataratta, con particolare riguardo ai casi di anestesia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topica.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3) Il 26.11.2021 le ricorrenti hanno chiesto il passaggio in decisione della causa, senza discussione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orale.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4) All’udienza del 30.11.2021, la causa è stata trattenuta in decisione.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5) I motivi di ricorso, da esaminare congiuntamente in quanto strettamente connessi, sono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inammissibili e comunque infondati.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5.1) Preliminarmente, osserva il Collegio – in relazione al thema decidendum – come nella specie non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si tratti dell’impugnazione della DGR XI/1046 del 2018, ma dell’impugnazione dell’esito di una istanza di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autotutela formulata da parte ricorrente in relazione alla predetta DGR.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5.2) A tal riguardo, va rammentato come, in un precedente ricorso (n. 2177/2019 r.g.) proposto dalle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ricorrenti avverso il silenzio serbato dalla Regione Lombardia sulla loro istanza di autotutela, del 29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aprile 2019, l’intestato TAR abbia pronunciato la sentenza n. 2725, del 23.12.2019, ove si legge, fra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l’altro, che: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 xml:space="preserve">«5) Il ricorso è procedibile e da accogliere, </w:t>
      </w:r>
      <w:r w:rsidRPr="00B12B31">
        <w:rPr>
          <w:rFonts w:ascii="Arial" w:hAnsi="Arial" w:cs="Arial"/>
          <w:sz w:val="24"/>
          <w:szCs w:val="24"/>
        </w:rPr>
        <w:lastRenderedPageBreak/>
        <w:t>nei sensi di seguito precisati.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5.1) Preliminarmente, osserva il Collegio come, per consolidata giurisprudenza, l’amministrazione non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abbia l’obbligo di pronunciarsi in maniera esplicita su un istanza diretta a sollecitare l’esercizio del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potere di autotutela (che costituisce una manifestazione tipica della discrezionalità amministrativa, di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cui è titolare in via esclusiva l’amministrazione per la tutela dell’interesse pubblico) e come il potere di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autotutela sia incoercibile dall’esterno attraverso l’istituto del silenzio–inadempimento ai sensi dell’art.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117 c.p.a. (cfr. ex multis, Cons. di Stato, V, 4 maggio 2015, n. 2237; Cons. Stato, sez. IV, 26 agosto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2014, n. 4309; 7 luglio 2014, n. 3426; 24 settembre 2013, n. 4714; Sez. IV, 22 gennaio 2013, n. 355; sez.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V, 3 ottobre 2012, n. 5199; sez. VI, 9 luglio 2013, n. 3634).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Ciò posto in linea di principio, va tuttavia dato atto di come la stessa giurisprudenza, a parziale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temperamento del succitato rigoroso orientamento, abbia riconosciuto che, «fermo restando il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carattere discrezionale dell’autotutela, il riesame da parte dell’amministrazione, quale fase ad essa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prodromica, possa ritenersi in taluni casi (e non solo in relazione ad atti vincolati) doveroso» (cfr. Cons.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Stato, sez. V, 29-05-2019, n. 3576, per cui: «Se, infatti, non può legittimarsi un uso distorto e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strumentale della richiesta di riesame che investa situazioni già valutate dall’amministrazione sì da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rimettere in discussione rapporti già definititi e provvedimenti rimasti inoppugnati (con pregiudizio per il</w:t>
      </w:r>
    </w:p>
    <w:p w14:paraId="3658A1B7" w14:textId="364A44BF" w:rsidR="00B12B31" w:rsidRPr="00B12B31" w:rsidRDefault="00B12B31" w:rsidP="00B12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B31">
        <w:rPr>
          <w:rFonts w:ascii="Arial" w:hAnsi="Arial" w:cs="Arial"/>
          <w:sz w:val="24"/>
          <w:szCs w:val="24"/>
        </w:rPr>
        <w:t>principio di certezza dell’azione amministrativa), nondimeno il concreto esercizio del potere di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autotutela è pur sempre vincolato all’attuazione delle finalità per cui esso è attribuito dalla legge (del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perseguimento, secondo le migliori modalità, dell’interesse pubblico, nella comparazione con i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differenti interessi coinvolti nella vicenda oggetto di valutazione)»).</w:t>
      </w:r>
    </w:p>
    <w:p w14:paraId="6048CACF" w14:textId="14203B56" w:rsidR="00B12B31" w:rsidRPr="00B12B31" w:rsidRDefault="00B12B31" w:rsidP="00B12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B31">
        <w:rPr>
          <w:rFonts w:ascii="Arial" w:hAnsi="Arial" w:cs="Arial"/>
          <w:sz w:val="24"/>
          <w:szCs w:val="24"/>
        </w:rPr>
        <w:t>5.2) Ebbene, in relazione al caso di specie, non può sfuggire la rilevanza che assume la comunicazione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regionale sopra riportata (sub n. 3), sopravvenuta rispetto all’instaurazione del giudizio in epigrafe.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La stessa, sebbene si riveli priva di natura provvedimentale e quindi inidonea a decretare il venire meno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dell’inerzia, di cui le istanti si dolgono, nondimeno denota inequivocabilmente l’apertura di un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procedimento da parte della resistente, per il quale s’impone, anche ex art. 2 della legge n. 241/1990, la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conclusione mediante un provvedimento espresso.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Si tratta, giova sottolineare, di un procedimento in cui l’amministrazione, lungi dal palesare la manifesta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infondatezza nel merito della richiesta delle istanti, in quanto vertente su questioni già valutate, ha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reputato necessario avvalersi di un approfondimento istruttorio in ordine agli aspetti segnalati e da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ritenere, dunque, almeno apparentemente, non valutati in precedenza (cfr. T.A.R. Lazio, Roma, III,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02.02.2018, n. 1255, che difatti reputa rapportabile l’indirizzo giurisprudenziale dominante «a casi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[evidentemente diversi da quello in esame] in cui la richiesta di riesame investa questioni già valutate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dall’amministrazione, la cui ordinaria attività potrebbe essere intralciata da ripetuti tentativi di rimessa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in discussione di rapporti ormai definiti, soprattutto se con atti non contestati nei termini»).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5.3) In siffatte peculiari evenienze reputa il Collegio che il ricorso in epigrafe possa essere accolto,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valorizzando la sopravvenuta attività regionale, sfociata nell’avvio del procedimento di cui sopra, al fine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di imporre all’Amministrazione di dare motivato riscontro all’istanza delle ricorrenti, ex artt. 117 c.p.a., 2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legge n. 241/1990, mediante la conclusione del procedimento medesimo con l’adozione di un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provvedimento espresso, entro il termine di giorni 30, decorrente dalla comunicazione o notificazione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della presente sentenza».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6) Ebbene, la Regione ha trasmesso, a mezzo PEC del 19.02.2020, il provvedimento in epigrafe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specificato, espressamente riferito alla sentenza n. 2725/2019 e adottato a «conclusione del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procedimento, in esito dell’approfondimento istruttorio svolto».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6.1) Con esso l’Amministrazione medesima, dopo avere rappresentato: (i) che né «la piattaforma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Sistema Nazionale Linee Guida (SNLG)», prevista nel rispetto di quanto indicato dalla L. 8/3/2017, n. 24,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né «l’Osservatorio Nazionale per le buone pratiche cliniche (istituito presso AGENAS con DM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27/9/2017)» riportano Linee Guida relative alla assistenza anestesiologica in caso di chirurgia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oftalmica in regime alternativo al ricovero ospedaliero; (ii) che la letteratura «ha pressoché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 xml:space="preserve">unanimemente </w:t>
      </w:r>
      <w:r w:rsidRPr="00B12B31">
        <w:rPr>
          <w:rFonts w:ascii="Arial" w:hAnsi="Arial" w:cs="Arial"/>
          <w:sz w:val="24"/>
          <w:szCs w:val="24"/>
        </w:rPr>
        <w:lastRenderedPageBreak/>
        <w:t>escluso la possibilità che esami preoperatori ematochimici possano consentire di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prevedere l’insorgenza di complicanze sistemiche in caso di intervento di cataratta (quali ad esempio,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rialzi della P.A., comparsa di bradi o tachicardia, aritmie, agitazioni psicomotorie)» mentre «Le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“maggiori” Società Scientifiche internazionali non prevedono la visita anestesiologica per i pazienti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candidati all’intervento di cataratta in elezione con impiego di anestetici ad uso topico»; (iii) che, quanto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alla presenza dell’anestesista in sala operatoria, «la stessa è indicata in caso di interventi di cataratta,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di impianti secondari di cristallino, sostituzioni di cristallino o procedure chirurgiche complesse e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prolungate, che richiedono iniezioni di anestetico perioculare/retrooculare complesse e/o qualora le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condizioni cliniche generali del paziente lo suggeriscano, anche per presenza di comorbilità e/o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fragilità. In tali fattispecie chirurgiche è facoltà del medico specialista in Oftalmologia che visita e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propone l'intervento al paziente richiedere anche una valutazione anestesiologica preoperatoria»; ha, da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un lato, confermato che «i requisiti richiesti dalla normativa attualmente in essere in Regione</w:t>
      </w:r>
    </w:p>
    <w:p w14:paraId="426629D9" w14:textId="57521988" w:rsidR="00B12B31" w:rsidRPr="00B12B31" w:rsidRDefault="00B12B31" w:rsidP="00B12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B31">
        <w:rPr>
          <w:rFonts w:ascii="Arial" w:hAnsi="Arial" w:cs="Arial"/>
          <w:sz w:val="24"/>
          <w:szCs w:val="24"/>
        </w:rPr>
        <w:t>Lombardia, non prevedono l’obbligatorietà della presenza dell’Anestesista Rianimatore in Sala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operatoria nella chirurgia della Cataratta in anestesia topica, come previsto nel parere espresso da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 xml:space="preserve">AROOI EMAC, SIAARTI e </w:t>
      </w:r>
      <w:r w:rsidR="00D84DCF" w:rsidRPr="00B12B31">
        <w:rPr>
          <w:rFonts w:ascii="Arial" w:hAnsi="Arial" w:cs="Arial"/>
          <w:sz w:val="24"/>
          <w:szCs w:val="24"/>
        </w:rPr>
        <w:t>SIARED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prot.111/2017 del 08.05.2017, inviato ai rappresentanti legali degli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enti pubblici del SSN. In tale parere si esplicita che “è evidente che nei casi in cui non sia stata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preventivamente richiesta alcuna prestazione di natura anestesiologica, non è necessario che il medico</w:t>
      </w:r>
      <w:r w:rsidR="00D84DCF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anestesista rianimatore effettui alcuna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valutazione preoperatoria. In questi casi è comunque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necessario che sia congruamente prevista ed organizzata una disponibilità di un medico specialista in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anestesia e rianimazione presente nella struttura ospedaliera a poter intervenire tempestivamente ed</w:t>
      </w:r>
    </w:p>
    <w:p w14:paraId="35984B10" w14:textId="095EEDF4" w:rsidR="00B12B31" w:rsidRPr="00B12B31" w:rsidRDefault="00B12B31" w:rsidP="00B12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B31">
        <w:rPr>
          <w:rFonts w:ascii="Arial" w:hAnsi="Arial" w:cs="Arial"/>
          <w:sz w:val="24"/>
          <w:szCs w:val="24"/>
        </w:rPr>
        <w:t>efficacemente per situazioni di urgenza e di emergenza impreviste e/o imprevedibili con prestazioni di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natura rianimatoria»; e, dall’altro, chiarito che «Pertanto, per il corretto svolgimento di tale attività è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necessario che la Direzione della Struttura, con il supporto dei responsabili delle Unità Operative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coinvolte (oculistica ed anestesia e rianimazione) predispongano e condividano un protocollo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organizzativo che possa assicurare l’intervento tempestivo dell’Anestesista Rianimatore in caso di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chiamata da parte del Chirurgo oculista. A tal fine, è responsabilità di ogni Struttura definire un piano di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valutazione dei rischi, che stabilisca quale assetto organizzativo e quali procedure prevedere affinché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sia adeguatamente assicurato il tempestivo intervento di cui sopra, nell'osservanza di quanto già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previsto dai requisiti specifici di autorizzazione ed accreditamento per gli interventi in regime di BIC».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6.2) Si tratta, evidentemente, di valutazioni connotate da ampia discrezionalità tecnica (su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cui cfr., da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ultimo, Cons. Stato, 22.12.2021, n. 8505), perciò insuscettibili di sindacato di legittimità se non per i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noti, macroscopici vizi di irrazionalità, illogicità e travisamento, qui non specificamente dedotti e,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comunque, ad avviso del Collegio, non presenti.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6.3) Le considerazioni critiche svolte da parte ricorrente, per un verso, difettano di pertinenti richiami a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standard di riferimento che risulterebbero ingiustificatamente elusi, finendo, quindi, per risolversi in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asserzioni soggettive, contrastanti con le diverse valutazioni effettuate dalla Regione; per altro verso,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impingono su materia e determinazioni connotate da ampia discrezionalità tecnica e, perciò,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insuscettibili di sindacato di legittimità, se non per i macroscopici vizi poc’anzi richiamati.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Va, a tal proposito, rammentato che, quando l'Amministrazione non applica scienze esatte che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conducono ad un risultato certo ed univoco ma formula un giudizio tecnico connotato da un fisiologico</w:t>
      </w:r>
    </w:p>
    <w:p w14:paraId="69A7A8B9" w14:textId="0AA6A269" w:rsidR="00B12B31" w:rsidRPr="00B12B31" w:rsidRDefault="00B12B31" w:rsidP="00B12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B31">
        <w:rPr>
          <w:rFonts w:ascii="Arial" w:hAnsi="Arial" w:cs="Arial"/>
          <w:sz w:val="24"/>
          <w:szCs w:val="24"/>
        </w:rPr>
        <w:t>margine di opinabilità, per sconfessare quest’ultimo non è sufficiente evidenziare la mera non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condivisibilità del giudizio, dovendosi piuttosto dimostrare la sua palese inattendibilità ed evidente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insostenibilità, con la conseguenza che, ove non emergano travisamenti, pretestuosità o irrazionalità,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ma solo margini di fisiologica opinabilità della valutazione tecnico-discrezionale, il giudice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amministrativo non può sovrapporre la propria valutazione a quella, sia pure opinabile, dell’ente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amministrativo, giacché diversamente egli assumerebbe un potere che per legge non gli compete.</w:t>
      </w:r>
    </w:p>
    <w:p w14:paraId="65150AF8" w14:textId="55FC12BE" w:rsidR="00B12B31" w:rsidRPr="00B12B31" w:rsidRDefault="00B12B31" w:rsidP="00B12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B31">
        <w:rPr>
          <w:rFonts w:ascii="Arial" w:hAnsi="Arial" w:cs="Arial"/>
          <w:sz w:val="24"/>
          <w:szCs w:val="24"/>
        </w:rPr>
        <w:lastRenderedPageBreak/>
        <w:t>6.4) Nella specie, come accennato, le ricorrenti hanno formulato censure inammissibili, in quanto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eccedenti l’ambito del sindacato consentito in questa sede, e comunque infondate, in quanto non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sorrette, in violazione dell’art. 64, comma 1 c.p.a., da alcuna dimostrazione, atteso che, della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«letteratura dominante» o della «letteratura scientifica», spesso citate nel ricorso (ad esempio, alle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pagine 9 e 13), non viene fornito alcun riscontro, non essendo stato depositato alcunché in atti, ad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esclusione delle linee guida redatte dalle stesse ricorrenti.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6.5) D’altro canto, giova soggiungere come la risposta regionale appaia adeguatamente motivata ed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istruita, oltreché coerente con la normativa vigente in subiecta materia, fra cui il Decreto Ministeriale 2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aprile 2015 n. 70, richiamato nella stessa DGR XI/1046 (sub Allegato A).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Detto D.M., infatti, all’Allegato 1, Appendice 2, ha fornito specifiche indicazioni per la «chirurgia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ambulatoriale» [per tale intendendosi, «la possibilità clinica, organizzativa ed amministrativa di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effettuare interventi chirurgici od anche procedure diagnostiche e/o terapeutiche invasive e semiinvasive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praticabili senza ricovero in anestesia topica, locale, loco-regionale e/o analgesia, (fino al II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grado della scala di sedazione) su pazienti accuratamente selezionati comprese le prestazioni di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chirurgia odontoiatrica in anestesia loco-regionale e tronculare effettuabili negli ambulatori/studi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odontoiatrici, in quanto comportanti trascurabile probabilità di complicanze»], riguardanti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anche la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selezione pre-operatoria dei pazienti (ove si propone «l'utilizzo della classificazione della American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Society of Anesthesiology che consente di definire le categorie dei pazienti in funzione della presenza o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meno di alterazioni organiche o funzionali» e si «individuano i pazienti afferenti alle classi ASA 1 e ASA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2 come possibili candidati alle prestazioni di chirurgia ambulatoriale e alle prestazioni effettuabili nei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presidi extraospedalieri di day surgery»), senza introdurre alcuna deroga in relazione agli interventi per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cui è causa.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7) Per le precedenti considerazioni, il ricorso in epigrafe specificato va respinto.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8) Nulla sulle spese, in considerazione della mancata costituzione della parte intimata.</w:t>
      </w:r>
    </w:p>
    <w:p w14:paraId="7BE2780E" w14:textId="1F9B319E" w:rsidR="00B12B31" w:rsidRPr="00B12B31" w:rsidRDefault="00B12B31" w:rsidP="00B12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B31">
        <w:rPr>
          <w:rFonts w:ascii="Arial" w:hAnsi="Arial" w:cs="Arial"/>
          <w:sz w:val="24"/>
          <w:szCs w:val="24"/>
        </w:rPr>
        <w:t>P.Q.M.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Il Tribunale Amministrativo Regionale per la Lombardia (Sezione Terza), definitivamente pronunciando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sul ricorso, come in epigrafe proposto, lo respinge.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Nulla sulle spese.</w:t>
      </w:r>
      <w:r w:rsidR="00407DFA">
        <w:rPr>
          <w:rFonts w:ascii="Arial" w:hAnsi="Arial" w:cs="Arial"/>
          <w:sz w:val="24"/>
          <w:szCs w:val="24"/>
        </w:rPr>
        <w:t xml:space="preserve"> </w:t>
      </w:r>
      <w:r w:rsidRPr="00B12B31">
        <w:rPr>
          <w:rFonts w:ascii="Arial" w:hAnsi="Arial" w:cs="Arial"/>
          <w:sz w:val="24"/>
          <w:szCs w:val="24"/>
        </w:rPr>
        <w:t>Ordina che la presente sentenza sia eseguita dall'autorità amministrativa.</w:t>
      </w:r>
    </w:p>
    <w:p w14:paraId="3A249F02" w14:textId="2D31A2AC" w:rsidR="00B12B31" w:rsidRPr="00B12B31" w:rsidRDefault="00B12B31" w:rsidP="00B12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B31">
        <w:rPr>
          <w:rFonts w:ascii="Arial" w:hAnsi="Arial" w:cs="Arial"/>
          <w:sz w:val="24"/>
          <w:szCs w:val="24"/>
        </w:rPr>
        <w:t>Così deciso in Milano nella camera di consiglio del giorno 30 novembre 2021</w:t>
      </w:r>
      <w:r w:rsidR="00407DFA">
        <w:rPr>
          <w:rFonts w:ascii="Arial" w:hAnsi="Arial" w:cs="Arial"/>
          <w:sz w:val="24"/>
          <w:szCs w:val="24"/>
        </w:rPr>
        <w:t>.</w:t>
      </w:r>
    </w:p>
    <w:p w14:paraId="6A140D74" w14:textId="1FCB4627" w:rsidR="00DE7B2F" w:rsidRPr="00B12B31" w:rsidRDefault="00DE7B2F" w:rsidP="00B12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E7B2F" w:rsidRPr="00B12B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AA"/>
    <w:rsid w:val="000F3607"/>
    <w:rsid w:val="00407DFA"/>
    <w:rsid w:val="005441AA"/>
    <w:rsid w:val="00715C12"/>
    <w:rsid w:val="00B12B31"/>
    <w:rsid w:val="00D84DCF"/>
    <w:rsid w:val="00D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04AB"/>
  <w15:chartTrackingRefBased/>
  <w15:docId w15:val="{ECA3F66E-CC17-4A2B-9A24-80327607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Lorenzo</dc:creator>
  <cp:keywords/>
  <dc:description/>
  <cp:lastModifiedBy>Chiara Di Lorenzo</cp:lastModifiedBy>
  <cp:revision>5</cp:revision>
  <dcterms:created xsi:type="dcterms:W3CDTF">2022-01-13T08:33:00Z</dcterms:created>
  <dcterms:modified xsi:type="dcterms:W3CDTF">2022-01-13T09:02:00Z</dcterms:modified>
</cp:coreProperties>
</file>