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7CA2" w14:textId="74E6B59D" w:rsidR="00111E43" w:rsidRPr="001862DF" w:rsidRDefault="001862DF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62DF">
        <w:rPr>
          <w:rFonts w:ascii="Arial" w:hAnsi="Arial" w:cs="Arial"/>
          <w:b/>
          <w:bCs/>
          <w:sz w:val="24"/>
          <w:szCs w:val="24"/>
        </w:rPr>
        <w:t xml:space="preserve">Corte di Cassazione Sent. n. 2149 del 19-01-2022 – Responsabilità medica </w:t>
      </w:r>
      <w:proofErr w:type="gramStart"/>
      <w:r w:rsidRPr="001862DF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34F76" w:rsidRPr="00534F76">
        <w:rPr>
          <w:rFonts w:ascii="Arial" w:hAnsi="Arial" w:cs="Arial"/>
          <w:sz w:val="24"/>
          <w:szCs w:val="24"/>
        </w:rPr>
        <w:t>Sentenza</w:t>
      </w:r>
      <w:proofErr w:type="gramEnd"/>
      <w:r w:rsidR="00534F76" w:rsidRPr="00534F76">
        <w:rPr>
          <w:rFonts w:ascii="Arial" w:hAnsi="Arial" w:cs="Arial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sul ricorso proposto da: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P.U., nato il (OMISSIS);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avverso la sentenza del 27/02/2019 della CORTE APPELLO di ROMA;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visti gli atti, il provvedimento impugnato e il ricorso;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udita la relazione svolta dal Consigliere M</w:t>
      </w:r>
      <w:r w:rsidR="00534F76">
        <w:rPr>
          <w:rFonts w:ascii="Arial" w:hAnsi="Arial" w:cs="Arial"/>
          <w:sz w:val="24"/>
          <w:szCs w:val="24"/>
        </w:rPr>
        <w:t>.</w:t>
      </w:r>
      <w:r w:rsidR="00111E43" w:rsidRPr="00534F76">
        <w:rPr>
          <w:rFonts w:ascii="Arial" w:hAnsi="Arial" w:cs="Arial"/>
          <w:sz w:val="24"/>
          <w:szCs w:val="24"/>
        </w:rPr>
        <w:t xml:space="preserve"> BRUNO;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udito il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Pubblico Ministero, in persona del Sostituto Procuratore Dott. PEDICINI Ettore, che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ha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concluso chiedendo;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Il Proc. Gen. conclude per l'annullamento con rinvio.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udito il difensore E' presente l'avvocato FRANCO MARCO del foro di ROMA in difesa della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 xml:space="preserve">parte civile </w:t>
      </w:r>
      <w:proofErr w:type="gramStart"/>
      <w:r w:rsidR="00111E43" w:rsidRPr="00534F76">
        <w:rPr>
          <w:rFonts w:ascii="Arial" w:hAnsi="Arial" w:cs="Arial"/>
          <w:sz w:val="24"/>
          <w:szCs w:val="24"/>
        </w:rPr>
        <w:t>B.A..</w:t>
      </w:r>
      <w:proofErr w:type="gramEnd"/>
      <w:r w:rsidR="00111E43" w:rsidRPr="00534F76">
        <w:rPr>
          <w:rFonts w:ascii="Arial" w:hAnsi="Arial" w:cs="Arial"/>
          <w:sz w:val="24"/>
          <w:szCs w:val="24"/>
        </w:rPr>
        <w:t xml:space="preserve"> Il difensore conclude per inammissibilità del ricorso riportandosi alle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 xml:space="preserve">conclusioni scritte e </w:t>
      </w:r>
      <w:proofErr w:type="gramStart"/>
      <w:r w:rsidR="00111E43" w:rsidRPr="00534F76">
        <w:rPr>
          <w:rFonts w:ascii="Arial" w:hAnsi="Arial" w:cs="Arial"/>
          <w:sz w:val="24"/>
          <w:szCs w:val="24"/>
        </w:rPr>
        <w:t>alla nota spese</w:t>
      </w:r>
      <w:proofErr w:type="gramEnd"/>
      <w:r w:rsidR="00111E43" w:rsidRPr="00534F76">
        <w:rPr>
          <w:rFonts w:ascii="Arial" w:hAnsi="Arial" w:cs="Arial"/>
          <w:sz w:val="24"/>
          <w:szCs w:val="24"/>
        </w:rPr>
        <w:t xml:space="preserve"> che deposita.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E' presente l'avvocato ROMANO A</w:t>
      </w:r>
      <w:r w:rsidR="00534F76">
        <w:rPr>
          <w:rFonts w:ascii="Arial" w:hAnsi="Arial" w:cs="Arial"/>
          <w:sz w:val="24"/>
          <w:szCs w:val="24"/>
        </w:rPr>
        <w:t xml:space="preserve">. </w:t>
      </w:r>
      <w:r w:rsidR="00111E43" w:rsidRPr="00534F76">
        <w:rPr>
          <w:rFonts w:ascii="Arial" w:hAnsi="Arial" w:cs="Arial"/>
          <w:sz w:val="24"/>
          <w:szCs w:val="24"/>
        </w:rPr>
        <w:t>N</w:t>
      </w:r>
      <w:r w:rsidR="00534F76">
        <w:rPr>
          <w:rFonts w:ascii="Arial" w:hAnsi="Arial" w:cs="Arial"/>
          <w:sz w:val="24"/>
          <w:szCs w:val="24"/>
        </w:rPr>
        <w:t>.</w:t>
      </w:r>
      <w:r w:rsidR="00111E43" w:rsidRPr="00534F76">
        <w:rPr>
          <w:rFonts w:ascii="Arial" w:hAnsi="Arial" w:cs="Arial"/>
          <w:sz w:val="24"/>
          <w:szCs w:val="24"/>
        </w:rPr>
        <w:t xml:space="preserve"> del foro di ROMA in difesa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 xml:space="preserve">dell'imputato </w:t>
      </w:r>
      <w:proofErr w:type="gramStart"/>
      <w:r w:rsidR="00111E43" w:rsidRPr="00534F76">
        <w:rPr>
          <w:rFonts w:ascii="Arial" w:hAnsi="Arial" w:cs="Arial"/>
          <w:sz w:val="24"/>
          <w:szCs w:val="24"/>
        </w:rPr>
        <w:t>P.U..</w:t>
      </w:r>
      <w:proofErr w:type="gramEnd"/>
      <w:r w:rsidR="00111E43" w:rsidRPr="00534F76">
        <w:rPr>
          <w:rFonts w:ascii="Arial" w:hAnsi="Arial" w:cs="Arial"/>
          <w:sz w:val="24"/>
          <w:szCs w:val="24"/>
        </w:rPr>
        <w:t xml:space="preserve"> Il difensore illustra i motivi di ricorso e ne chiede l'accoglimento.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Svolgimento del processo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1. Con sentenza emessa in data 27/2/2019, la Corte d'appello di Roma, decidendo ai soli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effetti civili, ha condannato P.U. al risarcimento dei danni patiti da B.A., costituita parte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civile, da liquidarsi in separato giudizio.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Il P.U. era chiamato a rispondere di lesioni colpose per avere, in qualità di legale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rappresentante della "(OMISSIS)", prodotto e commercializzato una pinza chirurgica che si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 xml:space="preserve">frantumava durante l'intervento di neurochirurgia spinale praticato sulla persona di </w:t>
      </w:r>
      <w:proofErr w:type="gramStart"/>
      <w:r w:rsidR="00111E43" w:rsidRPr="00534F76">
        <w:rPr>
          <w:rFonts w:ascii="Arial" w:hAnsi="Arial" w:cs="Arial"/>
          <w:sz w:val="24"/>
          <w:szCs w:val="24"/>
        </w:rPr>
        <w:t>B.A..</w:t>
      </w:r>
      <w:proofErr w:type="gramEnd"/>
      <w:r w:rsidR="00111E43" w:rsidRPr="00534F76">
        <w:rPr>
          <w:rFonts w:ascii="Arial" w:hAnsi="Arial" w:cs="Arial"/>
          <w:sz w:val="24"/>
          <w:szCs w:val="24"/>
        </w:rPr>
        <w:t xml:space="preserve"> In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seguito alla frattura, un piccolo frammento della pinza (della grandezza di mm 10/15) si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collocava in uno spazio intervertebrale del paziente, risultando inamovibile.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La ritenzione del frammento nello spazio intervertebrale peggiorava nel paziente la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sintomatologia algica lombare e determinava l'impossibilità dei necessari periodici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monitoraggi n14426radiologici, da effettuarsi con risonanza magnetica, a causa del rischio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di mobilizzazione del frammento metallico "libero" ad opera del campo magnetico, con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possibili danni locali anche gravi.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Il Giudice di primo grado aveva mandato assolto l'imputato, ritenendo, sulla base delle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prove documentali e testimoniali, dell'esame dei Consulenti tecnici del PM, della parte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civile e della difesa dell'imputato, che la rottura del margine superiore della pinza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chirurgica utilizzata nel corso dell'intervento fosse da attribuirsi alla presenza di una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"inclusione" di ossidi all'interno dell'acciaio, nella parte interessata dalla rottura, creatasi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nella fase di costruzione dello strumento chirurgico. Riteneva fisiologica la presenza di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 xml:space="preserve">inclusioni nei metalli, siccome conseguenza non completamente eliminabile </w:t>
      </w:r>
      <w:r w:rsidR="00534F76">
        <w:rPr>
          <w:rFonts w:ascii="Arial" w:hAnsi="Arial" w:cs="Arial"/>
          <w:sz w:val="24"/>
          <w:szCs w:val="24"/>
        </w:rPr>
        <w:t>–</w:t>
      </w:r>
      <w:r w:rsidR="00111E43" w:rsidRPr="00534F76">
        <w:rPr>
          <w:rFonts w:ascii="Arial" w:hAnsi="Arial" w:cs="Arial"/>
          <w:sz w:val="24"/>
          <w:szCs w:val="24"/>
        </w:rPr>
        <w:t xml:space="preserve"> bensì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soltanto contenibile entro una certa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soglia- nel processo produttivo, concludendo che la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comparsa dell'inclusione nello strumento chirurgico fosse imponderabile ed evitabile solo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con controlli di tipo radiografico o a mezzo di onde sonore non imposta al costruttore da</w:t>
      </w:r>
      <w:r w:rsidR="00534F76">
        <w:rPr>
          <w:rFonts w:ascii="Arial" w:hAnsi="Arial" w:cs="Arial"/>
          <w:color w:val="787878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alcuna disposizione.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La Corte di appello, adita dalla parte civile, perveniva alla condanna al risarcimento del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danno nei confronti dell'imputato, ritenendo non condivisibile il ragionamento spiegato dal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primo giudice. Pur dando atto della corretta ricostruzione storica della vicenda, individuava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 xml:space="preserve">nella direttiva 93/42/CEE, recepita nel </w:t>
      </w:r>
      <w:proofErr w:type="spellStart"/>
      <w:r w:rsidR="00111E43" w:rsidRPr="00534F76">
        <w:rPr>
          <w:rFonts w:ascii="Arial" w:hAnsi="Arial" w:cs="Arial"/>
          <w:sz w:val="24"/>
          <w:szCs w:val="24"/>
        </w:rPr>
        <w:t>D.Lgs.</w:t>
      </w:r>
      <w:proofErr w:type="spellEnd"/>
      <w:r w:rsidR="00111E43" w:rsidRPr="00534F76">
        <w:rPr>
          <w:rFonts w:ascii="Arial" w:hAnsi="Arial" w:cs="Arial"/>
          <w:sz w:val="24"/>
          <w:szCs w:val="24"/>
        </w:rPr>
        <w:t xml:space="preserve"> n. 46 del 1997, relativa ai dispositivi medici,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la fonte dell'obbligo per il costruttore di provvedere ad effettuare ogni integrazione di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sicurezza nella progettazione e costruzione dei presidi medici. Di guisa che, ritenendo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causalmente collegata la mancata predisposizione di un diligente controllo sul materiale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adoperato per la fabbricazione della pinza alla lesione patita dalla persona offesa,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="00111E43" w:rsidRPr="00534F76">
        <w:rPr>
          <w:rFonts w:ascii="Arial" w:hAnsi="Arial" w:cs="Arial"/>
          <w:sz w:val="24"/>
          <w:szCs w:val="24"/>
        </w:rPr>
        <w:t>perveniva alla conclusione della sua responsabilità agli effetti civili.</w:t>
      </w:r>
    </w:p>
    <w:p w14:paraId="755705BA" w14:textId="77777777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2. Avverso la sentenza di condanna proponeva ricorso per cassazione P.U., a mezzo del</w:t>
      </w:r>
    </w:p>
    <w:p w14:paraId="26839739" w14:textId="77777777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difensore, deducendo i seguenti motivi (in sintesi giusta il disposto di cui all'art. 173 c.p.p.,</w:t>
      </w:r>
    </w:p>
    <w:p w14:paraId="6BF25E1A" w14:textId="6A51B2CC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comma 1, disp. att.).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Primo motivo: inosservanza o erronea applicazione della legge penale o di altre norme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giuridiche di cui si deve tener conto nell'applicazione della legge penale.</w:t>
      </w:r>
    </w:p>
    <w:p w14:paraId="6191C682" w14:textId="126F850C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La Corte d'Appello ha erroneamente ritenuto di dover accogliere il primo motivo di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doglianza della parte civile. Gli articoli da 1 a 3 dell'allegato I del </w:t>
      </w:r>
      <w:proofErr w:type="spellStart"/>
      <w:r w:rsidRPr="00534F76">
        <w:rPr>
          <w:rFonts w:ascii="Arial" w:hAnsi="Arial" w:cs="Arial"/>
          <w:sz w:val="24"/>
          <w:szCs w:val="24"/>
        </w:rPr>
        <w:t>D.Lgs.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n. 46 del 1997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hanno un contenuto parzialmente difforme da quello riportato in sentenza.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La norma specifica che l'utilizzo del dispositivo deve avvenire in condizioni e per gli usi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previsti: nel caso di specie la pinza era stata acquistata dall'Azienda ospedaliera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(OMISSIS) nei 1999, utilizzata per centodieci interventi solo negli ultimi 10 mesi,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sottoposta a processi di sterilizzazione ignoti da due diverse ditte (Società (OMISSIS)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avente come capogruppo la (OMISSIS) S.p.A.) ed </w:t>
      </w:r>
      <w:r w:rsidRPr="00534F76">
        <w:rPr>
          <w:rFonts w:ascii="Arial" w:hAnsi="Arial" w:cs="Arial"/>
          <w:sz w:val="24"/>
          <w:szCs w:val="24"/>
        </w:rPr>
        <w:lastRenderedPageBreak/>
        <w:t xml:space="preserve">utilizzata nonostante la presenza di </w:t>
      </w:r>
      <w:proofErr w:type="spellStart"/>
      <w:r w:rsidRPr="00534F76">
        <w:rPr>
          <w:rFonts w:ascii="Arial" w:hAnsi="Arial" w:cs="Arial"/>
          <w:sz w:val="24"/>
          <w:szCs w:val="24"/>
        </w:rPr>
        <w:t>precricche</w:t>
      </w:r>
      <w:proofErr w:type="spellEnd"/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sino al luglio del 2007, allorquando, nel corso dell'intervento di cui si tratta, un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frammento del becco mobile della pinza si rompeva. La normativa prevede che la fase di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produzione del dispositivo medico avvenga nel rispetto di principi di sicurezza adeguati al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progresso tecnologico generalmente riconosciuto: nel caso di specie, come evidenziato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dalla stessa perizia e confermato in sede d'esame, l'acciaio con cui era stata realizzata la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pinza era di ottima qualità, con basso livello </w:t>
      </w:r>
      <w:proofErr w:type="spellStart"/>
      <w:r w:rsidRPr="00534F76">
        <w:rPr>
          <w:rFonts w:ascii="Arial" w:hAnsi="Arial" w:cs="Arial"/>
          <w:sz w:val="24"/>
          <w:szCs w:val="24"/>
        </w:rPr>
        <w:t>inclusionale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(verbale udienza del 11.06.2014,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pagine 62-63, teste Felli).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Quanto alla eliminazione di eventuali rischi, l'appellante e la Corte d'appello non hanno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fornito una completa individuazione di essi, collegando la responsabilità del ricorrente ad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un danno derivante da una casualità imponderabile e non da una difettosa o erronea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costruzione del dispositivo. Nella sua ricostruzione la Corte territoriale si spinge al punto di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ritenere di per </w:t>
      </w:r>
      <w:proofErr w:type="spellStart"/>
      <w:r w:rsidRPr="00534F76">
        <w:rPr>
          <w:rFonts w:ascii="Arial" w:hAnsi="Arial" w:cs="Arial"/>
          <w:sz w:val="24"/>
          <w:szCs w:val="24"/>
        </w:rPr>
        <w:t>sè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insufficiente, ai fini della dimostrazione del possesso dei requisiti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normativamente previsti per l'immissione in commercio di dispositivi medici, la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certificazione formale (marchio CEE) della qualità del prodotto, ventilando l'assoluta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inutilità di tale certificazione.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A differenza di quanto sostenuto dalla Corte stessa, nella lavorazione dell'acciaio è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fisiologica la presenza di impurità distribuite normalmente in modo omogeneo: più elevata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è la qualità dell'acciaio, minori sono le impurità presenti al suo interno. Tale circostanza è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prevedibile ed impone al produttore di adottare le regole di prudenza e diligenza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necessarie </w:t>
      </w:r>
      <w:proofErr w:type="spellStart"/>
      <w:r w:rsidRPr="00534F76">
        <w:rPr>
          <w:rFonts w:ascii="Arial" w:hAnsi="Arial" w:cs="Arial"/>
          <w:sz w:val="24"/>
          <w:szCs w:val="24"/>
        </w:rPr>
        <w:t>affinchè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il dispositivo possa avere i requisiti previsti dalla legge e tali da non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compromettere lo stato clinico o la sicurezza del paziente. Da tale obbligo deriva l'utilizzo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 acciaio di buona qualità, così come asserito dallo stesso Consulente Tecnico del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Pubblico Ministero.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L'inclusione, dovuta ad una casualità imponderabile, da cui è derivata la rottura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dell'elemento mobile della pinza, altro non è che una concentrazione anomala di impurità,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normalmente presenti all'interno dell'acciaio, in un segmento particolarmente fragile e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sottoposto a notevoli sollecitazioni. Non è quindi possibile rinvenire, sulla base di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considerazioni ex ante, una regola di condotta prudenziale che avrebbe dovuto essere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tenuta da parte del produttore per evitare questo specifico accadimento o un suo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comportamento negligente.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L'eccezionalità e non prevedibilità dell'evento, mai verificatosi in precedenza, non può in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nessun caso essere ricondotto ad una responsabilità del produttore, dovendosi altrimenti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ritenere che nel presente caso ricorra una ipotesi di responsabilità oggettiva.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II) Mancanza, contraddittorietà o manifesta illogicità della motivazione, risultando il vizio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dal testo del provvedimento impugnato ovvero da altri atti del processo specificamente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indicati nei motivi di gravame; carenza e/o manifesta illogicità della motivazione per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violazione dei principi di oralità e immediatezza di cui all'art. 6 CEDU; mancata assunzione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 una prova decisiva quando la parte ne ha fatto richiesta anche nel corso dell'istruzione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dibattimentale limitatamente ai casi previsti dall'art. 495 c.p.p., comma 2.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La Corte d'Appello di Roma, nella parte motiva della sentenza impugnata, ha precisato di</w:t>
      </w:r>
      <w:r w:rsidR="00534F76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ritenere superflua la rinnovazione dell'istruttoria non avendo proceduto, nel caso di specie,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ad una diversa valutazione delle </w:t>
      </w:r>
      <w:proofErr w:type="gramStart"/>
      <w:r w:rsidRPr="00534F76">
        <w:rPr>
          <w:rFonts w:ascii="Arial" w:hAnsi="Arial" w:cs="Arial"/>
          <w:sz w:val="24"/>
          <w:szCs w:val="24"/>
        </w:rPr>
        <w:t>prove</w:t>
      </w:r>
      <w:proofErr w:type="gramEnd"/>
      <w:r w:rsidRPr="00534F76">
        <w:rPr>
          <w:rFonts w:ascii="Arial" w:hAnsi="Arial" w:cs="Arial"/>
          <w:sz w:val="24"/>
          <w:szCs w:val="24"/>
        </w:rPr>
        <w:t xml:space="preserve"> Tuttavia, la chiave di lettura esposta dalla Corte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d'Appello non può affatto essere condivisa, in quanto, contrariamente a quanto asserito, la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stessa ha operato una diversa lettura di una prova dichiarativa ritenuta decisiva a fini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assolutori in primo grado.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Le risultanze della perizia redatta </w:t>
      </w:r>
      <w:proofErr w:type="spellStart"/>
      <w:r w:rsidRPr="00534F76">
        <w:rPr>
          <w:rFonts w:ascii="Arial" w:hAnsi="Arial" w:cs="Arial"/>
          <w:sz w:val="24"/>
          <w:szCs w:val="24"/>
        </w:rPr>
        <w:t>dall'ing</w:t>
      </w:r>
      <w:proofErr w:type="spellEnd"/>
      <w:r w:rsidRPr="00534F76">
        <w:rPr>
          <w:rFonts w:ascii="Arial" w:hAnsi="Arial" w:cs="Arial"/>
          <w:sz w:val="24"/>
          <w:szCs w:val="24"/>
        </w:rPr>
        <w:t>. F.F., incaricato dell'analisi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frattografica/metallografica e delle cause di cedimento della pinza, poste alla base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dell'impianto accusatorio, hanno formato oggetto di contestazioni da parte della difesa</w:t>
      </w:r>
    </w:p>
    <w:p w14:paraId="7A81CE6F" w14:textId="4FE4A62C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dell'imputato. Il loro chiarimento in aula, nel corso dell'escussione avvenuta all'udienza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dibattimentale dell'11.06.2014, ha determinato l'assoluzione dell'imputato.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Infatti, come correttamente evidenziato nella sentenza assolutoria la esistenza di inclusioni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nel metallo non deriverebbe da un difetto di fabbricazione, ma sarebbe casuale e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imponderabile. L'affermazione secondo la quale la inclusione avrebbe potuto essere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verificata attraverso una radiografia o l'uso di una sonda ultrasonora non troverebbe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conferma nelle dichiarazioni del F., il quale si sarebbe limitato a riferire di un'astratta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possibilità di controlli radiografici, precisando al contempo che si tratta di una derivazione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di quanto avviene "a livello </w:t>
      </w:r>
      <w:r w:rsidRPr="00534F76">
        <w:rPr>
          <w:rFonts w:ascii="Arial" w:hAnsi="Arial" w:cs="Arial"/>
          <w:sz w:val="24"/>
          <w:szCs w:val="24"/>
        </w:rPr>
        <w:lastRenderedPageBreak/>
        <w:t>aeronautico, in cui il materiale viene trattato con processi di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rifusione, sottovuoto", e quindi in casi ben diversi da quelli che occupano.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L'efficacia e la concreta fattibilità di controlli del genere, tuttavia, non hanno mai formato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oggetto di discussione o di approfondimento.</w:t>
      </w:r>
    </w:p>
    <w:p w14:paraId="60D9718E" w14:textId="77777777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Nell'ambito della pronuncia di primo grado le dichiarazioni del consulente del P.M., Ing. F.,</w:t>
      </w:r>
    </w:p>
    <w:p w14:paraId="780D4512" w14:textId="4237AA37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sono state considerate decisive ai fini della pronuncia assolutoria. Le medesime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dichiarazioni, diversamente valutate dai giudici di appello, hanno condotto ad una</w:t>
      </w:r>
      <w:r w:rsidR="002A4C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F76">
        <w:rPr>
          <w:rFonts w:ascii="Arial" w:hAnsi="Arial" w:cs="Arial"/>
          <w:sz w:val="24"/>
          <w:szCs w:val="24"/>
        </w:rPr>
        <w:t>reformatio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34F76">
        <w:rPr>
          <w:rFonts w:ascii="Arial" w:hAnsi="Arial" w:cs="Arial"/>
          <w:sz w:val="24"/>
          <w:szCs w:val="24"/>
        </w:rPr>
        <w:t>peius</w:t>
      </w:r>
      <w:proofErr w:type="spellEnd"/>
      <w:r w:rsidRPr="00534F76">
        <w:rPr>
          <w:rFonts w:ascii="Arial" w:hAnsi="Arial" w:cs="Arial"/>
          <w:sz w:val="24"/>
          <w:szCs w:val="24"/>
        </w:rPr>
        <w:t>. Sarebbe stato quindi doveroso procedere ad una rinnovazione del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dibattimento, alla luce dei principi stabiliti dalle Sezioni Unite "Pavan" (Sez. U, n.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14426/19), al fine di riesaminare il consulente tecnico del P.M. e provvedere all'esame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dell'imputato.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Motivi della decisione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1. Occorre preliminarmente soffermarsi sulla tematica riguardante la necessità, ad opera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del giudice d'appello, di provvedere alla rinnovazione dell'istruttoria dibattimentale, con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nuova escussione del consulente tecnico, la cui deposizione è stata acquisita nel corso del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dibattimento svoltosi innanzi al giudice di primo grado.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Il tema acquista carattere di centralità, discendendo dalla sua eventuale fondatezza la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nullità della sentenza (Sez. U, Sentenza n. 18620 del 19/01/2017, </w:t>
      </w:r>
      <w:proofErr w:type="spellStart"/>
      <w:r w:rsidRPr="00534F76">
        <w:rPr>
          <w:rFonts w:ascii="Arial" w:hAnsi="Arial" w:cs="Arial"/>
          <w:sz w:val="24"/>
          <w:szCs w:val="24"/>
        </w:rPr>
        <w:t>Patalano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4F76">
        <w:rPr>
          <w:rFonts w:ascii="Arial" w:hAnsi="Arial" w:cs="Arial"/>
          <w:sz w:val="24"/>
          <w:szCs w:val="24"/>
        </w:rPr>
        <w:t>Rv</w:t>
      </w:r>
      <w:proofErr w:type="spellEnd"/>
      <w:r w:rsidRPr="00534F76">
        <w:rPr>
          <w:rFonts w:ascii="Arial" w:hAnsi="Arial" w:cs="Arial"/>
          <w:sz w:val="24"/>
          <w:szCs w:val="24"/>
        </w:rPr>
        <w:t>. 269787 -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01: "Il giudice di appello che riformi, ai soli fini civili, la sentenza assolutoria di primo grado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emessa all'esito di giudizio abbreviato, sulla base di un diverso apprezzamento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dell'attendibilità di una prova dichiarativa ritenuta decisiva, è obbligato a rinnovare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l'istruzione dibattimentale, anche d'ufficio").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2.1 In linea di principio, nel giudizio di appello, per la riforma di una sentenza assolutoria,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devono essere evidenziati elementi ulteriori rispetto a quelli esaminati in primo grado</w:t>
      </w:r>
      <w:r w:rsidR="002A4C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F76">
        <w:rPr>
          <w:rFonts w:ascii="Arial" w:hAnsi="Arial" w:cs="Arial"/>
          <w:sz w:val="24"/>
          <w:szCs w:val="24"/>
        </w:rPr>
        <w:t>perchè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non è sufficiente, in mancanza di elementi sopravvenuti, una mera e diversa</w:t>
      </w:r>
    </w:p>
    <w:p w14:paraId="301FC9E3" w14:textId="77777777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valutazione del materiale probatorio già acquisito in primo grado ed ivi ritenuto inidoneo a</w:t>
      </w:r>
    </w:p>
    <w:p w14:paraId="520A98D4" w14:textId="18698E5D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giustificare una pronuncia di colpevolezza, occorrendo, invece, una forza persuasiva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superiore, che sia in grado di vincere ogni ragionevole dubbio (Sez.6, n. 45203 del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22/10/2013, Paparo, </w:t>
      </w:r>
      <w:proofErr w:type="spellStart"/>
      <w:r w:rsidRPr="00534F76">
        <w:rPr>
          <w:rFonts w:ascii="Arial" w:hAnsi="Arial" w:cs="Arial"/>
          <w:sz w:val="24"/>
          <w:szCs w:val="24"/>
        </w:rPr>
        <w:t>Rv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. 25686901; Sez. 6, n. 8705 del 24/01/2013, Farre, </w:t>
      </w:r>
      <w:proofErr w:type="spellStart"/>
      <w:r w:rsidRPr="00534F76">
        <w:rPr>
          <w:rFonts w:ascii="Arial" w:hAnsi="Arial" w:cs="Arial"/>
          <w:sz w:val="24"/>
          <w:szCs w:val="24"/>
        </w:rPr>
        <w:t>Rv</w:t>
      </w:r>
      <w:proofErr w:type="spellEnd"/>
      <w:r w:rsidRPr="00534F76">
        <w:rPr>
          <w:rFonts w:ascii="Arial" w:hAnsi="Arial" w:cs="Arial"/>
          <w:sz w:val="24"/>
          <w:szCs w:val="24"/>
        </w:rPr>
        <w:t>. 25411301;</w:t>
      </w:r>
    </w:p>
    <w:p w14:paraId="7B95DB46" w14:textId="77777777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 xml:space="preserve">Sez.2, n. 11883 del 08/11/2012, </w:t>
      </w:r>
      <w:proofErr w:type="spellStart"/>
      <w:r w:rsidRPr="00534F76">
        <w:rPr>
          <w:rFonts w:ascii="Arial" w:hAnsi="Arial" w:cs="Arial"/>
          <w:sz w:val="24"/>
          <w:szCs w:val="24"/>
        </w:rPr>
        <w:t>dep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. 2013, Berlingeri, </w:t>
      </w:r>
      <w:proofErr w:type="spellStart"/>
      <w:r w:rsidRPr="00534F76">
        <w:rPr>
          <w:rFonts w:ascii="Arial" w:hAnsi="Arial" w:cs="Arial"/>
          <w:sz w:val="24"/>
          <w:szCs w:val="24"/>
        </w:rPr>
        <w:t>Rv</w:t>
      </w:r>
      <w:proofErr w:type="spellEnd"/>
      <w:r w:rsidRPr="00534F76">
        <w:rPr>
          <w:rFonts w:ascii="Arial" w:hAnsi="Arial" w:cs="Arial"/>
          <w:sz w:val="24"/>
          <w:szCs w:val="24"/>
        </w:rPr>
        <w:t>. 25472501; Sez.6, n. 34487 del</w:t>
      </w:r>
    </w:p>
    <w:p w14:paraId="1C631AA8" w14:textId="2844B564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 xml:space="preserve">13/06/2012, Gobbi, </w:t>
      </w:r>
      <w:proofErr w:type="spellStart"/>
      <w:r w:rsidRPr="00534F76">
        <w:rPr>
          <w:rFonts w:ascii="Arial" w:hAnsi="Arial" w:cs="Arial"/>
          <w:sz w:val="24"/>
          <w:szCs w:val="24"/>
        </w:rPr>
        <w:t>Rv</w:t>
      </w:r>
      <w:proofErr w:type="spellEnd"/>
      <w:r w:rsidRPr="00534F76">
        <w:rPr>
          <w:rFonts w:ascii="Arial" w:hAnsi="Arial" w:cs="Arial"/>
          <w:sz w:val="24"/>
          <w:szCs w:val="24"/>
        </w:rPr>
        <w:t>. 25343401).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2.2. Inoltre, nel caso in cui la </w:t>
      </w:r>
      <w:proofErr w:type="spellStart"/>
      <w:r w:rsidRPr="00534F76">
        <w:rPr>
          <w:rFonts w:ascii="Arial" w:hAnsi="Arial" w:cs="Arial"/>
          <w:sz w:val="24"/>
          <w:szCs w:val="24"/>
        </w:rPr>
        <w:t>reformatio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34F76">
        <w:rPr>
          <w:rFonts w:ascii="Arial" w:hAnsi="Arial" w:cs="Arial"/>
          <w:sz w:val="24"/>
          <w:szCs w:val="24"/>
        </w:rPr>
        <w:t>peius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sia frutto di una diversa valutazione di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prove dichiarative, per effetto della sentenza della Corte E.D.U. del 05/07/2011 nel caso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Dan c/ Moldavia, si è chiarito come il giudice abbia l'obbligo di rinnovare l'istruttoria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dibattimentale e di escutere nuovamente i dichiaranti, qualora valuti diversamente la loro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attendibilità rispetto a quanto ritenuto in primo grado (cfr., ex </w:t>
      </w:r>
      <w:proofErr w:type="spellStart"/>
      <w:r w:rsidRPr="00534F76">
        <w:rPr>
          <w:rFonts w:ascii="Arial" w:hAnsi="Arial" w:cs="Arial"/>
          <w:sz w:val="24"/>
          <w:szCs w:val="24"/>
        </w:rPr>
        <w:t>multis</w:t>
      </w:r>
      <w:proofErr w:type="spellEnd"/>
      <w:r w:rsidRPr="00534F76">
        <w:rPr>
          <w:rFonts w:ascii="Arial" w:hAnsi="Arial" w:cs="Arial"/>
          <w:sz w:val="24"/>
          <w:szCs w:val="24"/>
        </w:rPr>
        <w:t>, Sez. 5, n. 29827 del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13/03/2015, </w:t>
      </w:r>
      <w:proofErr w:type="spellStart"/>
      <w:r w:rsidRPr="00534F76">
        <w:rPr>
          <w:rFonts w:ascii="Arial" w:hAnsi="Arial" w:cs="Arial"/>
          <w:sz w:val="24"/>
          <w:szCs w:val="24"/>
        </w:rPr>
        <w:t>Rv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. 265139; Sez. 6, n. 44084 del 23/09/2014, </w:t>
      </w:r>
      <w:proofErr w:type="spellStart"/>
      <w:r w:rsidRPr="00534F76">
        <w:rPr>
          <w:rFonts w:ascii="Arial" w:hAnsi="Arial" w:cs="Arial"/>
          <w:sz w:val="24"/>
          <w:szCs w:val="24"/>
        </w:rPr>
        <w:t>Rv</w:t>
      </w:r>
      <w:proofErr w:type="spellEnd"/>
      <w:r w:rsidRPr="00534F76">
        <w:rPr>
          <w:rFonts w:ascii="Arial" w:hAnsi="Arial" w:cs="Arial"/>
          <w:sz w:val="24"/>
          <w:szCs w:val="24"/>
        </w:rPr>
        <w:t>. 260623; Sez. 3, n. 11658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del 24/02/2015, </w:t>
      </w:r>
      <w:proofErr w:type="spellStart"/>
      <w:r w:rsidRPr="00534F76">
        <w:rPr>
          <w:rFonts w:ascii="Arial" w:hAnsi="Arial" w:cs="Arial"/>
          <w:sz w:val="24"/>
          <w:szCs w:val="24"/>
        </w:rPr>
        <w:t>Rv</w:t>
      </w:r>
      <w:proofErr w:type="spellEnd"/>
      <w:r w:rsidRPr="00534F76">
        <w:rPr>
          <w:rFonts w:ascii="Arial" w:hAnsi="Arial" w:cs="Arial"/>
          <w:sz w:val="24"/>
          <w:szCs w:val="24"/>
        </w:rPr>
        <w:t>. 262985).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La pronuncia delle Sezioni Unite della Cassazione nel caso Dasgupta, chiamata a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risolvere il profilo della rilevabilità d'ufficio, in sede di giudizio di cassazione, della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violazione dell'art. 6 CEDU - per avere, il giudice d'appello, riformato la sentenza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assolutoria di primo grado esclusivamente sulla base di una diversa valutazione delle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dichiarazioni di testimoni e senza procedere a nuovo esame degli stessi - ha puntualizzato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importanti principi in materia. In particolare, si è ivi affermato che il mancato rispetto, da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parte del giudice dell'appello, del dovere di procedere alla rinnovazione delle fonti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dichiarative, in vista di una </w:t>
      </w:r>
      <w:proofErr w:type="spellStart"/>
      <w:r w:rsidRPr="00534F76">
        <w:rPr>
          <w:rFonts w:ascii="Arial" w:hAnsi="Arial" w:cs="Arial"/>
          <w:sz w:val="24"/>
          <w:szCs w:val="24"/>
        </w:rPr>
        <w:t>reformatio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34F76">
        <w:rPr>
          <w:rFonts w:ascii="Arial" w:hAnsi="Arial" w:cs="Arial"/>
          <w:sz w:val="24"/>
          <w:szCs w:val="24"/>
        </w:rPr>
        <w:t>peius</w:t>
      </w:r>
      <w:proofErr w:type="spellEnd"/>
      <w:r w:rsidRPr="00534F76">
        <w:rPr>
          <w:rFonts w:ascii="Arial" w:hAnsi="Arial" w:cs="Arial"/>
          <w:sz w:val="24"/>
          <w:szCs w:val="24"/>
        </w:rPr>
        <w:t>, va inquadrato non nell'ambito di una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violazione di legge ma in quello del vizio di motivazione; l'esigenza di rinnovazione della</w:t>
      </w:r>
    </w:p>
    <w:p w14:paraId="21025B47" w14:textId="77777777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prova dichiarativa si può prospettare anche nell'ambito di un giudizio abbreviato o in caso</w:t>
      </w:r>
    </w:p>
    <w:p w14:paraId="72FB934E" w14:textId="606CFF10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di impugnazione ai soli effetti civili; la necessità, per il giudice di appello, di procedere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anche d'ufficio alla rinnovazione dibattimentale, nel caso di riforma della sentenza di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assoluzione, sulla base di un diverso apprezzamento dell'attendibilità di una dichiarazione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ritenuta decisiva, non consente distinzioni a seconda della qualità soggettiva del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dichiarante; il dovere di rinnovare gli apporti dichiarativi si configura con riguardo a quelli</w:t>
      </w:r>
      <w:r w:rsidR="002A4CD3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ritenuti decisivi ai fini del giudizio assolutorio di primo grado.</w:t>
      </w:r>
    </w:p>
    <w:p w14:paraId="01C44FE1" w14:textId="1ED0A338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La pronuncia in commento si fa carico di specificare quali siano le prove decisive,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affermando il seguente principio: "Costituiscono prove decisive al fine della valutazione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della </w:t>
      </w:r>
      <w:r w:rsidRPr="00534F76">
        <w:rPr>
          <w:rFonts w:ascii="Arial" w:hAnsi="Arial" w:cs="Arial"/>
          <w:sz w:val="24"/>
          <w:szCs w:val="24"/>
        </w:rPr>
        <w:lastRenderedPageBreak/>
        <w:t>necessità di procedere alla rinnovazione della istruzione dibattimentale delle prove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dichiarative nel caso di riforma in appello del giudizio assolutorio di primo grado fondata su</w:t>
      </w:r>
    </w:p>
    <w:p w14:paraId="22DE436C" w14:textId="1B05001E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una diversa concludenza delle dichiarazioni rese, quelle che, sulla base della sentenza di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primo grado, hanno determinato, o anche soltanto contribuito a determinare, l'assoluzione</w:t>
      </w:r>
    </w:p>
    <w:p w14:paraId="43CD4AA5" w14:textId="77777777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e che, pur in presenza di altre fonti probatorie di diversa natura, se espunte dal complesso</w:t>
      </w:r>
    </w:p>
    <w:p w14:paraId="08D6C7AE" w14:textId="509227B7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materiale probatorio, si rivelano potenzialmente idonee ad incidere sull'esito del giudizio,</w:t>
      </w:r>
      <w:r w:rsidR="00706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F76">
        <w:rPr>
          <w:rFonts w:ascii="Arial" w:hAnsi="Arial" w:cs="Arial"/>
          <w:sz w:val="24"/>
          <w:szCs w:val="24"/>
        </w:rPr>
        <w:t>nonchè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quelle che, pur ritenute dal primo giudice di scarso o nullo valore, siano, invece,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nella prospettiva dell'appellante, rilevanti - da sole o insieme ad altri elementi di prova- ai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fini dell'esito della condanna" (Sez. U, n. 27620 del 28/04/2016, Dasgupta, </w:t>
      </w:r>
      <w:proofErr w:type="spellStart"/>
      <w:r w:rsidRPr="00534F76">
        <w:rPr>
          <w:rFonts w:ascii="Arial" w:hAnsi="Arial" w:cs="Arial"/>
          <w:sz w:val="24"/>
          <w:szCs w:val="24"/>
        </w:rPr>
        <w:t>Rv</w:t>
      </w:r>
      <w:proofErr w:type="spellEnd"/>
      <w:r w:rsidRPr="00534F76">
        <w:rPr>
          <w:rFonts w:ascii="Arial" w:hAnsi="Arial" w:cs="Arial"/>
          <w:sz w:val="24"/>
          <w:szCs w:val="24"/>
        </w:rPr>
        <w:t>. 267491).</w:t>
      </w:r>
    </w:p>
    <w:p w14:paraId="0524F81C" w14:textId="4A0D6C65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 xml:space="preserve">2.3 Il giudice di appello potrà, dunque, pervenire a differente esito decisorio </w:t>
      </w:r>
      <w:proofErr w:type="spellStart"/>
      <w:r w:rsidRPr="00534F76">
        <w:rPr>
          <w:rFonts w:ascii="Arial" w:hAnsi="Arial" w:cs="Arial"/>
          <w:sz w:val="24"/>
          <w:szCs w:val="24"/>
        </w:rPr>
        <w:t>purchè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ciò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avvenga sulla base di elementi istruttori trascurati dal giudice di primo grado, in particolare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mettendo in rilievo di quali elementi decisivi quest'ultimo non abbia tenuto adeguato conto,</w:t>
      </w:r>
    </w:p>
    <w:p w14:paraId="6204AEF0" w14:textId="548FB8F1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ovvero rinnovando l'istruttoria ove ritenga di non condividere la valutazione della prova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dichiarativa operata in primo grado (Sez. U, n. 27620 del 28/04/2016, Dasgupta, </w:t>
      </w:r>
      <w:proofErr w:type="spellStart"/>
      <w:r w:rsidRPr="00534F76">
        <w:rPr>
          <w:rFonts w:ascii="Arial" w:hAnsi="Arial" w:cs="Arial"/>
          <w:sz w:val="24"/>
          <w:szCs w:val="24"/>
        </w:rPr>
        <w:t>Rv</w:t>
      </w:r>
      <w:proofErr w:type="spellEnd"/>
      <w:r w:rsidRPr="00534F76">
        <w:rPr>
          <w:rFonts w:ascii="Arial" w:hAnsi="Arial" w:cs="Arial"/>
          <w:sz w:val="24"/>
          <w:szCs w:val="24"/>
        </w:rPr>
        <w:t>.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267487-01).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3. Nell'evolversi della giurisprudenza attinente al tema che occupa si inseriscono due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ulteriori pronunce delle Sezioni Unite che sanciscono l'estensione del principio dell'obbligo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 rinnovazione della prova dichiarativa, differentemente valutata, al caso di riforma ai soli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effetti civili della pronuncia assolutoria di primo grado e che equiparano il consulente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tecnico ed il perito al testimone nel caso in cui costoro siano stati esaminati in dibattimento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(Sez. U, n. 18620 del 19/01/2017, </w:t>
      </w:r>
      <w:proofErr w:type="spellStart"/>
      <w:r w:rsidRPr="00534F76">
        <w:rPr>
          <w:rFonts w:ascii="Arial" w:hAnsi="Arial" w:cs="Arial"/>
          <w:sz w:val="24"/>
          <w:szCs w:val="24"/>
        </w:rPr>
        <w:t>Patalano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4F76">
        <w:rPr>
          <w:rFonts w:ascii="Arial" w:hAnsi="Arial" w:cs="Arial"/>
          <w:sz w:val="24"/>
          <w:szCs w:val="24"/>
        </w:rPr>
        <w:t>Rv</w:t>
      </w:r>
      <w:proofErr w:type="spellEnd"/>
      <w:r w:rsidRPr="00534F76">
        <w:rPr>
          <w:rFonts w:ascii="Arial" w:hAnsi="Arial" w:cs="Arial"/>
          <w:sz w:val="24"/>
          <w:szCs w:val="24"/>
        </w:rPr>
        <w:t>. 269787 - 01 richiamata in precedenza 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Sez. U, n. 14426 del 28/01/2019, Pavan, </w:t>
      </w:r>
      <w:proofErr w:type="spellStart"/>
      <w:r w:rsidRPr="00534F76">
        <w:rPr>
          <w:rFonts w:ascii="Arial" w:hAnsi="Arial" w:cs="Arial"/>
          <w:sz w:val="24"/>
          <w:szCs w:val="24"/>
        </w:rPr>
        <w:t>Rv</w:t>
      </w:r>
      <w:proofErr w:type="spellEnd"/>
      <w:r w:rsidRPr="00534F76">
        <w:rPr>
          <w:rFonts w:ascii="Arial" w:hAnsi="Arial" w:cs="Arial"/>
          <w:sz w:val="24"/>
          <w:szCs w:val="24"/>
        </w:rPr>
        <w:t>. 275112 - 01).</w:t>
      </w:r>
    </w:p>
    <w:p w14:paraId="7B845493" w14:textId="0BAE996E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Nella pronuncia "Pavan", citata anche nel ricorso, le Sezioni Unite hanno affermato il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seguente principio: "Le dichiarazioni rese dal perito o dal consulente tecnico nel corso del</w:t>
      </w:r>
    </w:p>
    <w:p w14:paraId="1B48F47E" w14:textId="2AF6C0BB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dibattimento, in quanto veicolate nel processo a mezzo del linguaggio verbale,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costituiscono prove dichiarative, </w:t>
      </w:r>
      <w:proofErr w:type="spellStart"/>
      <w:r w:rsidRPr="00534F76">
        <w:rPr>
          <w:rFonts w:ascii="Arial" w:hAnsi="Arial" w:cs="Arial"/>
          <w:sz w:val="24"/>
          <w:szCs w:val="24"/>
        </w:rPr>
        <w:t>sicchè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sussiste, per il giudice di appello che, sul diverso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apprezzamento di esse, fondi, </w:t>
      </w:r>
      <w:proofErr w:type="spellStart"/>
      <w:r w:rsidRPr="00534F76">
        <w:rPr>
          <w:rFonts w:ascii="Arial" w:hAnsi="Arial" w:cs="Arial"/>
          <w:sz w:val="24"/>
          <w:szCs w:val="24"/>
        </w:rPr>
        <w:t>semprechè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decisive, la riforma della sentenza di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assoluzione, l'obbligo di procedere alla loro rinnovazione dibattimentale attraverso l'esame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del perito o del consulente, mentre analogo obbligo non sussiste ove la relazione scritta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del perito o del consulente tecnico sia stata acquisita mediante lettura, ivi difettando la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natura dichiarativa della prova".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Così chiariti i concetti generali in tema di prova dichiarativa hanno ulteriormente osservato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che: "la disciplina codicistica ha assimilato - nel suo nucleo essenziale - il perito al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testimone, come si può desumere: - dalla </w:t>
      </w:r>
      <w:proofErr w:type="spellStart"/>
      <w:r w:rsidRPr="00534F76">
        <w:rPr>
          <w:rFonts w:ascii="Arial" w:hAnsi="Arial" w:cs="Arial"/>
          <w:sz w:val="24"/>
          <w:szCs w:val="24"/>
        </w:rPr>
        <w:t>sedes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materiae, ossia dalla circostanza che sia</w:t>
      </w:r>
    </w:p>
    <w:p w14:paraId="58D85053" w14:textId="77777777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la testimonianza che la perizia sono considerate "mezzi di prova"; - dall'impegno che sia il</w:t>
      </w:r>
    </w:p>
    <w:p w14:paraId="7D8E7616" w14:textId="77777777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perito (art. 226 c.p.p.) che il testimone (art. 497 c.p.p.) devono assumere, impegni che si</w:t>
      </w:r>
    </w:p>
    <w:p w14:paraId="0AD1E55A" w14:textId="6C0E7BDC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differenziano solo per la diversità dell'oggetto su cui deve vertere il narrato; dalle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conseguenze penali in caso di falsa testimonianza (art. 372 c.p.) o di falsa perizia 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interpretazione (art. 373 c.p.); - dalle modalità dell'esame, per le quali, l'art. 501 c.p.p.,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rinvia alle "disposizioni sull'esame dei testimoni in quanto applicabili"". Hanno quindi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precisato: "Alla stregua del menzionato corpus normativo, si può, quindi, affermare che il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perito, in ambito processuale, può rivestire ruoli polivalenti potendo essere chiamato a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svolgere sia accertamenti (indagini; acquisizione di dati probatori: cd attività percipiente)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che valutazioni (cd. attività deducente): ed è per questa sua peculiarità che viene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denominato - in linea con la tradizione dei paesi di common </w:t>
      </w:r>
      <w:proofErr w:type="spellStart"/>
      <w:r w:rsidRPr="00534F76">
        <w:rPr>
          <w:rFonts w:ascii="Arial" w:hAnsi="Arial" w:cs="Arial"/>
          <w:sz w:val="24"/>
          <w:szCs w:val="24"/>
        </w:rPr>
        <w:t>law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- anche "testimone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esperto" (</w:t>
      </w:r>
      <w:proofErr w:type="spellStart"/>
      <w:r w:rsidRPr="00534F76">
        <w:rPr>
          <w:rFonts w:ascii="Arial" w:hAnsi="Arial" w:cs="Arial"/>
          <w:sz w:val="24"/>
          <w:szCs w:val="24"/>
        </w:rPr>
        <w:t>expert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F76">
        <w:rPr>
          <w:rFonts w:ascii="Arial" w:hAnsi="Arial" w:cs="Arial"/>
          <w:sz w:val="24"/>
          <w:szCs w:val="24"/>
        </w:rPr>
        <w:t>witness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34F76">
        <w:rPr>
          <w:rFonts w:ascii="Arial" w:hAnsi="Arial" w:cs="Arial"/>
          <w:sz w:val="24"/>
          <w:szCs w:val="24"/>
        </w:rPr>
        <w:t>perchè</w:t>
      </w:r>
      <w:proofErr w:type="spellEnd"/>
      <w:r w:rsidRPr="00534F76">
        <w:rPr>
          <w:rFonts w:ascii="Arial" w:hAnsi="Arial" w:cs="Arial"/>
          <w:sz w:val="24"/>
          <w:szCs w:val="24"/>
        </w:rPr>
        <w:t>, come il testimone, ha l'obbligo di riferire sui fatti sui quali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viene esaminato, ma "esperto" </w:t>
      </w:r>
      <w:proofErr w:type="spellStart"/>
      <w:r w:rsidRPr="00534F76">
        <w:rPr>
          <w:rFonts w:ascii="Arial" w:hAnsi="Arial" w:cs="Arial"/>
          <w:sz w:val="24"/>
          <w:szCs w:val="24"/>
        </w:rPr>
        <w:t>perchè</w:t>
      </w:r>
      <w:proofErr w:type="spellEnd"/>
      <w:r w:rsidRPr="00534F76">
        <w:rPr>
          <w:rFonts w:ascii="Arial" w:hAnsi="Arial" w:cs="Arial"/>
          <w:sz w:val="24"/>
          <w:szCs w:val="24"/>
        </w:rPr>
        <w:t>, nel rispondere, si avvale delle sue competenze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specialistiche. Ma, è proprio per la centralità che spesso la perizia assume ai fini della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decisione, che il legislatore ha congegnato lo svolgimento della perizia in modo che venga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assicurata la garanzia del contraddittorio sia nella fase dello svolgimento dell'incarico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peritale - concedendo alle parti la possibilità di nominare propri consulenti ex art. 225</w:t>
      </w:r>
    </w:p>
    <w:p w14:paraId="315864FE" w14:textId="77777777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c.p.p., sia nella fase dell'illustrazione dell'esito delle indagini laddove il perito sia sottoposto</w:t>
      </w:r>
    </w:p>
    <w:p w14:paraId="27274010" w14:textId="77777777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 xml:space="preserve">all'esame ex art. 501 </w:t>
      </w:r>
      <w:proofErr w:type="gramStart"/>
      <w:r w:rsidRPr="00534F76">
        <w:rPr>
          <w:rFonts w:ascii="Arial" w:hAnsi="Arial" w:cs="Arial"/>
          <w:sz w:val="24"/>
          <w:szCs w:val="24"/>
        </w:rPr>
        <w:t>c.p.p..</w:t>
      </w:r>
      <w:proofErr w:type="gramEnd"/>
      <w:r w:rsidRPr="00534F76">
        <w:rPr>
          <w:rFonts w:ascii="Arial" w:hAnsi="Arial" w:cs="Arial"/>
          <w:sz w:val="24"/>
          <w:szCs w:val="24"/>
        </w:rPr>
        <w:t xml:space="preserve"> E', quindi, la garanzia del contraddittorio che, così come per</w:t>
      </w:r>
    </w:p>
    <w:p w14:paraId="784B8A9A" w14:textId="13A952B2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lastRenderedPageBreak/>
        <w:t>l'esame del teste (artt. 498-500-514 c.p.p.), costituisce l'elemento che caratterizza, dal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punto di vista processuale, l'istituto della perizia e che depotenzia l'affermazione secondo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la quale il perito - </w:t>
      </w:r>
      <w:proofErr w:type="spellStart"/>
      <w:r w:rsidRPr="00534F76">
        <w:rPr>
          <w:rFonts w:ascii="Arial" w:hAnsi="Arial" w:cs="Arial"/>
          <w:sz w:val="24"/>
          <w:szCs w:val="24"/>
        </w:rPr>
        <w:t>poichè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esprime valutazioni "neutre" -non potrebbe essere assimilato al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testimone".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A completamento della evoluzione giurisprudenziale in materia, si colloca la sentenza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"Cremonini" (Sez. U, n. 22065 del 28/01/2021), in cui si si è precisato che l'affermazione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contenuta nella sentenza "Pavan", secondo la quale l'art. 603 c.p.p., comma 3-bis è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applicabile solo in caso di impugnazione del P.M., non autorizza a ritenere che, in caso di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impugnazione della sola parte civile, il giudice di appello che intenda riformare in </w:t>
      </w:r>
      <w:proofErr w:type="spellStart"/>
      <w:r w:rsidRPr="00534F76">
        <w:rPr>
          <w:rFonts w:ascii="Arial" w:hAnsi="Arial" w:cs="Arial"/>
          <w:sz w:val="24"/>
          <w:szCs w:val="24"/>
        </w:rPr>
        <w:t>peius</w:t>
      </w:r>
      <w:proofErr w:type="spellEnd"/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una sentenza assolutoria non sia obbligato a rinnovare le prove dichiarative incidenti in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maniera determinante sull'esito della decisione. In proposito, in motivazione, si legge: "le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stesse Sezioni Unite Pavan osservano che i lavori parlamentari che hanno portato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all'introduzione del comma 3-bis nel corpo dell'art. 603 </w:t>
      </w:r>
      <w:proofErr w:type="spellStart"/>
      <w:r w:rsidRPr="00534F76">
        <w:rPr>
          <w:rFonts w:ascii="Arial" w:hAnsi="Arial" w:cs="Arial"/>
          <w:sz w:val="24"/>
          <w:szCs w:val="24"/>
        </w:rPr>
        <w:t>cod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proc. </w:t>
      </w:r>
      <w:proofErr w:type="spellStart"/>
      <w:r w:rsidRPr="00534F76">
        <w:rPr>
          <w:rFonts w:ascii="Arial" w:hAnsi="Arial" w:cs="Arial"/>
          <w:sz w:val="24"/>
          <w:szCs w:val="24"/>
        </w:rPr>
        <w:t>pen</w:t>
      </w:r>
      <w:proofErr w:type="spellEnd"/>
      <w:r w:rsidRPr="00534F76">
        <w:rPr>
          <w:rFonts w:ascii="Arial" w:hAnsi="Arial" w:cs="Arial"/>
          <w:sz w:val="24"/>
          <w:szCs w:val="24"/>
        </w:rPr>
        <w:t>., e la Relazione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governativa esprimono, nel solco tracciato dalla </w:t>
      </w:r>
      <w:proofErr w:type="spellStart"/>
      <w:r w:rsidRPr="00534F76">
        <w:rPr>
          <w:rFonts w:ascii="Arial" w:hAnsi="Arial" w:cs="Arial"/>
          <w:sz w:val="24"/>
          <w:szCs w:val="24"/>
        </w:rPr>
        <w:t>Cort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EDU e dalla giurisprudenza di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legittimità con le citate sentenze Dasgupta e </w:t>
      </w:r>
      <w:proofErr w:type="spellStart"/>
      <w:r w:rsidRPr="00534F76">
        <w:rPr>
          <w:rFonts w:ascii="Arial" w:hAnsi="Arial" w:cs="Arial"/>
          <w:sz w:val="24"/>
          <w:szCs w:val="24"/>
        </w:rPr>
        <w:t>Patalano</w:t>
      </w:r>
      <w:proofErr w:type="spellEnd"/>
      <w:r w:rsidRPr="00534F76">
        <w:rPr>
          <w:rFonts w:ascii="Arial" w:hAnsi="Arial" w:cs="Arial"/>
          <w:sz w:val="24"/>
          <w:szCs w:val="24"/>
        </w:rPr>
        <w:t>, la necessità di dare una "soluzione,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a livello legislativo, alla problematica della modalità con la quale si deve tutelare il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contraddittorio nell'ipotesi in cui sia appellata una sentenza di assoluzione". </w:t>
      </w:r>
      <w:proofErr w:type="gramStart"/>
      <w:r w:rsidRPr="00534F76">
        <w:rPr>
          <w:rFonts w:ascii="Arial" w:hAnsi="Arial" w:cs="Arial"/>
          <w:sz w:val="24"/>
          <w:szCs w:val="24"/>
        </w:rPr>
        <w:t>E'</w:t>
      </w:r>
      <w:proofErr w:type="gramEnd"/>
      <w:r w:rsidRPr="00534F76">
        <w:rPr>
          <w:rFonts w:ascii="Arial" w:hAnsi="Arial" w:cs="Arial"/>
          <w:sz w:val="24"/>
          <w:szCs w:val="24"/>
        </w:rPr>
        <w:t xml:space="preserve"> indubbio,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infatti, che, relativamente a questa ipotesi, il contraddittorio deve essere implementato con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il principio dell'oralità anche in appello, </w:t>
      </w:r>
      <w:proofErr w:type="spellStart"/>
      <w:r w:rsidRPr="00534F76">
        <w:rPr>
          <w:rFonts w:ascii="Arial" w:hAnsi="Arial" w:cs="Arial"/>
          <w:sz w:val="24"/>
          <w:szCs w:val="24"/>
        </w:rPr>
        <w:t>perchè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questo costituisce il metodo epistemologico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più corretto ed idoneo a superare l'intrinseca contraddittorietà fra due sentenze che, pur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sulla base dello stesso materiale probatorio, giungano ad opposte conclusioni".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Per questa via si giunge ad affermare che è ininfluente la circostanza che l'impugnazione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sia stata proposta dal pubblico ministero piuttosto che dalla parte civile, posto che il nostro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sistema processuale non prevede differenziazioni delle regole probatorie ai fini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dell'accertamento della responsabilità penale e civile nel contesto unitario del processo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penale.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Si perviene quindi alla conclusione che il giudice d'appello che riformi, anche su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impugnazione della sola parte civile ed esclusivamente agli effetti civili, la sentenza di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proscioglimento, sulla base di un diverso apprezzamento dell'attendibilità di una prova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dichiarativa ritenuta decisiva, sia obbligato a rinnovare, anche d'ufficio, l'istruzione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dibattimentale.</w:t>
      </w:r>
    </w:p>
    <w:p w14:paraId="2C50914A" w14:textId="1A17FF73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4. Tutto ciò premesso diventa decisivo verificare, alla stregua della lettura delle due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sentenze di merito ed alla luce delle argomentazioni contenute nel ricorso, se le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dichiarazioni del consulente siano state diversamente interpretate dai giudici di appello.</w:t>
      </w:r>
    </w:p>
    <w:p w14:paraId="27F12D40" w14:textId="1EA6260C" w:rsidR="00111E43" w:rsidRPr="00534F76" w:rsidRDefault="00111E43" w:rsidP="0053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F76">
        <w:rPr>
          <w:rFonts w:ascii="Arial" w:hAnsi="Arial" w:cs="Arial"/>
          <w:sz w:val="24"/>
          <w:szCs w:val="24"/>
        </w:rPr>
        <w:t>Ebbene, si deve ritenere che la Corte d'appello non abbia diversamente valutato le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dichiarazioni del consulente tecnico del P.M.: la stessa difesa, nel sottolineare l'aspetto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della necessità della rinnovazione del dibattimento, ammette che il consulente aveva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individuato strumenti di controllo atti ad individuare la formazione di inclusioni nel metallo,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attraverso indagini radiografiche ed uso di ultrasuoni. Tale passaggio è riportato anche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nella sentenza di primo grado e non ha formato oggetto di diversa valutazione ad opera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del Tribunale, che ha recepito il dato senza trarre da esso alcuna conseguenza. Quindi,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non risultano realizzate le condizioni per ritenere che la Corte d'appello dovesse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obbligatoriamente procedere ad un nuovo esame del consulente tecnico del P.M., Ing.</w:t>
      </w:r>
      <w:r w:rsidR="007068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4F76">
        <w:rPr>
          <w:rFonts w:ascii="Arial" w:hAnsi="Arial" w:cs="Arial"/>
          <w:sz w:val="24"/>
          <w:szCs w:val="24"/>
        </w:rPr>
        <w:t>F.F..</w:t>
      </w:r>
      <w:proofErr w:type="gramEnd"/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Ogni ulteriore profilo evidenziato nel secondo motivo di ricorso, in ordine al contenuto della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testimonianza del F. (applicazione della tecnica d'indagine al settore </w:t>
      </w:r>
      <w:proofErr w:type="gramStart"/>
      <w:r w:rsidRPr="00534F76">
        <w:rPr>
          <w:rFonts w:ascii="Arial" w:hAnsi="Arial" w:cs="Arial"/>
          <w:sz w:val="24"/>
          <w:szCs w:val="24"/>
        </w:rPr>
        <w:t>aereonautico</w:t>
      </w:r>
      <w:proofErr w:type="gramEnd"/>
      <w:r w:rsidRPr="00534F76">
        <w:rPr>
          <w:rFonts w:ascii="Arial" w:hAnsi="Arial" w:cs="Arial"/>
          <w:sz w:val="24"/>
          <w:szCs w:val="24"/>
        </w:rPr>
        <w:t>;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inefficacia della tecnica del controllo radiografico sull'acciaio), appartiene al merito e non è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valutabile in questa sede nei termini prospettati nel ricorso. Si pretende di sottoporre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all'attenzione della Corte di legittimità emergenze probatorie la cui valutazione è di stretta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competenza del giudice di merito, peraltro ricorrendo ad un richiamo solo parziale, nel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ricorso, della testimonianza resa dal consulente in dibattimento.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5. La diversa soluzione del caso a cui è pervenuta la Corte d'appello (primo motivo di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ricorso) è frutto dell'individuazione dell'obbligo cautelare a cui era tenuto il ricorrente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(ravvisato nella violazione della direttiva CEE 93/42 recepita nel </w:t>
      </w:r>
      <w:proofErr w:type="spellStart"/>
      <w:r w:rsidRPr="00534F76">
        <w:rPr>
          <w:rFonts w:ascii="Arial" w:hAnsi="Arial" w:cs="Arial"/>
          <w:sz w:val="24"/>
          <w:szCs w:val="24"/>
        </w:rPr>
        <w:t>D.Lgs.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n. 46 del 1997, che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riguarda i dispositivi medici); pertanto, siamo al di fuori del perimetro della rivalutazione di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prove dichiarative.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Non coglie nel segno la critica difensiva alla </w:t>
      </w:r>
      <w:r w:rsidRPr="00534F76">
        <w:rPr>
          <w:rFonts w:ascii="Arial" w:hAnsi="Arial" w:cs="Arial"/>
          <w:sz w:val="24"/>
          <w:szCs w:val="24"/>
        </w:rPr>
        <w:lastRenderedPageBreak/>
        <w:t>interpretazione fornita dalla Corte di merito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della disciplina in questione.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In generale, in tema di infortuni sul lavoro, grava sul produttore di un qualunque manufatto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o attrezzo - che sia destinato ad interagire con un individuo - un generale obbligo di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garantire che non vi siano difetti strutturali suscettibili di arrecare danni durante l'utilizzo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(cfr. Sez. 4, n. 5541 del 08/11/2019, </w:t>
      </w:r>
      <w:proofErr w:type="spellStart"/>
      <w:r w:rsidRPr="00534F76">
        <w:rPr>
          <w:rFonts w:ascii="Arial" w:hAnsi="Arial" w:cs="Arial"/>
          <w:sz w:val="24"/>
          <w:szCs w:val="24"/>
        </w:rPr>
        <w:t>dep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. 12/02/2020, </w:t>
      </w:r>
      <w:proofErr w:type="spellStart"/>
      <w:r w:rsidRPr="00534F76">
        <w:rPr>
          <w:rFonts w:ascii="Arial" w:hAnsi="Arial" w:cs="Arial"/>
          <w:sz w:val="24"/>
          <w:szCs w:val="24"/>
        </w:rPr>
        <w:t>Rv</w:t>
      </w:r>
      <w:proofErr w:type="spellEnd"/>
      <w:r w:rsidRPr="00534F76">
        <w:rPr>
          <w:rFonts w:ascii="Arial" w:hAnsi="Arial" w:cs="Arial"/>
          <w:sz w:val="24"/>
          <w:szCs w:val="24"/>
        </w:rPr>
        <w:t>. 278445 - 02: "Il costruttore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risponde, in quanto titolare di una posizione di garanzia, per gli eventi dannosi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causalmente ricollegabili ai difetti strutturali dei macchinari messi in commercio, a meno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che l'utilizzatore abbia compiuto sulla macchina trasformazioni di natura ed entità tali da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poter essere considerate causa sopravvenuta da sola sufficiente a determinare l'evento.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(Nella fattispecie la Corte ha ritenuto immune da censure la sentenza che aveva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riconosciuto la responsabilità, a titolo di omicidio colposo, del costruttore di una macchina,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il cui difetto di costruzione aveva cagionato, sei anni dopo la messa in commercio della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macchina ed in assenza di cause alternative, il decesso di un lavoratore)").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L'obbligo del costruttore è stato correttamente individuato.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Lo strumento normativo richiamato in sentenza è il </w:t>
      </w:r>
      <w:proofErr w:type="spellStart"/>
      <w:r w:rsidRPr="00534F76">
        <w:rPr>
          <w:rFonts w:ascii="Arial" w:hAnsi="Arial" w:cs="Arial"/>
          <w:sz w:val="24"/>
          <w:szCs w:val="24"/>
        </w:rPr>
        <w:t>D.Lgs.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n. 46 del 1997, allegato I, che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così dispone: art. 1) "I dispositivi devono essere progettati e fabbricati in modo che la loro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utilizzazione non comprometta lo stato clinico e la sicurezza dei pazienti, </w:t>
      </w:r>
      <w:proofErr w:type="spellStart"/>
      <w:r w:rsidRPr="00534F76">
        <w:rPr>
          <w:rFonts w:ascii="Arial" w:hAnsi="Arial" w:cs="Arial"/>
          <w:sz w:val="24"/>
          <w:szCs w:val="24"/>
        </w:rPr>
        <w:t>nè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la sicurezza 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la salute degli utilizzatori ed eventualmente di terzi quando siano utilizzati alle condizioni 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per i fini previsti, fermo restando che gli eventuali rischi debbono essere di livello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accettabile, tenuto conto del beneficio apportato al paziente, e compatibili con un elevato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livello di protezione della salute e della sicurezza"; art. 2. "Le soluzioni adottate dal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fabbricante per la progettazione e la costruzione dei dispositivi devono attenersi a principi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 rispetto della sicurezza, tenendo conto dello stato di progresso tecnologico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generalmente riconosciuto. Per la scelta delle soluzioni più opportune il fabbricante deve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applicare i seguenti principi, nell'ordine indicato: eliminare o ridurre i rischi nella misura del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possibile (integrazione della sicurezza nella progettazione e nella costruzione del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dispositivo); - se del caso adottare le opportune misure di protezione nei confronti dei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rischi che non possono essere eliminati eventualmente mediante segnali di allarme; -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informare gli utilizzatori dei rischi residui dovuti a un qualsiasi difetto delle misure di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protezione adottate".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Ebbene, come rilevato dal giudice di appello, che ha richiamato per grandi linee il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contenuto della disposizione, era doveroso per il costruttore verificare attraverso appositi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controlli (radiografici o a onde sonore) l'assenza di inclusioni nel materiale adoperato per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la realizzazione dello strumento chirurgico.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6. Al rigetto del ricorso consegue, ex lege, la condanna del ricorrente al pagamento delle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spese processuali </w:t>
      </w:r>
      <w:proofErr w:type="spellStart"/>
      <w:r w:rsidRPr="00534F76">
        <w:rPr>
          <w:rFonts w:ascii="Arial" w:hAnsi="Arial" w:cs="Arial"/>
          <w:sz w:val="24"/>
          <w:szCs w:val="24"/>
        </w:rPr>
        <w:t>nonchè</w:t>
      </w:r>
      <w:proofErr w:type="spellEnd"/>
      <w:r w:rsidRPr="00534F76">
        <w:rPr>
          <w:rFonts w:ascii="Arial" w:hAnsi="Arial" w:cs="Arial"/>
          <w:sz w:val="24"/>
          <w:szCs w:val="24"/>
        </w:rPr>
        <w:t xml:space="preserve"> alla rifusione delle spese sostenute dalla parte civile per questo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giudizio liquidate come in dispositivo.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P.Q.M.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 xml:space="preserve">Rigetta il ricorso e condanna il ricorrente al pagamento delle spese processuali </w:t>
      </w:r>
      <w:r w:rsidR="007068A8">
        <w:rPr>
          <w:rFonts w:ascii="Arial" w:hAnsi="Arial" w:cs="Arial"/>
          <w:sz w:val="24"/>
          <w:szCs w:val="24"/>
        </w:rPr>
        <w:t xml:space="preserve">nonché </w:t>
      </w:r>
      <w:r w:rsidRPr="00534F76">
        <w:rPr>
          <w:rFonts w:ascii="Arial" w:hAnsi="Arial" w:cs="Arial"/>
          <w:sz w:val="24"/>
          <w:szCs w:val="24"/>
        </w:rPr>
        <w:t xml:space="preserve">alla rifusione delle spese sostenute dalla parte civile B.A., che liquida in </w:t>
      </w:r>
      <w:proofErr w:type="gramStart"/>
      <w:r w:rsidRPr="00534F76">
        <w:rPr>
          <w:rFonts w:ascii="Arial" w:hAnsi="Arial" w:cs="Arial"/>
          <w:sz w:val="24"/>
          <w:szCs w:val="24"/>
        </w:rPr>
        <w:t>Euro</w:t>
      </w:r>
      <w:proofErr w:type="gramEnd"/>
      <w:r w:rsidRPr="00534F76">
        <w:rPr>
          <w:rFonts w:ascii="Arial" w:hAnsi="Arial" w:cs="Arial"/>
          <w:sz w:val="24"/>
          <w:szCs w:val="24"/>
        </w:rPr>
        <w:t xml:space="preserve"> tremila, oltre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accessori di legge.</w:t>
      </w:r>
      <w:r w:rsidR="007068A8">
        <w:rPr>
          <w:rFonts w:ascii="Arial" w:hAnsi="Arial" w:cs="Arial"/>
          <w:sz w:val="24"/>
          <w:szCs w:val="24"/>
        </w:rPr>
        <w:t xml:space="preserve"> </w:t>
      </w:r>
      <w:r w:rsidRPr="00534F76">
        <w:rPr>
          <w:rFonts w:ascii="Arial" w:hAnsi="Arial" w:cs="Arial"/>
          <w:sz w:val="24"/>
          <w:szCs w:val="24"/>
        </w:rPr>
        <w:t>Così deciso in Roma, il 3 novembre 2021.</w:t>
      </w:r>
    </w:p>
    <w:p w14:paraId="2F4C1373" w14:textId="7F77F8F8" w:rsidR="00121B11" w:rsidRPr="00534F76" w:rsidRDefault="00121B11" w:rsidP="00534F76">
      <w:pPr>
        <w:jc w:val="both"/>
        <w:rPr>
          <w:rFonts w:ascii="Arial" w:hAnsi="Arial" w:cs="Arial"/>
        </w:rPr>
      </w:pPr>
    </w:p>
    <w:sectPr w:rsidR="00121B11" w:rsidRPr="00534F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92"/>
    <w:rsid w:val="00111E43"/>
    <w:rsid w:val="00121B11"/>
    <w:rsid w:val="001862DF"/>
    <w:rsid w:val="002A4CD3"/>
    <w:rsid w:val="00534F76"/>
    <w:rsid w:val="007068A8"/>
    <w:rsid w:val="0086151F"/>
    <w:rsid w:val="0092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8D69"/>
  <w15:chartTrackingRefBased/>
  <w15:docId w15:val="{B3AB349F-1009-4698-AC71-096FF037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6</cp:revision>
  <dcterms:created xsi:type="dcterms:W3CDTF">2022-02-02T10:23:00Z</dcterms:created>
  <dcterms:modified xsi:type="dcterms:W3CDTF">2022-02-02T10:39:00Z</dcterms:modified>
</cp:coreProperties>
</file>