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96B0" w14:textId="74AE7D6C" w:rsidR="00523ADA" w:rsidRPr="008F6A0C" w:rsidRDefault="00523ADA" w:rsidP="00523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054B90" w14:textId="51E12016" w:rsidR="00523ADA" w:rsidRPr="00523ADA" w:rsidRDefault="00A95411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411">
        <w:rPr>
          <w:rFonts w:ascii="Arial" w:hAnsi="Arial" w:cs="Arial"/>
          <w:b/>
          <w:bCs/>
          <w:sz w:val="24"/>
          <w:szCs w:val="24"/>
        </w:rPr>
        <w:t xml:space="preserve">Consiglio di Stato Sent. n.1665 dell’8.3.2022- Medici convenzionati e dipendenti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523ADA" w:rsidRPr="00523ADA">
        <w:rPr>
          <w:rFonts w:ascii="Arial" w:hAnsi="Arial" w:cs="Arial"/>
          <w:sz w:val="24"/>
          <w:szCs w:val="24"/>
        </w:rPr>
        <w:t>Sentenza sul ricorso numero di registro generale 8563 del 2021, proposto da</w:t>
      </w:r>
      <w:r w:rsidR="00523ADA">
        <w:rPr>
          <w:rFonts w:ascii="Arial" w:hAnsi="Arial" w:cs="Arial"/>
          <w:sz w:val="24"/>
          <w:szCs w:val="24"/>
        </w:rPr>
        <w:t xml:space="preserve"> OMISSIS</w:t>
      </w:r>
      <w:r w:rsidR="00523ADA" w:rsidRPr="00523ADA">
        <w:rPr>
          <w:rFonts w:ascii="Arial" w:hAnsi="Arial" w:cs="Arial"/>
          <w:sz w:val="24"/>
          <w:szCs w:val="24"/>
        </w:rPr>
        <w:t xml:space="preserve"> rappresentati e difesi dall'avvocato Alberto Santoli, con domicilio digitale come da PEC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da Registri di Giustizia e domicilio eletto presso lo studio Francesco Villa Pizzi in Roma,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via Donatello n.23;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contro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Ministero dell’Università e della Ricerca, Cineca Consorzio Interuniversitario, non costituiti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in giudizio;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Ministero dell'Istruzione, in persona del legale rappresentante pro tempore, rappresentato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e difeso dall'Avvocatura Generale dello Stato, domiciliataria ex lege in Roma, via dei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Portoghesi, 12;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nei confronti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Presidenza del Consiglio dei Ministri, rappresentata e difesa dall'Avvocatura Generale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dello Stato, domiciliataria ex lege in Roma, via dei Portoghesi, 12;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per la riforma della sentenza breve del Tribunale Amministrativo Regionale per il Lazio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(Sezione Terza) n. 09927/2021, resa tra le parti;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Visti il ricorso in appello e i relativi allegati;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Visti gli atti di costituzione in giudizio di Presidenza del Consiglio dei Ministri e di Ministero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dell'Istruzione;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Visti tutti gli atti della causa;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Relatore nell'udienza pubblica del giorno 15 febbraio 2022 il Cons. Rosaria Maria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Castorina e uditi per le parti l’avvocato Giulio Castrogiovanni in dichiarata delega dell'avv.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Alberto Santoli;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Nessuno è comparso per le amministrazioni appellate;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Ritenuto e considerato in fatto e diritto quanto segue.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FATTO</w:t>
      </w:r>
      <w:r w:rsidR="00523ADA">
        <w:rPr>
          <w:rFonts w:ascii="Arial" w:hAnsi="Arial" w:cs="Arial"/>
          <w:sz w:val="24"/>
          <w:szCs w:val="24"/>
        </w:rPr>
        <w:t xml:space="preserve"> -</w:t>
      </w:r>
      <w:r w:rsidR="00523ADA">
        <w:rPr>
          <w:rFonts w:ascii="ArialMT" w:hAnsi="ArialMT" w:cs="ArialMT"/>
          <w:sz w:val="24"/>
          <w:szCs w:val="24"/>
        </w:rPr>
        <w:t xml:space="preserve"> OMISSIS,</w:t>
      </w:r>
      <w:r w:rsidR="00523ADA" w:rsidRPr="00523ADA">
        <w:rPr>
          <w:rFonts w:ascii="ArialMT" w:hAnsi="ArialMT" w:cs="ArialMT"/>
          <w:sz w:val="24"/>
          <w:szCs w:val="24"/>
        </w:rPr>
        <w:t xml:space="preserve"> medici di medicina generale convenzionati con il SSN, nell’ambito del servizio di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emergenza sanitaria territoriale di cui al capo V dell’Accordo Collettivo Nazionale per la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disciplina dei rapporti con i medici di medicina generale, hanno partecipato alla prova di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concorso per l’accesso alle scuole di specializzazione, per l’a.a. 2020/2021, indetto con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D.D. n. 1205 del 21 maggio 2021 collocandosi in posti utili in graduatoria.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 xml:space="preserve">Entrambi, </w:t>
      </w:r>
      <w:r w:rsidR="00523ADA" w:rsidRPr="00523ADA">
        <w:rPr>
          <w:rFonts w:ascii="ArialMT" w:hAnsi="ArialMT" w:cs="ArialMT"/>
          <w:sz w:val="24"/>
          <w:szCs w:val="24"/>
        </w:rPr>
        <w:t>tuttavia, non hanno perfezionato l’iscrizione alla scuola di specializzazione,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versando in situazione di incompatibilità; impugnavano quindi il bando concorsuale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emesso dal Ministero dell’Università e della Ricerca con specifico riferimento all’art. 13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che</w:t>
      </w:r>
      <w:r w:rsidR="00523ADA" w:rsidRPr="00523ADA">
        <w:rPr>
          <w:rFonts w:ascii="ArialMT" w:hAnsi="ArialMT" w:cs="ArialMT"/>
          <w:sz w:val="24"/>
          <w:szCs w:val="24"/>
        </w:rPr>
        <w:t>, nel prevedere l’incompatibilità con l’iscrizione o la frequenza ai corsi di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specializzazione di cui al D.lgs. 368/1999” “per i medici che rientrano nell’accordo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collettivo nazionale per la disciplina con i medici di medicina generale, compresi quelli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del</w:t>
      </w:r>
      <w:r w:rsidR="00523ADA" w:rsidRPr="00523ADA">
        <w:rPr>
          <w:rFonts w:ascii="ArialMT" w:hAnsi="ArialMT" w:cs="ArialMT"/>
          <w:sz w:val="24"/>
          <w:szCs w:val="24"/>
        </w:rPr>
        <w:t>l’Emergenza Sanitaria Territoriale” impediva loro qualsivoglia chance, sia attuale che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futura, di conseguire una formazione medico specialistica, salvo dover forzatamente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rinunciare ed abbandonare il proprio lavoro, risolvendo il rapporto convenzionale in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essere.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Il Tar del Lazio rigettava il ricorso.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I ricorrenti appellavano la sentenza.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Resistevano il Ministero dell’istruzione e la Presidenza del Consiglio dei Ministri.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All’udienza del 15.2.2022 la causa passava in decisione.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DIRITTO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1. Con il motivo di appello i ricorrenti lamentano: illogica e erronea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motivazione; manifesta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fondatezza della questione di costituzionalità proposta; violazione degli artt. 3, 4, 34 della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Costituzione.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La censura non è fondata.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L’art. 4, comma 2, lett. c,d,e) del D.P.R. n. 484 del 1996, prevede l'incompatibilità del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medico che sia iscritto o frequenti i corsi di specializzazione previsti dal menzionato D.Lvo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n. 257 del 1991 e per quelli previsti dal D.Lvo n. 256 del 1991. Il comma cinque del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medesimo articolo prevede che l’insorgenza di una delle situazioni di incompatibilità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previste dall'articolo medesimo comporta la cessazione del rapporto convenzionale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secondo le modalità previste dall'art. 6 del medesimo decreto presidenziale.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Detta incompatibilità è confermata dall’art. 4, comma 2, lett. f) del successivo D.P.R. n.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270 del 2000.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L’art. 8 del D.P.R. 484/1996, a proposito</w:t>
      </w:r>
      <w:r w:rsidR="00523ADA">
        <w:rPr>
          <w:rFonts w:ascii="ArialMT" w:hAnsi="ArialMT" w:cs="ArialMT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dell’aggiornamento obbligatorio e facoltativo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nonché della formazione permanente del medico convenzionato prevede che, salva una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diversa determinazione concordata a livello regionale, i corsi si svolgono il sabato mattina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per almeno 8 sabati per almeno 32 ore annue. Pertanto</w:t>
      </w:r>
      <w:r w:rsidR="00523ADA">
        <w:rPr>
          <w:rFonts w:ascii="Arial" w:hAnsi="Arial" w:cs="Arial"/>
          <w:sz w:val="24"/>
          <w:szCs w:val="24"/>
        </w:rPr>
        <w:t>,</w:t>
      </w:r>
      <w:r w:rsidR="00523ADA" w:rsidRPr="00523ADA">
        <w:rPr>
          <w:rFonts w:ascii="Arial" w:hAnsi="Arial" w:cs="Arial"/>
          <w:sz w:val="24"/>
          <w:szCs w:val="24"/>
        </w:rPr>
        <w:t xml:space="preserve"> il legislatore ha previsto un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MT" w:hAnsi="ArialMT" w:cs="ArialMT"/>
          <w:sz w:val="24"/>
          <w:szCs w:val="24"/>
        </w:rPr>
        <w:t>determinato sistema per la formazione e l’aggiornamen</w:t>
      </w:r>
      <w:r w:rsidR="00523ADA" w:rsidRPr="00523ADA">
        <w:rPr>
          <w:rFonts w:ascii="Arial" w:hAnsi="Arial" w:cs="Arial"/>
          <w:sz w:val="24"/>
          <w:szCs w:val="24"/>
        </w:rPr>
        <w:t>to del medico convenzionato in</w:t>
      </w:r>
      <w:r w:rsidR="00523ADA">
        <w:rPr>
          <w:rFonts w:ascii="Arial" w:hAnsi="Arial" w:cs="Arial"/>
          <w:sz w:val="24"/>
          <w:szCs w:val="24"/>
        </w:rPr>
        <w:t xml:space="preserve"> </w:t>
      </w:r>
      <w:r w:rsidR="00523ADA" w:rsidRPr="00523ADA">
        <w:rPr>
          <w:rFonts w:ascii="Arial" w:hAnsi="Arial" w:cs="Arial"/>
          <w:sz w:val="24"/>
          <w:szCs w:val="24"/>
        </w:rPr>
        <w:t>corso di rapporto convenzionale.</w:t>
      </w:r>
    </w:p>
    <w:p w14:paraId="395599D2" w14:textId="4EC7AC1F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3ADA">
        <w:rPr>
          <w:rFonts w:ascii="ArialMT" w:hAnsi="ArialMT" w:cs="ArialMT"/>
          <w:sz w:val="24"/>
          <w:szCs w:val="24"/>
        </w:rPr>
        <w:t>L’esclusività del rapporto di lavoro con il Servizio sanitario emerge, con chiarezza,</w:t>
      </w:r>
      <w:r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dall’art.4, comma 7, della legge 30 dicembre 1991 n. 412, secondo cui: “Con il Servizio</w:t>
      </w:r>
      <w:r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sanitario nazionale può intercorrere un unico rapporto di lavoro. Tale rapporto è</w:t>
      </w:r>
      <w:r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 xml:space="preserve">incompatibile con </w:t>
      </w:r>
      <w:r w:rsidRPr="00523ADA">
        <w:rPr>
          <w:rFonts w:ascii="Arial" w:hAnsi="Arial" w:cs="Arial"/>
          <w:sz w:val="24"/>
          <w:szCs w:val="24"/>
        </w:rPr>
        <w:lastRenderedPageBreak/>
        <w:t>ogni altro rapporto di lavoro dipendente, pubblico o privato, e con altri</w:t>
      </w:r>
      <w:r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rapporti anche di natura convenzionale con il Servizio sanitario nazionale. Il rapporto di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 xml:space="preserve">lavoro </w:t>
      </w:r>
      <w:r w:rsidRPr="00523ADA">
        <w:rPr>
          <w:rFonts w:ascii="ArialMT" w:hAnsi="ArialMT" w:cs="ArialMT"/>
          <w:sz w:val="24"/>
          <w:szCs w:val="24"/>
        </w:rPr>
        <w:t>con il Servizio sanitario nazionale è altresì incompatibile con l’esercizio di altre</w:t>
      </w:r>
      <w:r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attività.”</w:t>
      </w:r>
      <w:r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2. Il D.P.R. 10 marzo 1982, n. 162, concernente il riordinamento delle scuole di</w:t>
      </w:r>
    </w:p>
    <w:p w14:paraId="23FAEDB9" w14:textId="77777777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3ADA">
        <w:rPr>
          <w:rFonts w:ascii="Arial" w:hAnsi="Arial" w:cs="Arial"/>
          <w:sz w:val="24"/>
          <w:szCs w:val="24"/>
        </w:rPr>
        <w:t>specializzazione, prevede che le scuole di specializzazione fanno parte dell</w:t>
      </w:r>
      <w:r w:rsidRPr="00523ADA">
        <w:rPr>
          <w:rFonts w:ascii="ArialMT" w:hAnsi="ArialMT" w:cs="ArialMT"/>
          <w:sz w:val="24"/>
          <w:szCs w:val="24"/>
        </w:rPr>
        <w:t>’ordinamento</w:t>
      </w:r>
    </w:p>
    <w:p w14:paraId="6C7EA347" w14:textId="77777777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3ADA">
        <w:rPr>
          <w:rFonts w:ascii="ArialMT" w:hAnsi="ArialMT" w:cs="ArialMT"/>
          <w:sz w:val="24"/>
          <w:szCs w:val="24"/>
        </w:rPr>
        <w:t>universitario e concorrono a realizzare i fini istituzionali dell’Università. Più precisamente il</w:t>
      </w:r>
    </w:p>
    <w:p w14:paraId="514AC929" w14:textId="77777777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3ADA">
        <w:rPr>
          <w:rFonts w:ascii="ArialMT" w:hAnsi="ArialMT" w:cs="ArialMT"/>
          <w:sz w:val="24"/>
          <w:szCs w:val="24"/>
        </w:rPr>
        <w:t>medesimo decreto specifica che presso le Università possono essere costituite “scuole di</w:t>
      </w:r>
    </w:p>
    <w:p w14:paraId="707F7618" w14:textId="453FA2A2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ADA">
        <w:rPr>
          <w:rFonts w:ascii="Arial" w:hAnsi="Arial" w:cs="Arial"/>
          <w:sz w:val="24"/>
          <w:szCs w:val="24"/>
        </w:rPr>
        <w:t>specializzazione per il conseguimento, successivamente alla laurea, di diplomi che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legittimino nei rami di esercizio professionale l’assunzione della qualifica di specialista”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(art. 1). Con legge 30 novembre 1989, n. 398 recante norme in materia di borse di studio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universitarie, è stato previsto che le Università conferiscano borse di studio per la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frequenza dei corsi di specializzazione previste dal precedente D.P.R. 162/1982,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assegnate con decreto del Rettore sulla base di graduatorie di merito formate in occasione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degli esami di ammissione. L’art. 6 del medes</w:t>
      </w:r>
      <w:r w:rsidRPr="00523ADA">
        <w:rPr>
          <w:rFonts w:ascii="Arial" w:hAnsi="Arial" w:cs="Arial"/>
          <w:sz w:val="24"/>
          <w:szCs w:val="24"/>
        </w:rPr>
        <w:t>imo testo di legge disciplina le menzionate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borse di studio e al comma 7 prevede che ai “dipendenti pubblici che usufruiscono delle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borse di studio è estesa la possibilità di chiedere il collocamento in congedo straordinario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per motivi di studio senza assegni".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La formazione specialistica dei medici ammessi alle scuole universitarie di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specializzazione si svolge “a tempo pieno” (art. 1 e 4, comma 4, D. Lvo 257/1991); e ai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sensi dell'art. 35, comma 4, del D.Lvo 368/1999, per specifiche esigenze del servizio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sanitario nazionale è possibile l’ammissione alle scuole di un 10% in più del numero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globale degli specializzandi da formare individuati al comma uno, riservato al “personale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medico di ruolo” che versi nelle condizioni ivi previste. Tale aliquota, inferi</w:t>
      </w:r>
      <w:r w:rsidRPr="00523ADA">
        <w:rPr>
          <w:rFonts w:ascii="Arial" w:hAnsi="Arial" w:cs="Arial"/>
          <w:sz w:val="24"/>
          <w:szCs w:val="24"/>
        </w:rPr>
        <w:t>ore a quella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ordinaria (30%), è riferita ai medici che svolgono la formazione al di fuori della rete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formativa, ossia presso strutture pubbliche non convenzionate con le aziende sanitarie.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3. Alla luce del menzionato quadro normativo, risulta inequivocabile l'incompatibilità dei</w:t>
      </w:r>
      <w:r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medici convenzionati con il Servizio sanitario nazionale alla frequentazione dei corsi di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specializzazione e risulta, inoltre, una diversa disciplina delle incompatibilità tra il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personale medico di ruolo e quello con rapporto a convenzione. Detta incompatibilità è da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sempre prevista e ribadita sia nelle norme di disciplina del rapporto medico a convenzione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sia in quelle che disciplinano la formazione specialistica e le scuole di specializzazione.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Nessuna confusione di “status” l</w:t>
      </w:r>
      <w:r w:rsidRPr="00523ADA">
        <w:rPr>
          <w:rFonts w:ascii="Arial" w:hAnsi="Arial" w:cs="Arial"/>
          <w:sz w:val="24"/>
          <w:szCs w:val="24"/>
        </w:rPr>
        <w:t>avorativo può poi fondarsi sul menzionato quadro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normativo in cui la legge è chiara nel ritenere che per il personale appartenente agli enti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del servizio sanitario si debba fare esclusivamente riferimento al personale di ruolo o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comunque legato con vincolo di subordinazione (in contrapposto a quello di lavoro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autonomo).</w:t>
      </w:r>
    </w:p>
    <w:p w14:paraId="64E26C81" w14:textId="77777777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ADA">
        <w:rPr>
          <w:rFonts w:ascii="Arial" w:hAnsi="Arial" w:cs="Arial"/>
          <w:sz w:val="24"/>
          <w:szCs w:val="24"/>
        </w:rPr>
        <w:t>Solo per quello di ruolo, infatti, la legge prevede che "Lo specializzando, ove sussista un</w:t>
      </w:r>
    </w:p>
    <w:p w14:paraId="753B6914" w14:textId="6154C431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3ADA">
        <w:rPr>
          <w:rFonts w:ascii="ArialMT" w:hAnsi="ArialMT" w:cs="ArialMT"/>
          <w:sz w:val="24"/>
          <w:szCs w:val="24"/>
        </w:rPr>
        <w:t>rapporto di pubblico impiego, ...è collocato in posizione di congedo straordinario”.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 xml:space="preserve">4. Questo </w:t>
      </w:r>
      <w:r w:rsidRPr="00523ADA">
        <w:rPr>
          <w:rFonts w:ascii="ArialMT" w:hAnsi="ArialMT" w:cs="ArialMT"/>
          <w:sz w:val="24"/>
          <w:szCs w:val="24"/>
        </w:rPr>
        <w:t>Consiglio di Stato (Sent. n. 2171/17) ha già affermato la legittimità dell’art. 11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del D.M. del Ministero della Salute del 7 marzo 2006 nella misura in cui, valorizzando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debitamente la ratio dell’art. 24 del d. lgs. n. 368 del 1999 e il significato della</w:t>
      </w:r>
    </w:p>
    <w:p w14:paraId="033B097F" w14:textId="77777777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3ADA">
        <w:rPr>
          <w:rFonts w:ascii="ArialMT" w:hAnsi="ArialMT" w:cs="ArialMT"/>
          <w:sz w:val="24"/>
          <w:szCs w:val="24"/>
        </w:rPr>
        <w:t>frequentazione a tempo pieno dei corsisti, inibisce al medico in formazione l’esercizio di</w:t>
      </w:r>
    </w:p>
    <w:p w14:paraId="0AE80FE7" w14:textId="77777777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ADA">
        <w:rPr>
          <w:rFonts w:ascii="Arial" w:hAnsi="Arial" w:cs="Arial"/>
          <w:sz w:val="24"/>
          <w:szCs w:val="24"/>
        </w:rPr>
        <w:t>attività libero-professionali ed ogni rapporto convenzionale, precario o di consulenza con il</w:t>
      </w:r>
    </w:p>
    <w:p w14:paraId="058868E0" w14:textId="79404524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ADA">
        <w:rPr>
          <w:rFonts w:ascii="Arial" w:hAnsi="Arial" w:cs="Arial"/>
          <w:sz w:val="24"/>
          <w:szCs w:val="24"/>
        </w:rPr>
        <w:t>Servizio sanitario nazionale o enti e istituzioni pubbliche o private, anche di carattere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saltuario o temporaneo ed esclude altresì, durante la frequenza del corso, la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contemporanea iscrizione o frequenza a corsi di specializzazione o dottorati di ricerca,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anche qualora si consegua tale stato successivamente all’inizio del co</w:t>
      </w:r>
      <w:r w:rsidRPr="00523ADA">
        <w:rPr>
          <w:rFonts w:ascii="Arial" w:hAnsi="Arial" w:cs="Arial"/>
          <w:sz w:val="24"/>
          <w:szCs w:val="24"/>
        </w:rPr>
        <w:t>rso di formazione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specifica in medicina generale.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L’art. 24 comma 3 del D. Lgs. 368/99, come modificato dal D. Lgs. 277/03, prevede che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“La formazione a tempo pieno implica la partecipazione alla totalità delle attività mediche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del servizio nel quale si effettua la formazione, comprese le guardie, in modo che il medico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in formazione dedichi a tale formazione pratica e teorica tutta la sua attività professionale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per l’intera durata della normale settimana lavorativa e per tutta la durata dell’anno.”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 xml:space="preserve">Ancor più esplicito è, in tal senso, il comma 4 dello stesso art. 24 del D. lgs. n. </w:t>
      </w:r>
      <w:r w:rsidRPr="00523ADA">
        <w:rPr>
          <w:rFonts w:ascii="Arial" w:hAnsi="Arial" w:cs="Arial"/>
          <w:sz w:val="24"/>
          <w:szCs w:val="24"/>
        </w:rPr>
        <w:lastRenderedPageBreak/>
        <w:t>368 del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1999, laddove prevede che la formazione a tempo pieno “implica la partecipazione alla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totalità delle attività mediche del servizio nel quale si effettua la formazione, comprese le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guardie, in modo che il medico in formazione dedichi a tale formazione pratica e teorica</w:t>
      </w:r>
    </w:p>
    <w:p w14:paraId="5D2C09DA" w14:textId="77777777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3ADA">
        <w:rPr>
          <w:rFonts w:ascii="ArialMT" w:hAnsi="ArialMT" w:cs="ArialMT"/>
          <w:sz w:val="24"/>
          <w:szCs w:val="24"/>
        </w:rPr>
        <w:t>tutta la sua attività professionale per l’intera durata della normale settimana lavorativa e</w:t>
      </w:r>
    </w:p>
    <w:p w14:paraId="45CFD163" w14:textId="15CA06EE" w:rsidR="00523ADA" w:rsidRPr="008124CD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3ADA">
        <w:rPr>
          <w:rFonts w:ascii="ArialMT" w:hAnsi="ArialMT" w:cs="ArialMT"/>
          <w:sz w:val="24"/>
          <w:szCs w:val="24"/>
        </w:rPr>
        <w:t>per tutta la durata dell’anno”.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5. Nella prospettazione degli odierni appellanti esiste una differenza di trattamento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giuridico tra i medici dipendenti del SSN a tempo indeterminato, ed i medici convenzionati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con il servizio medesimo quali essi sono.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Occorre chiarire che la situazione giuridica del medico convenzionato non è eguale, né è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comparabile sotto il profilo che rileva, con quello di medico dipendente a tempo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indeterminato del SSN. La prima essendo fondata, appunto, su di una convenzione la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quale risponde, nel momento in cui viene scelta come strumento operativo delle Pubblica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Amministrazione, ad un interesse pubblico concreto da amministrarsi anche secondo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discrezionalità tecnica; essa fonda su di un interesse valutato al momento dalla pubblica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amministrazione.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Altra è la situazione giuridica del medico dipendente, assunto sulla base di un concorso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pubblico, fondata sulla esigenza della pubblica amministrazione assolutamente strutturale,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di dotarsi periodicamente di personale, in questo caso medico, assunto sulla base delle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ordinarie necessità di organico.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E ciò quale che sia il complesso di titoli fatti valere dal concorrente al concorso pubblico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ovvero dall’aspirante ad una convenzione, ordinariamente previsti dalla pubblica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amministrazione nel momento in cui predispone un concorso ovvero la possibilità di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concludere una convenzione.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La diversa disciplina di cui si tratta, la quale viene accusata di contrarietà alla Costituzione,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conseguente alla circostanza per la quale la legge oggi consente solo al medico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dipendente a tempo indeterminato del Servizio Nazionale di partecipare ad un corso di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>specializzazione, senza con ciò che venga messa in pericolo l’esistenza giuridica del suo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rapporto con il Servizio stesso, e non lo consente invece al medico convenzionato, non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appare irragionevole.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È ben evidente che la pubblica amministrazione quando permette ad un proprio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dipendente di arricchire il proprio bagaglio culturale, non va incontro soltanto ad una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legittima aspirazione del singolo, bensì anche al proprio interesse di poter disporre di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personale sempre più fornito di strumenti professionali. Situazione che non si può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ravvisare a proposito del medico convenzionato, il cui bagaglio culturale e professionale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viene valutato, relativamente alle necessità che la Pubblica Amministrazione deve</w:t>
      </w:r>
      <w:r w:rsidR="008124CD">
        <w:rPr>
          <w:rFonts w:ascii="ArialMT" w:hAnsi="ArialMT" w:cs="ArialMT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soddisfare, al momento della conclusione della convenzione.</w:t>
      </w:r>
    </w:p>
    <w:p w14:paraId="50A0A5DF" w14:textId="77777777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ADA">
        <w:rPr>
          <w:rFonts w:ascii="Arial" w:hAnsi="Arial" w:cs="Arial"/>
          <w:sz w:val="24"/>
          <w:szCs w:val="24"/>
        </w:rPr>
        <w:t>Peraltro, le stesse conseguenze del diniego di autorizzazione, la cui rottura da parte del</w:t>
      </w:r>
    </w:p>
    <w:p w14:paraId="58AD2428" w14:textId="7E4C5B48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ADA">
        <w:rPr>
          <w:rFonts w:ascii="ArialMT" w:hAnsi="ArialMT" w:cs="ArialMT"/>
          <w:sz w:val="24"/>
          <w:szCs w:val="24"/>
        </w:rPr>
        <w:t>medico convenzionato comporta l’interruzione della conv</w:t>
      </w:r>
      <w:r w:rsidRPr="00523ADA">
        <w:rPr>
          <w:rFonts w:ascii="Arial" w:hAnsi="Arial" w:cs="Arial"/>
          <w:sz w:val="24"/>
          <w:szCs w:val="24"/>
        </w:rPr>
        <w:t>enzione, non può essere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paragonata alla situazione che in astratto dovrebbe poter affrontare anche il medico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dipendente qualora al medesimo fosse applicabile la stessa proibizione in corso di lavoro.</w:t>
      </w:r>
    </w:p>
    <w:p w14:paraId="087D9684" w14:textId="46BB0CDC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ADA">
        <w:rPr>
          <w:rFonts w:ascii="Arial" w:hAnsi="Arial" w:cs="Arial"/>
          <w:sz w:val="24"/>
          <w:szCs w:val="24"/>
        </w:rPr>
        <w:t>Il medico convenzionato infatti può, comunque, al termine del suo corso di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specializzazione, concludere altra convenzione. Il medico dipendente che per una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qualunque ragione uscisse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dal rapporto di pubblico impiego, dovrebbe affrontare un nuovo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concorso pubblico, se ritenesse di volervi rientrare. Due situazioni che sono dunque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strutturalmente diverse cosicché non sussistono i lamentati profili di ingiustificata diversità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di trattamento: son</w:t>
      </w:r>
      <w:r w:rsidR="008124CD">
        <w:rPr>
          <w:rFonts w:ascii="Arial" w:hAnsi="Arial" w:cs="Arial"/>
          <w:sz w:val="24"/>
          <w:szCs w:val="24"/>
        </w:rPr>
        <w:t>o</w:t>
      </w:r>
      <w:r w:rsidRPr="00523ADA">
        <w:rPr>
          <w:rFonts w:ascii="Arial" w:hAnsi="Arial" w:cs="Arial"/>
          <w:sz w:val="24"/>
          <w:szCs w:val="24"/>
        </w:rPr>
        <w:t>, al contrario, trattamenti coerenti con la logica e la funzione dei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rapporti nei quali si possono svolgere.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Non rileva a togliere valore alla funzione appena espressa la considerazione della</w:t>
      </w:r>
    </w:p>
    <w:p w14:paraId="3DD8AFEB" w14:textId="1641857D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ADA">
        <w:rPr>
          <w:rFonts w:ascii="Arial" w:hAnsi="Arial" w:cs="Arial"/>
          <w:sz w:val="24"/>
          <w:szCs w:val="24"/>
        </w:rPr>
        <w:t>possibilità riconosciuta ai medici specializzandi di poter lavorare in convenzione con il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servizio sanitario nazionale in esternalizzazione, assumendo incarichi di medicina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generale. D</w:t>
      </w:r>
      <w:r w:rsidRPr="00523ADA">
        <w:rPr>
          <w:rFonts w:ascii="ArialMT" w:hAnsi="ArialMT" w:cs="ArialMT"/>
          <w:sz w:val="24"/>
          <w:szCs w:val="24"/>
        </w:rPr>
        <w:t>etta possibili realtà rientra nell’esercizio specifico di una squisita discrezionalità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amministrativa e tecnica, che spetta alla pubblica amministrazione e mediante la quale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essa risolve bisogni ed esigenze pubbliche del momento. La previsione di legge non pone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in capo allo specializzando alcun interesse legittimo alla conclusione di una convenzione.</w:t>
      </w:r>
    </w:p>
    <w:p w14:paraId="755F27A0" w14:textId="5CDB9B07" w:rsidR="00523ADA" w:rsidRPr="00523ADA" w:rsidRDefault="00523ADA" w:rsidP="00523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ADA">
        <w:rPr>
          <w:rFonts w:ascii="Arial" w:hAnsi="Arial" w:cs="Arial"/>
          <w:sz w:val="24"/>
          <w:szCs w:val="24"/>
        </w:rPr>
        <w:t>6. Parimenti, non si pone un tema di lesione del diritto al lavoro del cittadino, giacché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questo è garantito effettivamente, per tutta la durata della convenzione, come del rapporto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di impiego, fino a che sono rispettate le sue regole;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MT" w:hAnsi="ArialMT" w:cs="ArialMT"/>
          <w:sz w:val="24"/>
          <w:szCs w:val="24"/>
        </w:rPr>
        <w:t xml:space="preserve">Non si pone neanche un tema di lesione </w:t>
      </w:r>
      <w:r w:rsidRPr="00523ADA">
        <w:rPr>
          <w:rFonts w:ascii="ArialMT" w:hAnsi="ArialMT" w:cs="ArialMT"/>
          <w:sz w:val="24"/>
          <w:szCs w:val="24"/>
        </w:rPr>
        <w:lastRenderedPageBreak/>
        <w:t>dell’articolo 34 Cost., giacché il diritto del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cittadino al miglioramento della propria ricchezza professionale in ogni caso deve essere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esercitato nel pieno rispetto di tutti gli obblighi legittimamente assunti dal lavoratore in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quanto tale.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La questione di costituzionalità complessivamente posta dagli odierni appellante è,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dunque, come correttamente stabilito dal primo giudice, manifestamente infondata.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Il ricorso in appello deve essere, pertanto, respinto.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In considerazione della particolarità e della novità della questione trattata, sussistono i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presupposti per compensare le spese del presente grado di giudizio.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P.Q.M.</w:t>
      </w:r>
    </w:p>
    <w:p w14:paraId="28B80D5C" w14:textId="0013691E" w:rsidR="008124CD" w:rsidRPr="00523ADA" w:rsidRDefault="00523ADA" w:rsidP="008124C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ADA">
        <w:rPr>
          <w:rFonts w:ascii="Arial" w:hAnsi="Arial" w:cs="Arial"/>
          <w:sz w:val="24"/>
          <w:szCs w:val="24"/>
        </w:rPr>
        <w:t>Il Consiglio di Stato in sede giurisdizionale (Sezione Settima), definitivamente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pronunciando sull'appello, come in epigrafe proposto, lo respinge;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Spese compensate.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Ordina che la presente sentenza sia eseguita dall'autorità amministrativa.</w:t>
      </w:r>
      <w:r w:rsidR="008124CD">
        <w:rPr>
          <w:rFonts w:ascii="Arial" w:hAnsi="Arial" w:cs="Arial"/>
          <w:sz w:val="24"/>
          <w:szCs w:val="24"/>
        </w:rPr>
        <w:t xml:space="preserve"> </w:t>
      </w:r>
      <w:r w:rsidRPr="00523ADA">
        <w:rPr>
          <w:rFonts w:ascii="Arial" w:hAnsi="Arial" w:cs="Arial"/>
          <w:sz w:val="24"/>
          <w:szCs w:val="24"/>
        </w:rPr>
        <w:t>Così deciso in Roma nella camera di consiglio del giorno 15 febbraio 2022</w:t>
      </w:r>
      <w:r w:rsidR="008124CD">
        <w:rPr>
          <w:rFonts w:ascii="Arial" w:hAnsi="Arial" w:cs="Arial"/>
          <w:sz w:val="24"/>
          <w:szCs w:val="24"/>
        </w:rPr>
        <w:t>.</w:t>
      </w:r>
    </w:p>
    <w:p w14:paraId="03ADF48C" w14:textId="5018F95A" w:rsidR="00CB6377" w:rsidRPr="00523ADA" w:rsidRDefault="00CB6377" w:rsidP="00523ADA">
      <w:pPr>
        <w:jc w:val="both"/>
        <w:rPr>
          <w:sz w:val="24"/>
          <w:szCs w:val="24"/>
        </w:rPr>
      </w:pPr>
    </w:p>
    <w:sectPr w:rsidR="00CB6377" w:rsidRPr="00523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2C"/>
    <w:rsid w:val="002332B9"/>
    <w:rsid w:val="00523ADA"/>
    <w:rsid w:val="008124CD"/>
    <w:rsid w:val="008A532C"/>
    <w:rsid w:val="008F6A0C"/>
    <w:rsid w:val="00A95411"/>
    <w:rsid w:val="00C57653"/>
    <w:rsid w:val="00C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C2A8"/>
  <w15:chartTrackingRefBased/>
  <w15:docId w15:val="{9BDC4658-4D4E-4B07-88E7-48798276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Lorenzo</dc:creator>
  <cp:keywords/>
  <dc:description/>
  <cp:lastModifiedBy>Chiara Di Lorenzo</cp:lastModifiedBy>
  <cp:revision>6</cp:revision>
  <dcterms:created xsi:type="dcterms:W3CDTF">2022-03-17T08:32:00Z</dcterms:created>
  <dcterms:modified xsi:type="dcterms:W3CDTF">2022-03-17T09:01:00Z</dcterms:modified>
</cp:coreProperties>
</file>