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153" w14:textId="084DD510" w:rsidR="003D6E1A" w:rsidRPr="00C42FE4" w:rsidRDefault="003D6E1A" w:rsidP="003D6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Corte di Cassazione </w:t>
      </w:r>
      <w:r w:rsidRPr="003D6E1A">
        <w:rPr>
          <w:rFonts w:ascii="Arial" w:hAnsi="Arial" w:cs="Arial"/>
          <w:b/>
          <w:bCs/>
          <w:sz w:val="24"/>
          <w:szCs w:val="24"/>
        </w:rPr>
        <w:t>ord., 22 marzo 2022, n. 9306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 w:rsidR="00D63D06">
        <w:rPr>
          <w:rFonts w:ascii="Arial" w:hAnsi="Arial" w:cs="Arial"/>
          <w:b/>
          <w:bCs/>
          <w:sz w:val="24"/>
          <w:szCs w:val="24"/>
        </w:rPr>
        <w:t xml:space="preserve"> Medici ospedalieri</w:t>
      </w:r>
      <w:r w:rsidR="009A342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D63D06">
        <w:rPr>
          <w:rFonts w:ascii="Arial" w:hAnsi="Arial" w:cs="Arial"/>
          <w:sz w:val="24"/>
          <w:szCs w:val="24"/>
        </w:rPr>
        <w:t>rilevato che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con sentenza del 9 luglio 2015, la Corte d'Appello di L'Aquila, in parziale riforma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della decisione resa dal Tribunale di Vasto, sulla domanda proposta da D.V.E. 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altri 31 nei confronti dell'Azienda Sanitaria locale ASL X (</w:t>
      </w:r>
      <w:r w:rsidRPr="003D6E1A">
        <w:rPr>
          <w:rFonts w:ascii="Arial" w:hAnsi="Arial" w:cs="Arial"/>
          <w:i/>
          <w:iCs/>
          <w:sz w:val="24"/>
          <w:szCs w:val="24"/>
        </w:rPr>
        <w:t>omissis</w:t>
      </w:r>
      <w:r w:rsidRPr="003D6E1A">
        <w:rPr>
          <w:rFonts w:ascii="Arial" w:hAnsi="Arial" w:cs="Arial"/>
          <w:sz w:val="24"/>
          <w:szCs w:val="24"/>
        </w:rPr>
        <w:t>) avente ad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oggetto il riconoscimento del diritto degli istanti, tutti dipendenti della predetta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Azienda sanitaria, con mansioni di infermiere, a vedersi retribuire, in quanto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rientrante nell'orario di lavoro, il tempo, pari a non meno di 15 minuti per turno,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impiegato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per indossare e dismettere la divisa loro fornita per lo svolgimento della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prestazione, limitava il credito retributivo degli istanti al periodo successivo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all'8.5.2007 in accoglimento dell'eccezione di prescrizione sollevata dall'Azienda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sanitaria;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che la decisione della Corte territoriale discende dall'aver questa ritenuto, alla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stregua del compiuto accertamento in fatto, in base al quale la Corte stessa è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pervenuta al convincimento del carattere eterodiretto e non meramente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preparatorio dell'attività, in quanto disciplinata e ‘controllata dal datore, di dover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qualificare, in consonanza con l'orientamento espresso da questa Corte, il tempo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relativo, identificato, confermando la determinazione operata dal primo giudice da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considerarsi non eccedente l'ambito della domanda, in venti minuti complessivi,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come incluso nell'orario di lavoro e tale da fondare a carico dell'Azienda sanitaria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datrice l'obbligo di retribuirlo nei limiti della prescrizione quinquennale;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che per la cassazione della decisione ricorre l'Azienda sanitaria, con quattro motivi,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cui resistono, con controricorso, tutti gli originari istanti.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i/>
          <w:iCs/>
          <w:sz w:val="24"/>
          <w:szCs w:val="24"/>
        </w:rPr>
        <w:t>Considerato che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con il primo motivo, l'Azienda sanitaria ricorrente, nel denunciare la violazione 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falsa applicazione dell'art. 115 c.p.c., lamenta l'incongruità logica e giuridica dell'iter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argomentativo della Corte territoriale che approda al convincimento del carattere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eterodiretto dell'operazione di vestizione/svestizione senza dare rilievo alcuno al</w:t>
      </w:r>
      <w:r w:rsidR="00C42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dato dell'assenza di precise disposizioni circa il momento in cui effettuare l'attività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rispetto a quello della timbratura;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- che con il secondo motivo, denunciando la violazione e falsa applicazione del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R.D.L. n. 692 del 1923, artt. 3 e 6, del R.D. n. 1955 del 1923, art. 10, del D.Lgs. n.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165 del 2001, art. 2, comma 2, del Dir. 98/104/CE, art. 2, n. 1, del D.Lgs. n. 66 del</w:t>
      </w:r>
      <w:r w:rsidR="00C42F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2003, art. 1, comma 2, lett. a), e dell'art. 18 CCNL per il comparto Sanità 1.9.1995,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ripropone sotto il profilo della non conformità a diritto la censura concernente la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mancata considerazione dell'assenza di puntuali disposizioni che impongano ai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lavoratori determinate modalità nell'effettuazione delle operazioni di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vestizione/svestizione;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che con il terzo motivo, posto sotto la seguente rubrica "Omesso esame in ordine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all'eccepita violazione e/o erronea applicazione della normativa anche contrattuale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in materia di lavoro straordinario nel pubblico impiego", si imputa alla Corte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territoriale la mancata considerazione dell'eccepita configurabilità come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straordinario del tempo necessario all'operazione computato come ulteriore rispetto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all'orario di lavoro e del contrasto, per difetto della prevista autorizzazione, con la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disciplina relativa;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- che nel quarto motivo la violazione a falsa applicazione dell'art. 112 nella parte in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cui pone il principio di corrispondenza tra il chiesto ed il pronunciato è prospettato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con riguardo alla statuizione della Corte territoriale circa la determinazione del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tempo complessivo occorrente per l'operazione in questione che si assume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eccedente rispetto alla relativa domanda formulata in sede di conclusioni;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- che i primi tre motivi - che, in quanto sostanzialmente volti a contestare alla Corte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territoriale di non aver correttamente applicato il principio di diritto a riguardo fissato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dalla giurisprudenza di questa Corte, stigmatizzando l'effetto dell'artificioso</w:t>
      </w:r>
    </w:p>
    <w:p w14:paraId="6B4F6D71" w14:textId="11CFCFC4" w:rsidR="003D6E1A" w:rsidRPr="003D6E1A" w:rsidRDefault="003D6E1A" w:rsidP="003D6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E1A">
        <w:rPr>
          <w:rFonts w:ascii="Arial" w:hAnsi="Arial" w:cs="Arial"/>
          <w:sz w:val="24"/>
          <w:szCs w:val="24"/>
        </w:rPr>
        <w:t>incremento dell'orario dii lavoro in contrasto con le regole che disciplinano l'istituto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del lavoro straordinario nel settore pubblico, ben possono essere trattati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congiuntamente devono ritenersi complessivamente infondati, atteso che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l'apprezzamento in fatto operato dalla Corte territoriale in ordine al carattere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eterodiretto delle operazioni di vestizione/svestizione dell'abbigliamento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ospedaliero, risulta basato su un criterio coerente con il principio di diritto fatto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proprio da questa Corte (cfr., da ultimo, Cass. n. 8622/2020) e correttamente inteso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a valorizzare il profilo dell'obbligatorietà dell'operazione in vista dell'espletamento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dell'attività lavorativa, che ne consente la riconducibilità all'ambito dell'esatto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 xml:space="preserve">adempimento della </w:t>
      </w:r>
      <w:r w:rsidRPr="003D6E1A">
        <w:rPr>
          <w:rFonts w:ascii="Arial" w:hAnsi="Arial" w:cs="Arial"/>
          <w:sz w:val="24"/>
          <w:szCs w:val="24"/>
        </w:rPr>
        <w:lastRenderedPageBreak/>
        <w:t>prestazione che il soggetto datore può, anche in via implicita,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pretendere; profilo che condivisibilmente la Corte territoriale ha valutato non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smentito dall'eccepita assenza di specifiche disposizioni volte a regolare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l'operazione rispetto al momento della timbratura, tenuto conto, anche, che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quell'eccezione, rilevando nel senso di consentire la vestizione dopo la timbratura 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la svestizione prima di quella, lungi dal determinare l'estraneità dell'operazione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all'ambito del lavoro effettivo, ne ammette l'inclusione nel tempo di lavoro, di modo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che la pronunzia resa dalla Corte territoriale si risolve nella sanzione formale di</w:t>
      </w:r>
      <w:r w:rsidR="00C42FE4"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quella inclusione, con invarianza dell'orario normale, che tenendo conto di tale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formalizzazione andrà semplicemente rimodulato, senza risultare di fatto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incrementato, derivandone l'inconfigurabilità del tempo relativo come lavoro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straordinario, con conseguente inconferenza del terzo motivo, che, pertanto, può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valutarsi di per sé anche inammissibile;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che propriamente inammissibile deve ritenersi, dal canto suo, il quarto motivo,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limitandosi l'Azienda sanitaria ricorrente a riproporre in questa sede la censura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relativa al vizio di ultrapetizione in cui sarebbe incorsa la Corte territoriale con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riguardo alla determinazione del tempo di vestizione/svestizione riconosciuto in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misura eccedente alla domanda formulata dagli originari istanti in sede di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conclusioni, limitata ai 15 minuti, senza neppure confutare quanto riportato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nell'impugnata sentenza circa il tenore della domanda desumibile dal contesto del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ricorso introduttivo, che, quanto alla determinazione del tempo relativo, poneva i 15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minuti come limite inferiore di quella determinazione e comunque rimetteva questa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alla valutazione equitativa del giudice;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che il ricorso va, pertanto, rigettato;</w:t>
      </w:r>
    </w:p>
    <w:p w14:paraId="1E11FAF0" w14:textId="085A9BFD" w:rsidR="00B274D0" w:rsidRPr="003D6E1A" w:rsidRDefault="003D6E1A" w:rsidP="009A3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E1A">
        <w:rPr>
          <w:rFonts w:ascii="Arial" w:hAnsi="Arial" w:cs="Arial"/>
          <w:sz w:val="24"/>
          <w:szCs w:val="24"/>
        </w:rPr>
        <w:t>che le spese seguono la soccombenza e sono liquidate come da dispositivo.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i/>
          <w:iCs/>
          <w:sz w:val="24"/>
          <w:szCs w:val="24"/>
        </w:rPr>
        <w:t>P.Q.M.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La Corte rigetta il ricorso e condanna parte ricorrente al pagamento delle spese del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presente giudizio di legittimità che liquida in Euro 200,00 per esborsi ed Euro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8.500,00 per compensi, oltre spese generali al 15% ed altri accessori di legge, da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distrarsi in favore dell'avv. (</w:t>
      </w:r>
      <w:r w:rsidRPr="003D6E1A">
        <w:rPr>
          <w:rFonts w:ascii="Arial" w:hAnsi="Arial" w:cs="Arial"/>
          <w:i/>
          <w:iCs/>
          <w:sz w:val="24"/>
          <w:szCs w:val="24"/>
        </w:rPr>
        <w:t>omissis</w:t>
      </w:r>
      <w:r w:rsidRPr="003D6E1A">
        <w:rPr>
          <w:rFonts w:ascii="Arial" w:hAnsi="Arial" w:cs="Arial"/>
          <w:sz w:val="24"/>
          <w:szCs w:val="24"/>
        </w:rPr>
        <w:t>), antistatario. Ai sensi del D.P.R. 30 maggio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2002, n. 115, art. 13, comma 1-quater, dà atto della sussistenza dei presupposti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processuali per il versamento da parte del ricorrente, dell'ulteriore importo a titolo di</w:t>
      </w:r>
      <w:r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contributo unificato pari a quello previsto per il ricorso, a norma dello stesso art. 13,</w:t>
      </w:r>
      <w:r w:rsidR="009A3421">
        <w:rPr>
          <w:rFonts w:ascii="Arial" w:hAnsi="Arial" w:cs="Arial"/>
          <w:sz w:val="24"/>
          <w:szCs w:val="24"/>
        </w:rPr>
        <w:t xml:space="preserve"> </w:t>
      </w:r>
      <w:r w:rsidRPr="003D6E1A">
        <w:rPr>
          <w:rFonts w:ascii="Arial" w:hAnsi="Arial" w:cs="Arial"/>
          <w:sz w:val="24"/>
          <w:szCs w:val="24"/>
        </w:rPr>
        <w:t>comma 1 bis, se dovuto.</w:t>
      </w:r>
    </w:p>
    <w:sectPr w:rsidR="00B274D0" w:rsidRPr="003D6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82"/>
    <w:rsid w:val="003D6E1A"/>
    <w:rsid w:val="009A3421"/>
    <w:rsid w:val="00B274D0"/>
    <w:rsid w:val="00C42FE4"/>
    <w:rsid w:val="00D41D82"/>
    <w:rsid w:val="00D6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41C1"/>
  <w15:chartTrackingRefBased/>
  <w15:docId w15:val="{AD7E5261-CB22-4A00-8CC8-CFBDDB6D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5</cp:revision>
  <dcterms:created xsi:type="dcterms:W3CDTF">2022-03-24T10:57:00Z</dcterms:created>
  <dcterms:modified xsi:type="dcterms:W3CDTF">2022-03-24T11:17:00Z</dcterms:modified>
</cp:coreProperties>
</file>