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D2F9" w14:textId="0FBA60A3" w:rsidR="00067C45" w:rsidRPr="000950FE" w:rsidRDefault="003448C5" w:rsidP="00C467FD">
      <w:pPr>
        <w:ind w:left="7080" w:firstLine="708"/>
        <w:jc w:val="both"/>
        <w:rPr>
          <w:rFonts w:ascii="Arial Narrow" w:hAnsi="Arial Narrow" w:cs="Arial"/>
          <w:b/>
          <w:color w:val="595959" w:themeColor="text1" w:themeTint="A6"/>
          <w:sz w:val="24"/>
          <w:szCs w:val="24"/>
        </w:rPr>
      </w:pPr>
      <w:bookmarkStart w:id="0" w:name="_GoBack"/>
      <w:bookmarkEnd w:id="0"/>
      <w:r>
        <w:rPr>
          <w:rFonts w:ascii="Arial Narrow" w:hAnsi="Arial Narrow" w:cs="Arial"/>
          <w:b/>
          <w:color w:val="595959" w:themeColor="text1" w:themeTint="A6"/>
          <w:sz w:val="24"/>
          <w:szCs w:val="24"/>
        </w:rPr>
        <w:t>5 maggio</w:t>
      </w:r>
      <w:r w:rsidR="007C3158" w:rsidRPr="000950FE">
        <w:rPr>
          <w:rFonts w:ascii="Arial Narrow" w:hAnsi="Arial Narrow" w:cs="Arial"/>
          <w:b/>
          <w:color w:val="595959" w:themeColor="text1" w:themeTint="A6"/>
          <w:sz w:val="24"/>
          <w:szCs w:val="24"/>
        </w:rPr>
        <w:t xml:space="preserve"> 2023</w:t>
      </w:r>
    </w:p>
    <w:p w14:paraId="12122B59" w14:textId="77777777" w:rsidR="003A6727" w:rsidRDefault="003A6727" w:rsidP="008D6A56">
      <w:pPr>
        <w:pStyle w:val="Titolo"/>
        <w:spacing w:after="120" w:line="240" w:lineRule="auto"/>
        <w:jc w:val="center"/>
        <w:rPr>
          <w:rFonts w:ascii="Arial" w:eastAsia="Times New Roman" w:hAnsi="Arial"/>
          <w:bCs w:val="0"/>
          <w:color w:val="44546A" w:themeColor="text2"/>
          <w:sz w:val="32"/>
          <w:szCs w:val="32"/>
          <w:lang w:eastAsia="it-IT"/>
        </w:rPr>
      </w:pPr>
    </w:p>
    <w:p w14:paraId="6D5685C4" w14:textId="5A127B54" w:rsidR="008E4179" w:rsidRPr="000950FE" w:rsidRDefault="00041FD4" w:rsidP="008D6A56">
      <w:pPr>
        <w:pStyle w:val="Titolo"/>
        <w:spacing w:after="120" w:line="240" w:lineRule="auto"/>
        <w:jc w:val="center"/>
        <w:rPr>
          <w:rFonts w:ascii="Arial" w:eastAsia="Times New Roman" w:hAnsi="Arial"/>
          <w:bCs w:val="0"/>
          <w:color w:val="44546A" w:themeColor="text2"/>
          <w:sz w:val="32"/>
          <w:szCs w:val="32"/>
          <w:lang w:eastAsia="it-IT"/>
        </w:rPr>
      </w:pPr>
      <w:r w:rsidRPr="000950FE">
        <w:rPr>
          <w:rFonts w:ascii="Arial" w:eastAsia="Times New Roman" w:hAnsi="Arial"/>
          <w:bCs w:val="0"/>
          <w:color w:val="44546A" w:themeColor="text2"/>
          <w:sz w:val="32"/>
          <w:szCs w:val="32"/>
          <w:lang w:eastAsia="it-IT"/>
        </w:rPr>
        <w:t xml:space="preserve">Gli accessi al pronto soccorso e i ricoveri </w:t>
      </w:r>
      <w:r w:rsidR="00BE5E71" w:rsidRPr="000950FE">
        <w:rPr>
          <w:rFonts w:ascii="Arial" w:eastAsia="Times New Roman" w:hAnsi="Arial"/>
          <w:bCs w:val="0"/>
          <w:color w:val="44546A" w:themeColor="text2"/>
          <w:sz w:val="32"/>
          <w:szCs w:val="32"/>
          <w:lang w:eastAsia="it-IT"/>
        </w:rPr>
        <w:t>O</w:t>
      </w:r>
      <w:r w:rsidRPr="000950FE">
        <w:rPr>
          <w:rFonts w:ascii="Arial" w:eastAsia="Times New Roman" w:hAnsi="Arial"/>
          <w:bCs w:val="0"/>
          <w:color w:val="44546A" w:themeColor="text2"/>
          <w:sz w:val="32"/>
          <w:szCs w:val="32"/>
          <w:lang w:eastAsia="it-IT"/>
        </w:rPr>
        <w:t>SPEDALIERi delle donne vittime di violenza</w:t>
      </w:r>
    </w:p>
    <w:p w14:paraId="2B56AE4F" w14:textId="77777777" w:rsidR="00133D7A" w:rsidRPr="000950FE" w:rsidRDefault="00133D7A" w:rsidP="008D6A56">
      <w:pPr>
        <w:tabs>
          <w:tab w:val="left" w:pos="-1134"/>
          <w:tab w:val="left" w:pos="-568"/>
          <w:tab w:val="left" w:pos="0"/>
        </w:tabs>
        <w:spacing w:after="80" w:line="240" w:lineRule="auto"/>
        <w:ind w:right="-35"/>
        <w:jc w:val="center"/>
        <w:rPr>
          <w:rFonts w:ascii="Arial" w:eastAsia="Times New Roman" w:hAnsi="Arial" w:cs="Arial"/>
          <w:iCs/>
          <w:sz w:val="24"/>
          <w:szCs w:val="24"/>
          <w:lang w:eastAsia="it-IT"/>
        </w:rPr>
      </w:pPr>
      <w:r w:rsidRPr="000950FE">
        <w:rPr>
          <w:rFonts w:ascii="Arial" w:eastAsia="Times New Roman" w:hAnsi="Arial" w:cs="Arial"/>
          <w:iCs/>
          <w:sz w:val="24"/>
          <w:szCs w:val="24"/>
          <w:lang w:eastAsia="it-IT"/>
        </w:rPr>
        <w:t>ANNO 202</w:t>
      </w:r>
      <w:r w:rsidR="00BE5E71" w:rsidRPr="000950FE">
        <w:rPr>
          <w:rFonts w:ascii="Arial" w:eastAsia="Times New Roman" w:hAnsi="Arial" w:cs="Arial"/>
          <w:iCs/>
          <w:sz w:val="24"/>
          <w:szCs w:val="24"/>
          <w:lang w:eastAsia="it-IT"/>
        </w:rPr>
        <w:t>1</w:t>
      </w:r>
    </w:p>
    <w:p w14:paraId="3769DB26" w14:textId="77777777" w:rsidR="00067C45" w:rsidRPr="000950FE" w:rsidRDefault="00067C45" w:rsidP="001D389D">
      <w:pPr>
        <w:jc w:val="both"/>
        <w:rPr>
          <w:sz w:val="10"/>
          <w:szCs w:val="10"/>
        </w:rPr>
      </w:pPr>
    </w:p>
    <w:p w14:paraId="22263A8A" w14:textId="21441CB4" w:rsidR="008E72CB" w:rsidRDefault="00DB1A1C" w:rsidP="008E72CB">
      <w:pPr>
        <w:jc w:val="both"/>
        <w:rPr>
          <w:rFonts w:ascii="Arial" w:eastAsia="MS Mincho" w:hAnsi="Arial" w:cs="Arial"/>
          <w:iCs/>
          <w:sz w:val="20"/>
          <w:szCs w:val="20"/>
        </w:rPr>
      </w:pPr>
      <w:r w:rsidRPr="000950FE">
        <w:rPr>
          <w:rFonts w:ascii="Arial" w:eastAsia="MS Mincho" w:hAnsi="Arial" w:cs="Arial"/>
          <w:iCs/>
          <w:sz w:val="20"/>
          <w:szCs w:val="20"/>
        </w:rPr>
        <w:t>L</w:t>
      </w:r>
      <w:r w:rsidR="005D459A" w:rsidRPr="000950FE">
        <w:rPr>
          <w:rFonts w:ascii="Arial" w:eastAsia="MS Mincho" w:hAnsi="Arial" w:cs="Arial"/>
          <w:iCs/>
          <w:sz w:val="20"/>
          <w:szCs w:val="20"/>
        </w:rPr>
        <w:t xml:space="preserve">’Istituto Nazionale di Statistica </w:t>
      </w:r>
      <w:r w:rsidR="00B62568" w:rsidRPr="000950FE">
        <w:rPr>
          <w:rFonts w:ascii="Arial" w:eastAsia="MS Mincho" w:hAnsi="Arial" w:cs="Arial"/>
          <w:iCs/>
          <w:sz w:val="20"/>
          <w:szCs w:val="20"/>
        </w:rPr>
        <w:t xml:space="preserve">(Istat) </w:t>
      </w:r>
      <w:r w:rsidR="005D459A" w:rsidRPr="000950FE">
        <w:rPr>
          <w:rFonts w:ascii="Arial" w:eastAsia="MS Mincho" w:hAnsi="Arial" w:cs="Arial"/>
          <w:iCs/>
          <w:sz w:val="20"/>
          <w:szCs w:val="20"/>
        </w:rPr>
        <w:t xml:space="preserve">e </w:t>
      </w:r>
      <w:r w:rsidR="00C94074" w:rsidRPr="000950FE">
        <w:rPr>
          <w:rFonts w:ascii="Arial" w:eastAsia="MS Mincho" w:hAnsi="Arial" w:cs="Arial"/>
          <w:iCs/>
          <w:sz w:val="20"/>
          <w:szCs w:val="20"/>
        </w:rPr>
        <w:t>il Ministero della Salute, nell’ambito dell’Accordo Istat-Ministero della Salute firmato il 20 novembre 2019 per “</w:t>
      </w:r>
      <w:r w:rsidR="00C94074" w:rsidRPr="00162DD8">
        <w:rPr>
          <w:rFonts w:ascii="Arial" w:eastAsia="MS Mincho" w:hAnsi="Arial" w:cs="Arial"/>
          <w:iCs/>
          <w:sz w:val="20"/>
          <w:szCs w:val="20"/>
        </w:rPr>
        <w:t xml:space="preserve">l’alimentazione della </w:t>
      </w:r>
      <w:r w:rsidR="00167AD6">
        <w:rPr>
          <w:rFonts w:ascii="Arial" w:eastAsia="MS Mincho" w:hAnsi="Arial" w:cs="Arial"/>
          <w:iCs/>
          <w:sz w:val="20"/>
          <w:szCs w:val="20"/>
        </w:rPr>
        <w:t>b</w:t>
      </w:r>
      <w:r w:rsidR="00C94074" w:rsidRPr="00162DD8">
        <w:rPr>
          <w:rFonts w:ascii="Arial" w:eastAsia="MS Mincho" w:hAnsi="Arial" w:cs="Arial"/>
          <w:iCs/>
          <w:sz w:val="20"/>
          <w:szCs w:val="20"/>
        </w:rPr>
        <w:t>anca dati sulla violenza di genere con i flussi informativi sanitari”, presentano uno studio per approfondire la conoscenza della situazione delle donne vittime di violenza</w:t>
      </w:r>
      <w:r w:rsidR="00725908" w:rsidRPr="00162DD8">
        <w:rPr>
          <w:rFonts w:ascii="Arial" w:eastAsia="MS Mincho" w:hAnsi="Arial" w:cs="Arial"/>
          <w:iCs/>
          <w:sz w:val="20"/>
          <w:szCs w:val="20"/>
        </w:rPr>
        <w:t xml:space="preserve"> </w:t>
      </w:r>
      <w:r w:rsidR="00C94074" w:rsidRPr="00162DD8">
        <w:rPr>
          <w:rFonts w:ascii="Arial" w:eastAsia="MS Mincho" w:hAnsi="Arial" w:cs="Arial"/>
          <w:iCs/>
          <w:sz w:val="20"/>
          <w:szCs w:val="20"/>
        </w:rPr>
        <w:t xml:space="preserve">che si rivolgono ai servizi ospedalieri. </w:t>
      </w:r>
      <w:r w:rsidR="008E72CB" w:rsidRPr="00162DD8">
        <w:rPr>
          <w:rFonts w:ascii="Arial" w:eastAsia="MS Mincho" w:hAnsi="Arial" w:cs="Arial"/>
          <w:iCs/>
          <w:sz w:val="20"/>
          <w:szCs w:val="20"/>
        </w:rPr>
        <w:t>Per questo motivo il focus delle analisi è sulla violenza di genere subita dalle donne. Nel report</w:t>
      </w:r>
      <w:r w:rsidR="00C94074" w:rsidRPr="00162DD8">
        <w:rPr>
          <w:rFonts w:ascii="Arial" w:eastAsia="MS Mincho" w:hAnsi="Arial" w:cs="Arial"/>
          <w:iCs/>
          <w:sz w:val="20"/>
          <w:szCs w:val="20"/>
        </w:rPr>
        <w:t xml:space="preserve"> vengono analizzati i contenuti informativi relativi agli accessi in </w:t>
      </w:r>
      <w:r w:rsidR="00167AD6">
        <w:rPr>
          <w:rFonts w:ascii="Arial" w:eastAsia="MS Mincho" w:hAnsi="Arial" w:cs="Arial"/>
          <w:iCs/>
          <w:sz w:val="20"/>
          <w:szCs w:val="20"/>
        </w:rPr>
        <w:t>P</w:t>
      </w:r>
      <w:r w:rsidR="00C94074" w:rsidRPr="00162DD8">
        <w:rPr>
          <w:rFonts w:ascii="Arial" w:eastAsia="MS Mincho" w:hAnsi="Arial" w:cs="Arial"/>
          <w:iCs/>
          <w:sz w:val="20"/>
          <w:szCs w:val="20"/>
        </w:rPr>
        <w:t xml:space="preserve">ronto </w:t>
      </w:r>
      <w:r w:rsidR="00167AD6">
        <w:rPr>
          <w:rFonts w:ascii="Arial" w:eastAsia="MS Mincho" w:hAnsi="Arial" w:cs="Arial"/>
          <w:iCs/>
          <w:sz w:val="20"/>
          <w:szCs w:val="20"/>
        </w:rPr>
        <w:t>S</w:t>
      </w:r>
      <w:r w:rsidR="00C94074" w:rsidRPr="00162DD8">
        <w:rPr>
          <w:rFonts w:ascii="Arial" w:eastAsia="MS Mincho" w:hAnsi="Arial" w:cs="Arial"/>
          <w:iCs/>
          <w:sz w:val="20"/>
          <w:szCs w:val="20"/>
        </w:rPr>
        <w:t>occorso rilevati dal Sistema EMUR (Prestazioni</w:t>
      </w:r>
      <w:r w:rsidR="00C94074" w:rsidRPr="000950FE">
        <w:rPr>
          <w:rFonts w:ascii="Arial" w:eastAsia="MS Mincho" w:hAnsi="Arial" w:cs="Arial"/>
          <w:iCs/>
          <w:sz w:val="20"/>
          <w:szCs w:val="20"/>
        </w:rPr>
        <w:t xml:space="preserve"> di assistenza sanitaria in emergenza – urgenza) e ai ricoveri ospedalieri, che vengono rilevati con il flusso dell</w:t>
      </w:r>
      <w:r w:rsidR="00816769">
        <w:rPr>
          <w:rFonts w:ascii="Arial" w:eastAsia="MS Mincho" w:hAnsi="Arial" w:cs="Arial"/>
          <w:iCs/>
          <w:sz w:val="20"/>
          <w:szCs w:val="20"/>
        </w:rPr>
        <w:t>a</w:t>
      </w:r>
      <w:r w:rsidR="00C94074" w:rsidRPr="000950FE">
        <w:rPr>
          <w:rFonts w:ascii="Arial" w:eastAsia="MS Mincho" w:hAnsi="Arial" w:cs="Arial"/>
          <w:iCs/>
          <w:sz w:val="20"/>
          <w:szCs w:val="20"/>
        </w:rPr>
        <w:t xml:space="preserve"> </w:t>
      </w:r>
      <w:r w:rsidR="00816769">
        <w:rPr>
          <w:rFonts w:ascii="Arial" w:eastAsia="MS Mincho" w:hAnsi="Arial" w:cs="Arial"/>
          <w:iCs/>
          <w:sz w:val="20"/>
          <w:szCs w:val="20"/>
        </w:rPr>
        <w:t>S</w:t>
      </w:r>
      <w:r w:rsidR="00C94074" w:rsidRPr="000950FE">
        <w:rPr>
          <w:rFonts w:ascii="Arial" w:eastAsia="MS Mincho" w:hAnsi="Arial" w:cs="Arial"/>
          <w:iCs/>
          <w:sz w:val="20"/>
          <w:szCs w:val="20"/>
        </w:rPr>
        <w:t>ched</w:t>
      </w:r>
      <w:r w:rsidR="00816769">
        <w:rPr>
          <w:rFonts w:ascii="Arial" w:eastAsia="MS Mincho" w:hAnsi="Arial" w:cs="Arial"/>
          <w:iCs/>
          <w:sz w:val="20"/>
          <w:szCs w:val="20"/>
        </w:rPr>
        <w:t>a</w:t>
      </w:r>
      <w:r w:rsidR="00C94074" w:rsidRPr="000950FE">
        <w:rPr>
          <w:rFonts w:ascii="Arial" w:eastAsia="MS Mincho" w:hAnsi="Arial" w:cs="Arial"/>
          <w:iCs/>
          <w:sz w:val="20"/>
          <w:szCs w:val="20"/>
        </w:rPr>
        <w:t xml:space="preserve"> di dimissione ospedaliera (SDO). </w:t>
      </w:r>
      <w:r w:rsidR="0038674F" w:rsidRPr="000950FE">
        <w:rPr>
          <w:rFonts w:ascii="Arial" w:eastAsia="MS Mincho" w:hAnsi="Arial" w:cs="Arial"/>
          <w:iCs/>
          <w:sz w:val="20"/>
          <w:szCs w:val="20"/>
        </w:rPr>
        <w:t>L’analisi, aggiornata al 2021, considera l’evoluzione del fenomeno nel quinquennio</w:t>
      </w:r>
      <w:r w:rsidR="00DF35E3" w:rsidRPr="000950FE">
        <w:rPr>
          <w:rFonts w:ascii="Arial" w:eastAsia="MS Mincho" w:hAnsi="Arial" w:cs="Arial"/>
          <w:iCs/>
          <w:sz w:val="20"/>
          <w:szCs w:val="20"/>
        </w:rPr>
        <w:t xml:space="preserve"> 2017-20</w:t>
      </w:r>
      <w:r w:rsidR="0038674F" w:rsidRPr="000950FE">
        <w:rPr>
          <w:rFonts w:ascii="Arial" w:eastAsia="MS Mincho" w:hAnsi="Arial" w:cs="Arial"/>
          <w:iCs/>
          <w:sz w:val="20"/>
          <w:szCs w:val="20"/>
        </w:rPr>
        <w:t>21</w:t>
      </w:r>
      <w:r w:rsidR="00DF35E3" w:rsidRPr="000950FE">
        <w:rPr>
          <w:rFonts w:ascii="Arial" w:eastAsia="MS Mincho" w:hAnsi="Arial" w:cs="Arial"/>
          <w:iCs/>
          <w:sz w:val="20"/>
          <w:szCs w:val="20"/>
        </w:rPr>
        <w:t xml:space="preserve">, </w:t>
      </w:r>
      <w:r w:rsidR="0038674F" w:rsidRPr="000950FE">
        <w:rPr>
          <w:rFonts w:ascii="Arial" w:eastAsia="MS Mincho" w:hAnsi="Arial" w:cs="Arial"/>
          <w:iCs/>
          <w:sz w:val="20"/>
          <w:szCs w:val="20"/>
        </w:rPr>
        <w:t xml:space="preserve">evidenziando </w:t>
      </w:r>
      <w:r w:rsidR="00B44AFC" w:rsidRPr="000950FE">
        <w:rPr>
          <w:rFonts w:ascii="Arial" w:eastAsia="MS Mincho" w:hAnsi="Arial" w:cs="Arial"/>
          <w:iCs/>
          <w:sz w:val="20"/>
          <w:szCs w:val="20"/>
        </w:rPr>
        <w:t xml:space="preserve">gli </w:t>
      </w:r>
      <w:r w:rsidR="000E33F9" w:rsidRPr="000950FE">
        <w:rPr>
          <w:rFonts w:ascii="Arial" w:eastAsia="MS Mincho" w:hAnsi="Arial" w:cs="Arial"/>
          <w:iCs/>
          <w:sz w:val="20"/>
          <w:szCs w:val="20"/>
        </w:rPr>
        <w:t xml:space="preserve">effetti indotti dalle restrizioni imposte per contenere l’epidemia da Covid-19, confrontando </w:t>
      </w:r>
      <w:r w:rsidR="00A66AC3" w:rsidRPr="000950FE">
        <w:rPr>
          <w:rFonts w:ascii="Arial" w:eastAsia="MS Mincho" w:hAnsi="Arial" w:cs="Arial"/>
          <w:iCs/>
          <w:sz w:val="20"/>
          <w:szCs w:val="20"/>
        </w:rPr>
        <w:t>i dati nel</w:t>
      </w:r>
      <w:r w:rsidR="0038674F" w:rsidRPr="000950FE">
        <w:rPr>
          <w:rFonts w:ascii="Arial" w:eastAsia="MS Mincho" w:hAnsi="Arial" w:cs="Arial"/>
          <w:iCs/>
          <w:sz w:val="20"/>
          <w:szCs w:val="20"/>
        </w:rPr>
        <w:t xml:space="preserve"> periodo pre-pandemico (2017-2019) con </w:t>
      </w:r>
      <w:r w:rsidR="000E33F9" w:rsidRPr="000950FE">
        <w:rPr>
          <w:rFonts w:ascii="Arial" w:eastAsia="MS Mincho" w:hAnsi="Arial" w:cs="Arial"/>
          <w:iCs/>
          <w:sz w:val="20"/>
          <w:szCs w:val="20"/>
        </w:rPr>
        <w:t>quello</w:t>
      </w:r>
      <w:r w:rsidR="0038674F" w:rsidRPr="000950FE">
        <w:rPr>
          <w:rFonts w:ascii="Arial" w:eastAsia="MS Mincho" w:hAnsi="Arial" w:cs="Arial"/>
          <w:iCs/>
          <w:sz w:val="20"/>
          <w:szCs w:val="20"/>
        </w:rPr>
        <w:t xml:space="preserve"> pandemico (2020-2021)</w:t>
      </w:r>
      <w:r w:rsidR="0019312C" w:rsidRPr="000950FE">
        <w:rPr>
          <w:rStyle w:val="Rimandonotaapidipagina"/>
          <w:rFonts w:ascii="Arial" w:eastAsia="MS Mincho" w:hAnsi="Arial" w:cs="Arial"/>
          <w:iCs/>
          <w:sz w:val="20"/>
          <w:szCs w:val="20"/>
        </w:rPr>
        <w:footnoteReference w:id="1"/>
      </w:r>
      <w:r w:rsidR="00DF35E3" w:rsidRPr="000950FE">
        <w:rPr>
          <w:rFonts w:ascii="Arial" w:eastAsia="MS Mincho" w:hAnsi="Arial" w:cs="Arial"/>
          <w:iCs/>
          <w:sz w:val="20"/>
          <w:szCs w:val="20"/>
        </w:rPr>
        <w:t>.</w:t>
      </w:r>
      <w:r w:rsidR="005C5884" w:rsidRPr="000950FE">
        <w:rPr>
          <w:rFonts w:ascii="Arial" w:eastAsia="MS Mincho" w:hAnsi="Arial" w:cs="Arial"/>
          <w:iCs/>
          <w:sz w:val="20"/>
          <w:szCs w:val="20"/>
        </w:rPr>
        <w:t xml:space="preserve"> </w:t>
      </w:r>
    </w:p>
    <w:p w14:paraId="5C5E0136" w14:textId="77777777" w:rsidR="00C93343" w:rsidRDefault="00C93343" w:rsidP="008E72CB">
      <w:pPr>
        <w:jc w:val="both"/>
        <w:rPr>
          <w:rFonts w:ascii="Arial" w:hAnsi="Arial"/>
          <w:color w:val="44546A" w:themeColor="text2"/>
          <w:sz w:val="20"/>
          <w:szCs w:val="20"/>
        </w:rPr>
      </w:pPr>
    </w:p>
    <w:p w14:paraId="2DC8ED8D" w14:textId="4DB48A30" w:rsidR="002210B3" w:rsidRPr="000950FE" w:rsidRDefault="002210B3" w:rsidP="00132F28">
      <w:pPr>
        <w:pStyle w:val="Titolo1"/>
        <w:rPr>
          <w:rFonts w:ascii="Arial" w:hAnsi="Arial"/>
          <w:b w:val="0"/>
          <w:color w:val="44546A" w:themeColor="text2"/>
          <w:sz w:val="20"/>
          <w:szCs w:val="20"/>
        </w:rPr>
      </w:pPr>
      <w:r w:rsidRPr="000950FE">
        <w:rPr>
          <w:rFonts w:ascii="Arial" w:hAnsi="Arial"/>
          <w:color w:val="44546A" w:themeColor="text2"/>
          <w:sz w:val="20"/>
          <w:szCs w:val="20"/>
        </w:rPr>
        <w:t xml:space="preserve">SINTESI DEI </w:t>
      </w:r>
      <w:r w:rsidR="00E71B89" w:rsidRPr="000950FE">
        <w:rPr>
          <w:rFonts w:ascii="Arial" w:hAnsi="Arial"/>
          <w:color w:val="44546A" w:themeColor="text2"/>
          <w:sz w:val="20"/>
          <w:szCs w:val="20"/>
        </w:rPr>
        <w:t xml:space="preserve">PRINCIPALI </w:t>
      </w:r>
      <w:r w:rsidRPr="000950FE">
        <w:rPr>
          <w:rFonts w:ascii="Arial" w:hAnsi="Arial"/>
          <w:color w:val="44546A" w:themeColor="text2"/>
          <w:sz w:val="20"/>
          <w:szCs w:val="20"/>
        </w:rPr>
        <w:t>R</w:t>
      </w:r>
      <w:r w:rsidR="00D7210C" w:rsidRPr="000950FE">
        <w:rPr>
          <w:rFonts w:ascii="Arial" w:hAnsi="Arial"/>
          <w:color w:val="44546A" w:themeColor="text2"/>
          <w:sz w:val="20"/>
          <w:szCs w:val="20"/>
        </w:rPr>
        <w:t xml:space="preserve">ISULTATI </w:t>
      </w:r>
    </w:p>
    <w:p w14:paraId="1A8C7A06" w14:textId="77685F45" w:rsidR="00421848" w:rsidRPr="000950FE" w:rsidRDefault="00421848" w:rsidP="00421848">
      <w:pPr>
        <w:pStyle w:val="Paragrafoelenco"/>
        <w:keepNext/>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Nel 2021</w:t>
      </w:r>
      <w:r w:rsidR="005E7FA4" w:rsidRPr="000950FE">
        <w:rPr>
          <w:rFonts w:ascii="Arial" w:hAnsi="Arial" w:cs="Arial"/>
          <w:sz w:val="20"/>
          <w:szCs w:val="20"/>
        </w:rPr>
        <w:t>,</w:t>
      </w:r>
      <w:r w:rsidRPr="000950FE">
        <w:rPr>
          <w:rFonts w:ascii="Arial" w:hAnsi="Arial" w:cs="Arial"/>
          <w:sz w:val="20"/>
          <w:szCs w:val="20"/>
        </w:rPr>
        <w:t xml:space="preserve"> sono state 11.771 le donne che hanno effettuato un accesso in </w:t>
      </w:r>
      <w:r w:rsidR="003D6336" w:rsidRPr="000950FE">
        <w:rPr>
          <w:rFonts w:ascii="Arial" w:hAnsi="Arial" w:cs="Arial"/>
          <w:sz w:val="20"/>
          <w:szCs w:val="20"/>
        </w:rPr>
        <w:t>Pronto Soccorso (</w:t>
      </w:r>
      <w:r w:rsidRPr="000950FE">
        <w:rPr>
          <w:rFonts w:ascii="Arial" w:hAnsi="Arial" w:cs="Arial"/>
          <w:sz w:val="20"/>
          <w:szCs w:val="20"/>
        </w:rPr>
        <w:t>PS</w:t>
      </w:r>
      <w:r w:rsidR="003D6336" w:rsidRPr="000950FE">
        <w:rPr>
          <w:rFonts w:ascii="Arial" w:hAnsi="Arial" w:cs="Arial"/>
          <w:sz w:val="20"/>
          <w:szCs w:val="20"/>
        </w:rPr>
        <w:t>)</w:t>
      </w:r>
      <w:r w:rsidRPr="000950FE">
        <w:rPr>
          <w:rFonts w:ascii="Arial" w:hAnsi="Arial" w:cs="Arial"/>
          <w:sz w:val="20"/>
          <w:szCs w:val="20"/>
        </w:rPr>
        <w:t xml:space="preserve"> con indicazione di violenza, per un totale di 12.780 accessi</w:t>
      </w:r>
      <w:r w:rsidR="003D6336" w:rsidRPr="000950FE">
        <w:rPr>
          <w:rFonts w:ascii="Arial" w:hAnsi="Arial" w:cs="Arial"/>
          <w:sz w:val="20"/>
          <w:szCs w:val="20"/>
        </w:rPr>
        <w:t xml:space="preserve"> (gli uomini sono 10.246 per 10.844 accessi totali)</w:t>
      </w:r>
      <w:r w:rsidRPr="000950FE">
        <w:rPr>
          <w:rFonts w:ascii="Arial" w:hAnsi="Arial" w:cs="Arial"/>
          <w:sz w:val="20"/>
          <w:szCs w:val="20"/>
        </w:rPr>
        <w:t xml:space="preserve">. L’incidenza di tali accessi è pari a 18,4 per 10.000 accessi </w:t>
      </w:r>
      <w:r w:rsidR="003D6336" w:rsidRPr="000950FE">
        <w:rPr>
          <w:rFonts w:ascii="Arial" w:hAnsi="Arial" w:cs="Arial"/>
          <w:sz w:val="20"/>
          <w:szCs w:val="20"/>
        </w:rPr>
        <w:t xml:space="preserve">complessivi in PS </w:t>
      </w:r>
      <w:r w:rsidRPr="000950FE">
        <w:rPr>
          <w:rFonts w:ascii="Arial" w:hAnsi="Arial" w:cs="Arial"/>
          <w:sz w:val="20"/>
          <w:szCs w:val="20"/>
        </w:rPr>
        <w:t xml:space="preserve">(negli uomini sono 15,1), in costante aumento dal 2017 (14,1), nonostante la generale diminuzione del ricorso al PS in conseguenza della pandemia da Covid-19. </w:t>
      </w:r>
    </w:p>
    <w:p w14:paraId="6D02C60D" w14:textId="5C4FBF43" w:rsidR="00E055E8" w:rsidRPr="000950FE" w:rsidRDefault="00E055E8" w:rsidP="0075361A">
      <w:pPr>
        <w:pStyle w:val="Paragrafoelenco"/>
        <w:keepNext/>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Nel PS gli accessi di donne con indicazione di violenza tra </w:t>
      </w:r>
      <w:r w:rsidR="00167AD6">
        <w:rPr>
          <w:rFonts w:ascii="Arial" w:hAnsi="Arial" w:cs="Arial"/>
          <w:sz w:val="20"/>
          <w:szCs w:val="20"/>
        </w:rPr>
        <w:t xml:space="preserve">il </w:t>
      </w:r>
      <w:r w:rsidRPr="000950FE">
        <w:rPr>
          <w:rFonts w:ascii="Arial" w:hAnsi="Arial" w:cs="Arial"/>
          <w:sz w:val="20"/>
          <w:szCs w:val="20"/>
        </w:rPr>
        <w:t xml:space="preserve">2019 e </w:t>
      </w:r>
      <w:r w:rsidR="00167AD6">
        <w:rPr>
          <w:rFonts w:ascii="Arial" w:hAnsi="Arial" w:cs="Arial"/>
          <w:sz w:val="20"/>
          <w:szCs w:val="20"/>
        </w:rPr>
        <w:t xml:space="preserve">il </w:t>
      </w:r>
      <w:r w:rsidRPr="000950FE">
        <w:rPr>
          <w:rFonts w:ascii="Arial" w:hAnsi="Arial" w:cs="Arial"/>
          <w:sz w:val="20"/>
          <w:szCs w:val="20"/>
        </w:rPr>
        <w:t xml:space="preserve">2020 (anno della pandemia) sono diminuiti </w:t>
      </w:r>
      <w:r w:rsidR="000B75CB">
        <w:rPr>
          <w:rFonts w:ascii="Arial" w:hAnsi="Arial" w:cs="Arial"/>
          <w:sz w:val="20"/>
          <w:szCs w:val="20"/>
        </w:rPr>
        <w:t xml:space="preserve">di </w:t>
      </w:r>
      <w:r w:rsidRPr="000950FE">
        <w:rPr>
          <w:rFonts w:ascii="Arial" w:hAnsi="Arial" w:cs="Arial"/>
          <w:sz w:val="20"/>
          <w:szCs w:val="20"/>
        </w:rPr>
        <w:t xml:space="preserve">meno rispetto al totale degli accessi: da 15.791 a </w:t>
      </w:r>
      <w:r w:rsidR="00256CD7" w:rsidRPr="000950FE">
        <w:rPr>
          <w:rFonts w:ascii="Arial" w:hAnsi="Arial" w:cs="Arial"/>
          <w:sz w:val="20"/>
          <w:szCs w:val="20"/>
        </w:rPr>
        <w:t>11.818</w:t>
      </w:r>
      <w:r w:rsidRPr="000950FE">
        <w:rPr>
          <w:rFonts w:ascii="Arial" w:hAnsi="Arial" w:cs="Arial"/>
          <w:sz w:val="20"/>
          <w:szCs w:val="20"/>
        </w:rPr>
        <w:t xml:space="preserve"> (-25,2% </w:t>
      </w:r>
      <w:r w:rsidR="00476FC6">
        <w:rPr>
          <w:rFonts w:ascii="Arial" w:hAnsi="Arial" w:cs="Arial"/>
          <w:sz w:val="20"/>
          <w:szCs w:val="20"/>
        </w:rPr>
        <w:t>contro</w:t>
      </w:r>
      <w:r w:rsidRPr="000950FE">
        <w:rPr>
          <w:rFonts w:ascii="Arial" w:hAnsi="Arial" w:cs="Arial"/>
          <w:sz w:val="20"/>
          <w:szCs w:val="20"/>
        </w:rPr>
        <w:t xml:space="preserve"> -39,8% del totale degli accessi)</w:t>
      </w:r>
      <w:r w:rsidR="00256CD7" w:rsidRPr="000950FE">
        <w:rPr>
          <w:rFonts w:ascii="Arial" w:hAnsi="Arial" w:cs="Arial"/>
          <w:sz w:val="20"/>
          <w:szCs w:val="20"/>
        </w:rPr>
        <w:t xml:space="preserve">. </w:t>
      </w:r>
    </w:p>
    <w:p w14:paraId="1D0E6AE0" w14:textId="068BAC16" w:rsidR="00C84A75" w:rsidRPr="007C5F9C" w:rsidRDefault="00F03B47" w:rsidP="00C84A75">
      <w:pPr>
        <w:pStyle w:val="Paragrafoelenco"/>
        <w:keepNext/>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Nel 2021</w:t>
      </w:r>
      <w:r w:rsidR="005E7FA4" w:rsidRPr="000950FE">
        <w:rPr>
          <w:rFonts w:ascii="Arial" w:hAnsi="Arial" w:cs="Arial"/>
          <w:sz w:val="20"/>
          <w:szCs w:val="20"/>
        </w:rPr>
        <w:t>,</w:t>
      </w:r>
      <w:r w:rsidRPr="000950FE">
        <w:rPr>
          <w:rFonts w:ascii="Arial" w:hAnsi="Arial" w:cs="Arial"/>
          <w:sz w:val="20"/>
          <w:szCs w:val="20"/>
        </w:rPr>
        <w:t xml:space="preserve"> si sono registrati 4,4 accessi in PS di donne con indicazione di violenza per 10.000 residenti.</w:t>
      </w:r>
      <w:r w:rsidR="006E639F" w:rsidRPr="000950FE">
        <w:rPr>
          <w:rFonts w:ascii="Arial" w:hAnsi="Arial" w:cs="Arial"/>
          <w:sz w:val="20"/>
          <w:szCs w:val="20"/>
        </w:rPr>
        <w:t xml:space="preserve"> </w:t>
      </w:r>
      <w:r w:rsidR="004F2B0A" w:rsidRPr="000950FE">
        <w:rPr>
          <w:rFonts w:ascii="Arial" w:hAnsi="Arial" w:cs="Arial"/>
          <w:sz w:val="20"/>
          <w:szCs w:val="20"/>
        </w:rPr>
        <w:t>L</w:t>
      </w:r>
      <w:r w:rsidRPr="000950FE">
        <w:rPr>
          <w:rFonts w:ascii="Arial" w:hAnsi="Arial" w:cs="Arial"/>
          <w:sz w:val="20"/>
          <w:szCs w:val="20"/>
        </w:rPr>
        <w:t xml:space="preserve">e </w:t>
      </w:r>
      <w:r w:rsidRPr="007C5F9C">
        <w:rPr>
          <w:rFonts w:ascii="Arial" w:hAnsi="Arial" w:cs="Arial"/>
          <w:sz w:val="20"/>
          <w:szCs w:val="20"/>
        </w:rPr>
        <w:t>giovani donne di 18-34 anni sono stat</w:t>
      </w:r>
      <w:r w:rsidR="004F2B0A" w:rsidRPr="007C5F9C">
        <w:rPr>
          <w:rFonts w:ascii="Arial" w:hAnsi="Arial" w:cs="Arial"/>
          <w:sz w:val="20"/>
          <w:szCs w:val="20"/>
        </w:rPr>
        <w:t>e le più colpite (</w:t>
      </w:r>
      <w:r w:rsidRPr="007C5F9C">
        <w:rPr>
          <w:rFonts w:ascii="Arial" w:hAnsi="Arial" w:cs="Arial"/>
          <w:sz w:val="20"/>
          <w:szCs w:val="20"/>
        </w:rPr>
        <w:t>8,8</w:t>
      </w:r>
      <w:r w:rsidR="004F2B0A" w:rsidRPr="007C5F9C">
        <w:rPr>
          <w:rFonts w:ascii="Arial" w:hAnsi="Arial" w:cs="Arial"/>
          <w:sz w:val="20"/>
          <w:szCs w:val="20"/>
        </w:rPr>
        <w:t xml:space="preserve"> per 10.000)</w:t>
      </w:r>
      <w:r w:rsidRPr="007C5F9C">
        <w:rPr>
          <w:rFonts w:ascii="Arial" w:hAnsi="Arial" w:cs="Arial"/>
          <w:sz w:val="20"/>
          <w:szCs w:val="20"/>
        </w:rPr>
        <w:t xml:space="preserve">, seguite dalle donne adulte di 35-49 anni </w:t>
      </w:r>
      <w:r w:rsidR="00167AD6" w:rsidRPr="007C5F9C">
        <w:rPr>
          <w:rFonts w:ascii="Arial" w:hAnsi="Arial" w:cs="Arial"/>
          <w:sz w:val="20"/>
          <w:szCs w:val="20"/>
        </w:rPr>
        <w:t>(</w:t>
      </w:r>
      <w:r w:rsidRPr="007C5F9C">
        <w:rPr>
          <w:rFonts w:ascii="Arial" w:hAnsi="Arial" w:cs="Arial"/>
          <w:sz w:val="20"/>
          <w:szCs w:val="20"/>
        </w:rPr>
        <w:t>7,2</w:t>
      </w:r>
      <w:r w:rsidR="00167AD6" w:rsidRPr="007C5F9C">
        <w:rPr>
          <w:rFonts w:ascii="Arial" w:hAnsi="Arial" w:cs="Arial"/>
          <w:sz w:val="20"/>
          <w:szCs w:val="20"/>
        </w:rPr>
        <w:t xml:space="preserve"> per 10.000)</w:t>
      </w:r>
      <w:r w:rsidR="00C84A75" w:rsidRPr="007C5F9C">
        <w:rPr>
          <w:rFonts w:ascii="Arial" w:hAnsi="Arial" w:cs="Arial"/>
          <w:sz w:val="20"/>
          <w:szCs w:val="20"/>
        </w:rPr>
        <w:t>.</w:t>
      </w:r>
    </w:p>
    <w:p w14:paraId="4D26E472" w14:textId="77418E25" w:rsidR="00A909F8" w:rsidRPr="007C5F9C" w:rsidRDefault="007C5F9C" w:rsidP="00F03B47">
      <w:pPr>
        <w:pStyle w:val="Paragrafoelenco"/>
        <w:numPr>
          <w:ilvl w:val="0"/>
          <w:numId w:val="6"/>
        </w:numPr>
        <w:spacing w:after="100" w:line="240" w:lineRule="auto"/>
        <w:ind w:left="346" w:hanging="335"/>
        <w:contextualSpacing w:val="0"/>
        <w:jc w:val="both"/>
        <w:rPr>
          <w:rFonts w:ascii="Arial" w:hAnsi="Arial" w:cs="Arial"/>
          <w:sz w:val="20"/>
          <w:szCs w:val="20"/>
        </w:rPr>
      </w:pPr>
      <w:r w:rsidRPr="007C5F9C">
        <w:rPr>
          <w:rFonts w:ascii="Arial" w:hAnsi="Arial" w:cs="Arial"/>
          <w:sz w:val="20"/>
          <w:szCs w:val="20"/>
        </w:rPr>
        <w:t>I tassi di accesso delle straniere al PS con indicazione di violenza sono più del doppio di quelli delle italiane: 11,8 per 10.000 residenti contro 4,7 nel periodo pre-pandemico 2017-2019; 10,0 contro 3,8 nel periodo pandemico 2020-2021. Il divario maggiore si osserva nelle classi di età 18-34 e 35-49 anni in cui i tassi sono più elevati.</w:t>
      </w:r>
    </w:p>
    <w:p w14:paraId="4F6102D9" w14:textId="7CBAD2F4" w:rsidR="006F592B" w:rsidRPr="000950FE" w:rsidRDefault="005E185F" w:rsidP="00F03B47">
      <w:pPr>
        <w:pStyle w:val="Paragrafoelenco"/>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Il </w:t>
      </w:r>
      <w:r w:rsidR="00793B5D" w:rsidRPr="000950FE">
        <w:rPr>
          <w:rFonts w:ascii="Arial" w:hAnsi="Arial" w:cs="Arial"/>
          <w:sz w:val="20"/>
          <w:szCs w:val="20"/>
        </w:rPr>
        <w:t xml:space="preserve">31,4% </w:t>
      </w:r>
      <w:r w:rsidR="00BB2815" w:rsidRPr="000950FE">
        <w:rPr>
          <w:rFonts w:ascii="Arial" w:hAnsi="Arial" w:cs="Arial"/>
          <w:sz w:val="20"/>
          <w:szCs w:val="20"/>
        </w:rPr>
        <w:t xml:space="preserve">di accessi in PS di donne con indicazione di violenza avviene </w:t>
      </w:r>
      <w:r w:rsidR="00793B5D" w:rsidRPr="000950FE">
        <w:rPr>
          <w:rFonts w:ascii="Arial" w:hAnsi="Arial" w:cs="Arial"/>
          <w:sz w:val="20"/>
          <w:szCs w:val="20"/>
        </w:rPr>
        <w:t>attraverso il sistema 118</w:t>
      </w:r>
      <w:r w:rsidR="009C08B4" w:rsidRPr="000950FE">
        <w:rPr>
          <w:rFonts w:ascii="Arial" w:hAnsi="Arial" w:cs="Arial"/>
          <w:sz w:val="20"/>
          <w:szCs w:val="20"/>
        </w:rPr>
        <w:t xml:space="preserve"> (per </w:t>
      </w:r>
      <w:r w:rsidR="00793B5D" w:rsidRPr="000950FE">
        <w:rPr>
          <w:rFonts w:ascii="Arial" w:hAnsi="Arial" w:cs="Arial"/>
          <w:sz w:val="20"/>
          <w:szCs w:val="20"/>
        </w:rPr>
        <w:t xml:space="preserve">gli accessi totali </w:t>
      </w:r>
      <w:r w:rsidRPr="000950FE">
        <w:rPr>
          <w:rFonts w:ascii="Arial" w:hAnsi="Arial" w:cs="Arial"/>
          <w:sz w:val="20"/>
          <w:szCs w:val="20"/>
        </w:rPr>
        <w:t xml:space="preserve">tale quota è </w:t>
      </w:r>
      <w:r w:rsidR="00793B5D" w:rsidRPr="000950FE">
        <w:rPr>
          <w:rFonts w:ascii="Arial" w:hAnsi="Arial" w:cs="Arial"/>
          <w:sz w:val="20"/>
          <w:szCs w:val="20"/>
        </w:rPr>
        <w:t>20,5%</w:t>
      </w:r>
      <w:r w:rsidR="009C08B4" w:rsidRPr="000950FE">
        <w:rPr>
          <w:rFonts w:ascii="Arial" w:hAnsi="Arial" w:cs="Arial"/>
          <w:sz w:val="20"/>
          <w:szCs w:val="20"/>
        </w:rPr>
        <w:t>)</w:t>
      </w:r>
      <w:r w:rsidR="00167AD6">
        <w:rPr>
          <w:rFonts w:ascii="Arial" w:hAnsi="Arial" w:cs="Arial"/>
          <w:sz w:val="20"/>
          <w:szCs w:val="20"/>
        </w:rPr>
        <w:t>, in aumento</w:t>
      </w:r>
      <w:r w:rsidR="00476FC6">
        <w:rPr>
          <w:rFonts w:ascii="Arial" w:hAnsi="Arial" w:cs="Arial"/>
          <w:sz w:val="20"/>
          <w:szCs w:val="20"/>
        </w:rPr>
        <w:t xml:space="preserve"> </w:t>
      </w:r>
      <w:r w:rsidR="00167AD6">
        <w:rPr>
          <w:rFonts w:ascii="Arial" w:hAnsi="Arial" w:cs="Arial"/>
          <w:sz w:val="20"/>
          <w:szCs w:val="20"/>
        </w:rPr>
        <w:t>r</w:t>
      </w:r>
      <w:r w:rsidR="00F03B47" w:rsidRPr="000950FE">
        <w:rPr>
          <w:rFonts w:ascii="Arial" w:hAnsi="Arial" w:cs="Arial"/>
          <w:sz w:val="20"/>
          <w:szCs w:val="20"/>
        </w:rPr>
        <w:t xml:space="preserve">ispetto al 2017 (era </w:t>
      </w:r>
      <w:r w:rsidR="00167AD6">
        <w:rPr>
          <w:rFonts w:ascii="Arial" w:hAnsi="Arial" w:cs="Arial"/>
          <w:sz w:val="20"/>
          <w:szCs w:val="20"/>
        </w:rPr>
        <w:t xml:space="preserve">il </w:t>
      </w:r>
      <w:r w:rsidR="00F03B47" w:rsidRPr="000950FE">
        <w:rPr>
          <w:rFonts w:ascii="Arial" w:hAnsi="Arial" w:cs="Arial"/>
          <w:sz w:val="20"/>
          <w:szCs w:val="20"/>
        </w:rPr>
        <w:t>21,8%).</w:t>
      </w:r>
    </w:p>
    <w:p w14:paraId="57B72DF3" w14:textId="0E5E9366" w:rsidR="00D30EBE" w:rsidRPr="000950FE" w:rsidRDefault="009C08B4" w:rsidP="00F03B47">
      <w:pPr>
        <w:pStyle w:val="Paragrafoelenco"/>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La quota di accessi con indicazione di violenza con codice </w:t>
      </w:r>
      <w:r w:rsidR="00167AD6">
        <w:rPr>
          <w:rFonts w:ascii="Arial" w:hAnsi="Arial" w:cs="Arial"/>
          <w:sz w:val="20"/>
          <w:szCs w:val="20"/>
        </w:rPr>
        <w:t>v</w:t>
      </w:r>
      <w:r w:rsidRPr="000950FE">
        <w:rPr>
          <w:rFonts w:ascii="Arial" w:hAnsi="Arial" w:cs="Arial"/>
          <w:sz w:val="20"/>
          <w:szCs w:val="20"/>
        </w:rPr>
        <w:t>erde del triage (</w:t>
      </w:r>
      <w:r w:rsidR="00B03A0A" w:rsidRPr="000950FE">
        <w:rPr>
          <w:rFonts w:ascii="Arial" w:hAnsi="Arial" w:cs="Arial"/>
          <w:sz w:val="20"/>
          <w:szCs w:val="20"/>
        </w:rPr>
        <w:t>urgenza minore</w:t>
      </w:r>
      <w:r w:rsidRPr="000950FE">
        <w:rPr>
          <w:rFonts w:ascii="Arial" w:hAnsi="Arial" w:cs="Arial"/>
          <w:sz w:val="20"/>
          <w:szCs w:val="20"/>
        </w:rPr>
        <w:t xml:space="preserve">) </w:t>
      </w:r>
      <w:r w:rsidR="00E335D0" w:rsidRPr="000950FE">
        <w:rPr>
          <w:rFonts w:ascii="Arial" w:hAnsi="Arial" w:cs="Arial"/>
          <w:sz w:val="20"/>
          <w:szCs w:val="20"/>
        </w:rPr>
        <w:t xml:space="preserve">diminuisce </w:t>
      </w:r>
      <w:r w:rsidRPr="000950FE">
        <w:rPr>
          <w:rFonts w:ascii="Arial" w:hAnsi="Arial" w:cs="Arial"/>
          <w:sz w:val="20"/>
          <w:szCs w:val="20"/>
        </w:rPr>
        <w:t xml:space="preserve">dal 76,2% nel 2017 </w:t>
      </w:r>
      <w:r w:rsidR="00E335D0" w:rsidRPr="000950FE">
        <w:rPr>
          <w:rFonts w:ascii="Arial" w:hAnsi="Arial" w:cs="Arial"/>
          <w:sz w:val="20"/>
          <w:szCs w:val="20"/>
        </w:rPr>
        <w:t>a</w:t>
      </w:r>
      <w:r w:rsidR="00F651B1" w:rsidRPr="000950FE">
        <w:rPr>
          <w:rFonts w:ascii="Arial" w:hAnsi="Arial" w:cs="Arial"/>
          <w:sz w:val="20"/>
          <w:szCs w:val="20"/>
        </w:rPr>
        <w:t>l 60,3%</w:t>
      </w:r>
      <w:r w:rsidRPr="000950FE">
        <w:rPr>
          <w:rFonts w:ascii="Arial" w:hAnsi="Arial" w:cs="Arial"/>
          <w:sz w:val="20"/>
          <w:szCs w:val="20"/>
        </w:rPr>
        <w:t xml:space="preserve"> nel 2021, mentre quell</w:t>
      </w:r>
      <w:r w:rsidR="001F3420">
        <w:rPr>
          <w:rFonts w:ascii="Arial" w:hAnsi="Arial" w:cs="Arial"/>
          <w:sz w:val="20"/>
          <w:szCs w:val="20"/>
        </w:rPr>
        <w:t>a</w:t>
      </w:r>
      <w:r w:rsidRPr="000950FE">
        <w:rPr>
          <w:rFonts w:ascii="Arial" w:hAnsi="Arial" w:cs="Arial"/>
          <w:sz w:val="20"/>
          <w:szCs w:val="20"/>
        </w:rPr>
        <w:t xml:space="preserve"> con codice </w:t>
      </w:r>
      <w:r w:rsidR="00167AD6">
        <w:rPr>
          <w:rFonts w:ascii="Arial" w:hAnsi="Arial" w:cs="Arial"/>
          <w:sz w:val="20"/>
          <w:szCs w:val="20"/>
        </w:rPr>
        <w:t>g</w:t>
      </w:r>
      <w:r w:rsidRPr="000950FE">
        <w:rPr>
          <w:rFonts w:ascii="Arial" w:hAnsi="Arial" w:cs="Arial"/>
          <w:sz w:val="20"/>
          <w:szCs w:val="20"/>
        </w:rPr>
        <w:t>iallo (</w:t>
      </w:r>
      <w:r w:rsidR="00B03A0A" w:rsidRPr="000950FE">
        <w:rPr>
          <w:rFonts w:ascii="Arial" w:hAnsi="Arial" w:cs="Arial"/>
          <w:sz w:val="20"/>
          <w:szCs w:val="20"/>
        </w:rPr>
        <w:t>urgenza e urgenza differibile</w:t>
      </w:r>
      <w:r w:rsidRPr="000950FE">
        <w:rPr>
          <w:rFonts w:ascii="Arial" w:hAnsi="Arial" w:cs="Arial"/>
          <w:sz w:val="20"/>
          <w:szCs w:val="20"/>
        </w:rPr>
        <w:t>)</w:t>
      </w:r>
      <w:r w:rsidR="00F651B1" w:rsidRPr="000950FE">
        <w:rPr>
          <w:rFonts w:ascii="Arial" w:hAnsi="Arial" w:cs="Arial"/>
          <w:sz w:val="20"/>
          <w:szCs w:val="20"/>
        </w:rPr>
        <w:t xml:space="preserve"> sale </w:t>
      </w:r>
      <w:r w:rsidRPr="000950FE">
        <w:rPr>
          <w:rFonts w:ascii="Arial" w:hAnsi="Arial" w:cs="Arial"/>
          <w:sz w:val="20"/>
          <w:szCs w:val="20"/>
        </w:rPr>
        <w:t xml:space="preserve">dal 12,8% </w:t>
      </w:r>
      <w:r w:rsidR="00F651B1" w:rsidRPr="000950FE">
        <w:rPr>
          <w:rFonts w:ascii="Arial" w:hAnsi="Arial" w:cs="Arial"/>
          <w:sz w:val="20"/>
          <w:szCs w:val="20"/>
        </w:rPr>
        <w:t>al 27,7%</w:t>
      </w:r>
      <w:r w:rsidR="00231905" w:rsidRPr="000950FE">
        <w:rPr>
          <w:rFonts w:ascii="Arial" w:hAnsi="Arial" w:cs="Arial"/>
          <w:sz w:val="20"/>
          <w:szCs w:val="20"/>
        </w:rPr>
        <w:t>.</w:t>
      </w:r>
      <w:r w:rsidR="00A0225E" w:rsidRPr="000950FE">
        <w:rPr>
          <w:rFonts w:ascii="Arial" w:hAnsi="Arial" w:cs="Arial"/>
          <w:sz w:val="20"/>
          <w:szCs w:val="20"/>
        </w:rPr>
        <w:t xml:space="preserve"> </w:t>
      </w:r>
    </w:p>
    <w:p w14:paraId="3F5CBC0E" w14:textId="0F80F3CA" w:rsidR="003A6727" w:rsidRDefault="00510B28" w:rsidP="008E72CB">
      <w:pPr>
        <w:pStyle w:val="Paragrafoelenco"/>
        <w:widowControl w:val="0"/>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Gli accessi in PS con indicazione di violenza presentano un’elevata variabilità a livello regionale per entrambi i generi. </w:t>
      </w:r>
      <w:r w:rsidR="0030795C" w:rsidRPr="000950FE">
        <w:rPr>
          <w:rFonts w:ascii="Arial" w:hAnsi="Arial" w:cs="Arial"/>
          <w:sz w:val="20"/>
          <w:szCs w:val="20"/>
        </w:rPr>
        <w:t>N</w:t>
      </w:r>
      <w:r w:rsidRPr="000950FE">
        <w:rPr>
          <w:rFonts w:ascii="Arial" w:hAnsi="Arial" w:cs="Arial"/>
          <w:sz w:val="20"/>
          <w:szCs w:val="20"/>
        </w:rPr>
        <w:t>el periodo pre</w:t>
      </w:r>
      <w:r w:rsidR="00BE7E82" w:rsidRPr="000950FE">
        <w:rPr>
          <w:rFonts w:ascii="Arial" w:hAnsi="Arial" w:cs="Arial"/>
          <w:sz w:val="20"/>
          <w:szCs w:val="20"/>
        </w:rPr>
        <w:t xml:space="preserve">cedente la </w:t>
      </w:r>
      <w:r w:rsidRPr="000950FE">
        <w:rPr>
          <w:rFonts w:ascii="Arial" w:hAnsi="Arial" w:cs="Arial"/>
          <w:sz w:val="20"/>
          <w:szCs w:val="20"/>
        </w:rPr>
        <w:t xml:space="preserve">pandemia l’incidenza per 10.000 accessi totali varia </w:t>
      </w:r>
      <w:r w:rsidR="0030795C" w:rsidRPr="000950FE">
        <w:rPr>
          <w:rFonts w:ascii="Arial" w:hAnsi="Arial" w:cs="Arial"/>
          <w:sz w:val="20"/>
          <w:szCs w:val="20"/>
        </w:rPr>
        <w:t xml:space="preserve">per le donne </w:t>
      </w:r>
      <w:r w:rsidRPr="000950FE">
        <w:rPr>
          <w:rFonts w:ascii="Arial" w:hAnsi="Arial" w:cs="Arial"/>
          <w:sz w:val="20"/>
          <w:szCs w:val="20"/>
        </w:rPr>
        <w:t>da 3</w:t>
      </w:r>
      <w:r w:rsidR="0030795C" w:rsidRPr="000950FE">
        <w:rPr>
          <w:rFonts w:ascii="Arial" w:hAnsi="Arial" w:cs="Arial"/>
          <w:sz w:val="20"/>
          <w:szCs w:val="20"/>
        </w:rPr>
        <w:t>,0</w:t>
      </w:r>
      <w:r w:rsidRPr="000950FE">
        <w:rPr>
          <w:rFonts w:ascii="Arial" w:hAnsi="Arial" w:cs="Arial"/>
          <w:sz w:val="20"/>
          <w:szCs w:val="20"/>
        </w:rPr>
        <w:t xml:space="preserve"> in Molise a 23,3 in </w:t>
      </w:r>
      <w:r w:rsidR="0030795C" w:rsidRPr="000950FE">
        <w:rPr>
          <w:rFonts w:ascii="Arial" w:hAnsi="Arial" w:cs="Arial"/>
          <w:sz w:val="20"/>
          <w:szCs w:val="20"/>
        </w:rPr>
        <w:t>Liguria;</w:t>
      </w:r>
      <w:r w:rsidRPr="000950FE">
        <w:rPr>
          <w:rFonts w:ascii="Arial" w:hAnsi="Arial" w:cs="Arial"/>
          <w:sz w:val="20"/>
          <w:szCs w:val="20"/>
        </w:rPr>
        <w:t xml:space="preserve"> nel periodo post pandemia da 2,6 in Molise a 27,6 in Abruzzo.</w:t>
      </w:r>
      <w:r w:rsidR="003A6727">
        <w:rPr>
          <w:rFonts w:ascii="Arial" w:hAnsi="Arial" w:cs="Arial"/>
          <w:sz w:val="20"/>
          <w:szCs w:val="20"/>
        </w:rPr>
        <w:br w:type="page"/>
      </w:r>
    </w:p>
    <w:p w14:paraId="4A5655AB" w14:textId="07314D3E" w:rsidR="00662543" w:rsidRPr="00547867" w:rsidRDefault="004C6007" w:rsidP="00F03B47">
      <w:pPr>
        <w:pStyle w:val="Paragrafoelenco"/>
        <w:widowControl w:val="0"/>
        <w:numPr>
          <w:ilvl w:val="0"/>
          <w:numId w:val="6"/>
        </w:numPr>
        <w:spacing w:after="100" w:line="240" w:lineRule="auto"/>
        <w:ind w:left="346" w:hanging="335"/>
        <w:contextualSpacing w:val="0"/>
        <w:jc w:val="both"/>
        <w:rPr>
          <w:rFonts w:ascii="Arial" w:hAnsi="Arial" w:cs="Arial"/>
          <w:sz w:val="20"/>
          <w:szCs w:val="20"/>
        </w:rPr>
      </w:pPr>
      <w:r w:rsidRPr="00547867">
        <w:rPr>
          <w:rFonts w:ascii="Arial" w:hAnsi="Arial" w:cs="Arial"/>
          <w:sz w:val="20"/>
          <w:szCs w:val="20"/>
        </w:rPr>
        <w:lastRenderedPageBreak/>
        <w:t>Nel 2021</w:t>
      </w:r>
      <w:r w:rsidR="005E7FA4" w:rsidRPr="00547867">
        <w:rPr>
          <w:rFonts w:ascii="Arial" w:hAnsi="Arial" w:cs="Arial"/>
          <w:sz w:val="20"/>
          <w:szCs w:val="20"/>
        </w:rPr>
        <w:t>,</w:t>
      </w:r>
      <w:r w:rsidRPr="00547867">
        <w:rPr>
          <w:rFonts w:ascii="Arial" w:hAnsi="Arial" w:cs="Arial"/>
          <w:sz w:val="20"/>
          <w:szCs w:val="20"/>
        </w:rPr>
        <w:t xml:space="preserve"> sono state 1.083 le donne ricoverate in ospedale in conseguenza della violenza per un totale di 1.171 </w:t>
      </w:r>
      <w:r w:rsidR="009D0AF6" w:rsidRPr="00547867">
        <w:rPr>
          <w:rFonts w:ascii="Arial" w:hAnsi="Arial" w:cs="Arial"/>
          <w:sz w:val="20"/>
          <w:szCs w:val="20"/>
        </w:rPr>
        <w:t xml:space="preserve">ricoveri nell’anno. </w:t>
      </w:r>
      <w:r w:rsidRPr="00547867">
        <w:rPr>
          <w:rFonts w:ascii="Arial" w:hAnsi="Arial" w:cs="Arial"/>
          <w:sz w:val="20"/>
          <w:szCs w:val="20"/>
        </w:rPr>
        <w:t xml:space="preserve">Dopo una sensibile diminuzione di questi ricoveri </w:t>
      </w:r>
      <w:r w:rsidR="009D0AF6" w:rsidRPr="00547867">
        <w:rPr>
          <w:rFonts w:ascii="Arial" w:hAnsi="Arial" w:cs="Arial"/>
          <w:sz w:val="20"/>
          <w:szCs w:val="20"/>
        </w:rPr>
        <w:t>nel 2020</w:t>
      </w:r>
      <w:r w:rsidRPr="00547867">
        <w:rPr>
          <w:rFonts w:ascii="Arial" w:hAnsi="Arial" w:cs="Arial"/>
          <w:sz w:val="20"/>
          <w:szCs w:val="20"/>
        </w:rPr>
        <w:t xml:space="preserve"> (-29,9% rispetto al 2019) per </w:t>
      </w:r>
      <w:r w:rsidR="009D0AF6" w:rsidRPr="00547867">
        <w:rPr>
          <w:rFonts w:ascii="Arial" w:hAnsi="Arial" w:cs="Arial"/>
          <w:sz w:val="20"/>
          <w:szCs w:val="20"/>
        </w:rPr>
        <w:t xml:space="preserve">le </w:t>
      </w:r>
      <w:r w:rsidRPr="00547867">
        <w:rPr>
          <w:rFonts w:ascii="Arial" w:hAnsi="Arial" w:cs="Arial"/>
          <w:sz w:val="20"/>
          <w:szCs w:val="20"/>
        </w:rPr>
        <w:t>elevate difficoltà di accesso alle strutture ospedaliere</w:t>
      </w:r>
      <w:r w:rsidR="009D0AF6" w:rsidRPr="00547867">
        <w:rPr>
          <w:rFonts w:ascii="Arial" w:hAnsi="Arial" w:cs="Arial"/>
          <w:sz w:val="20"/>
          <w:szCs w:val="20"/>
        </w:rPr>
        <w:t xml:space="preserve"> durante l’emergenza sanitaria</w:t>
      </w:r>
      <w:r w:rsidRPr="00547867">
        <w:rPr>
          <w:rFonts w:ascii="Arial" w:hAnsi="Arial" w:cs="Arial"/>
          <w:sz w:val="20"/>
          <w:szCs w:val="20"/>
        </w:rPr>
        <w:t xml:space="preserve">, nel 2021 il recupero è stato più consistente rispetto al totale dei ricoveri ordinari (+12,4% </w:t>
      </w:r>
      <w:r w:rsidR="00A1184E">
        <w:rPr>
          <w:rFonts w:ascii="Arial" w:hAnsi="Arial" w:cs="Arial"/>
          <w:sz w:val="20"/>
          <w:szCs w:val="20"/>
        </w:rPr>
        <w:t>contro</w:t>
      </w:r>
      <w:r w:rsidRPr="00547867">
        <w:rPr>
          <w:rFonts w:ascii="Arial" w:hAnsi="Arial" w:cs="Arial"/>
          <w:sz w:val="20"/>
          <w:szCs w:val="20"/>
        </w:rPr>
        <w:t xml:space="preserve"> +5,6% rispetto al 2020).</w:t>
      </w:r>
      <w:r w:rsidR="008E72CB" w:rsidRPr="00547867">
        <w:rPr>
          <w:rFonts w:ascii="Arial" w:hAnsi="Arial" w:cs="Arial"/>
          <w:sz w:val="20"/>
          <w:szCs w:val="20"/>
        </w:rPr>
        <w:t xml:space="preserve"> Per gli uomini i ricoveri sono più frequenti (3.197 uomini per un totale di 3.459 ricoveri) e il tasso raggiunge l’1,20 per 10.000 uomini, contro lo 0,39 del tasso femminile. Differiscono tuttavia le motivazioni della violenza</w:t>
      </w:r>
      <w:r w:rsidR="00A1184E">
        <w:rPr>
          <w:rFonts w:ascii="Arial" w:hAnsi="Arial" w:cs="Arial"/>
          <w:sz w:val="20"/>
          <w:szCs w:val="20"/>
        </w:rPr>
        <w:t>:</w:t>
      </w:r>
      <w:r w:rsidR="008E72CB" w:rsidRPr="00547867">
        <w:rPr>
          <w:rFonts w:ascii="Arial" w:hAnsi="Arial" w:cs="Arial"/>
          <w:sz w:val="20"/>
          <w:szCs w:val="20"/>
        </w:rPr>
        <w:t xml:space="preserve"> per le donne </w:t>
      </w:r>
      <w:r w:rsidR="00875CAE" w:rsidRPr="00547867">
        <w:rPr>
          <w:rFonts w:ascii="Arial" w:hAnsi="Arial" w:cs="Arial"/>
          <w:sz w:val="20"/>
          <w:szCs w:val="20"/>
        </w:rPr>
        <w:t xml:space="preserve">sono più frequenti rispetto agli uomini </w:t>
      </w:r>
      <w:r w:rsidR="008E72CB" w:rsidRPr="00547867">
        <w:rPr>
          <w:rFonts w:ascii="Arial" w:hAnsi="Arial" w:cs="Arial"/>
          <w:sz w:val="20"/>
          <w:szCs w:val="20"/>
        </w:rPr>
        <w:t xml:space="preserve">il maltrattamento e le violenze </w:t>
      </w:r>
      <w:r w:rsidR="00875CAE" w:rsidRPr="00547867">
        <w:rPr>
          <w:rFonts w:ascii="Arial" w:hAnsi="Arial" w:cs="Arial"/>
          <w:sz w:val="20"/>
          <w:szCs w:val="20"/>
        </w:rPr>
        <w:t>all’interno</w:t>
      </w:r>
      <w:r w:rsidR="008E72CB" w:rsidRPr="00547867">
        <w:rPr>
          <w:rFonts w:ascii="Arial" w:hAnsi="Arial" w:cs="Arial"/>
          <w:sz w:val="20"/>
          <w:szCs w:val="20"/>
        </w:rPr>
        <w:t xml:space="preserve"> </w:t>
      </w:r>
      <w:r w:rsidR="00875CAE" w:rsidRPr="00547867">
        <w:rPr>
          <w:rFonts w:ascii="Arial" w:hAnsi="Arial" w:cs="Arial"/>
          <w:sz w:val="20"/>
          <w:szCs w:val="20"/>
        </w:rPr>
        <w:t>de</w:t>
      </w:r>
      <w:r w:rsidR="008E72CB" w:rsidRPr="00547867">
        <w:rPr>
          <w:rFonts w:ascii="Arial" w:hAnsi="Arial" w:cs="Arial"/>
          <w:sz w:val="20"/>
          <w:szCs w:val="20"/>
        </w:rPr>
        <w:t xml:space="preserve">lla coppia e </w:t>
      </w:r>
      <w:r w:rsidR="00875CAE" w:rsidRPr="00547867">
        <w:rPr>
          <w:rFonts w:ascii="Arial" w:hAnsi="Arial" w:cs="Arial"/>
          <w:sz w:val="20"/>
          <w:szCs w:val="20"/>
        </w:rPr>
        <w:t>della famiglia, per gli uomini</w:t>
      </w:r>
      <w:r w:rsidR="008E72CB" w:rsidRPr="00547867">
        <w:rPr>
          <w:rFonts w:ascii="Arial" w:hAnsi="Arial" w:cs="Arial"/>
          <w:sz w:val="20"/>
          <w:szCs w:val="20"/>
        </w:rPr>
        <w:t xml:space="preserve"> sono più frequenti le lesioni inflitte da altre persone</w:t>
      </w:r>
      <w:r w:rsidR="00547867" w:rsidRPr="00547867">
        <w:rPr>
          <w:rFonts w:ascii="Arial" w:hAnsi="Arial" w:cs="Arial"/>
          <w:sz w:val="20"/>
          <w:szCs w:val="20"/>
        </w:rPr>
        <w:t xml:space="preserve">, analogamente a ciò che accade </w:t>
      </w:r>
      <w:r w:rsidR="008E72CB" w:rsidRPr="00547867">
        <w:rPr>
          <w:rFonts w:ascii="Arial" w:hAnsi="Arial" w:cs="Arial"/>
          <w:sz w:val="20"/>
          <w:szCs w:val="20"/>
        </w:rPr>
        <w:t>per gli omicidi.</w:t>
      </w:r>
    </w:p>
    <w:p w14:paraId="6D215CE8" w14:textId="7430E502" w:rsidR="00006B15" w:rsidRPr="000950FE" w:rsidRDefault="00121F1C" w:rsidP="00F03B47">
      <w:pPr>
        <w:pStyle w:val="Paragrafoelenco"/>
        <w:widowControl w:val="0"/>
        <w:numPr>
          <w:ilvl w:val="0"/>
          <w:numId w:val="6"/>
        </w:numPr>
        <w:spacing w:after="100" w:line="240" w:lineRule="auto"/>
        <w:ind w:left="346" w:hanging="335"/>
        <w:contextualSpacing w:val="0"/>
        <w:jc w:val="both"/>
        <w:rPr>
          <w:rFonts w:ascii="Arial" w:hAnsi="Arial" w:cs="Arial"/>
          <w:sz w:val="20"/>
          <w:szCs w:val="20"/>
        </w:rPr>
      </w:pPr>
      <w:r w:rsidRPr="000950FE">
        <w:rPr>
          <w:rFonts w:ascii="Arial" w:hAnsi="Arial" w:cs="Arial"/>
          <w:sz w:val="20"/>
          <w:szCs w:val="20"/>
        </w:rPr>
        <w:t>I tass</w:t>
      </w:r>
      <w:r w:rsidR="00465242" w:rsidRPr="000950FE">
        <w:rPr>
          <w:rFonts w:ascii="Arial" w:hAnsi="Arial" w:cs="Arial"/>
          <w:sz w:val="20"/>
          <w:szCs w:val="20"/>
        </w:rPr>
        <w:t>i</w:t>
      </w:r>
      <w:r w:rsidRPr="000950FE">
        <w:rPr>
          <w:rFonts w:ascii="Arial" w:hAnsi="Arial" w:cs="Arial"/>
          <w:sz w:val="20"/>
          <w:szCs w:val="20"/>
        </w:rPr>
        <w:t xml:space="preserve"> di ricovero di donne con indicazione di violenza</w:t>
      </w:r>
      <w:r w:rsidR="009D0AF6" w:rsidRPr="000950FE">
        <w:rPr>
          <w:rFonts w:ascii="Arial" w:hAnsi="Arial" w:cs="Arial"/>
          <w:sz w:val="20"/>
          <w:szCs w:val="20"/>
        </w:rPr>
        <w:t xml:space="preserve"> </w:t>
      </w:r>
      <w:r w:rsidR="00465242" w:rsidRPr="000950FE">
        <w:rPr>
          <w:rFonts w:ascii="Arial" w:hAnsi="Arial" w:cs="Arial"/>
          <w:sz w:val="20"/>
          <w:szCs w:val="20"/>
        </w:rPr>
        <w:t>(0,39 per 10.000 nel 2021)</w:t>
      </w:r>
      <w:r w:rsidR="009D0AF6" w:rsidRPr="000950FE">
        <w:rPr>
          <w:rFonts w:ascii="Arial" w:hAnsi="Arial" w:cs="Arial"/>
          <w:sz w:val="20"/>
          <w:szCs w:val="20"/>
        </w:rPr>
        <w:t xml:space="preserve"> </w:t>
      </w:r>
      <w:r w:rsidR="00465242" w:rsidRPr="000950FE">
        <w:rPr>
          <w:rFonts w:ascii="Arial" w:hAnsi="Arial" w:cs="Arial"/>
          <w:sz w:val="20"/>
          <w:szCs w:val="20"/>
        </w:rPr>
        <w:t>sono</w:t>
      </w:r>
      <w:r w:rsidRPr="000950FE">
        <w:rPr>
          <w:rFonts w:ascii="Arial" w:hAnsi="Arial" w:cs="Arial"/>
          <w:sz w:val="20"/>
          <w:szCs w:val="20"/>
        </w:rPr>
        <w:t xml:space="preserve"> più elevat</w:t>
      </w:r>
      <w:r w:rsidR="00465242" w:rsidRPr="000950FE">
        <w:rPr>
          <w:rFonts w:ascii="Arial" w:hAnsi="Arial" w:cs="Arial"/>
          <w:sz w:val="20"/>
          <w:szCs w:val="20"/>
        </w:rPr>
        <w:t>i</w:t>
      </w:r>
      <w:r w:rsidRPr="000950FE">
        <w:rPr>
          <w:rFonts w:ascii="Arial" w:hAnsi="Arial" w:cs="Arial"/>
          <w:sz w:val="20"/>
          <w:szCs w:val="20"/>
        </w:rPr>
        <w:t xml:space="preserve"> per le minorenni (0,66 nel 2021, anno in cui il tasso supera quello delle giovani di 18-34 anni pari a 0,57), </w:t>
      </w:r>
      <w:r w:rsidR="000504F5" w:rsidRPr="000950FE">
        <w:rPr>
          <w:rFonts w:ascii="Arial" w:hAnsi="Arial" w:cs="Arial"/>
          <w:sz w:val="20"/>
          <w:szCs w:val="20"/>
        </w:rPr>
        <w:t xml:space="preserve">sono </w:t>
      </w:r>
      <w:r w:rsidRPr="000950FE">
        <w:rPr>
          <w:rFonts w:ascii="Arial" w:hAnsi="Arial" w:cs="Arial"/>
          <w:sz w:val="20"/>
          <w:szCs w:val="20"/>
        </w:rPr>
        <w:t>prossimi alla media per le donne adulte di 35-49 ann</w:t>
      </w:r>
      <w:r w:rsidR="000504F5" w:rsidRPr="000950FE">
        <w:rPr>
          <w:rFonts w:ascii="Arial" w:hAnsi="Arial" w:cs="Arial"/>
          <w:sz w:val="20"/>
          <w:szCs w:val="20"/>
        </w:rPr>
        <w:t>i e</w:t>
      </w:r>
      <w:r w:rsidRPr="000950FE">
        <w:rPr>
          <w:rFonts w:ascii="Arial" w:hAnsi="Arial" w:cs="Arial"/>
          <w:sz w:val="20"/>
          <w:szCs w:val="20"/>
        </w:rPr>
        <w:t xml:space="preserve"> più bassi dopo i 50 anni di età.</w:t>
      </w:r>
    </w:p>
    <w:p w14:paraId="601F1CB4" w14:textId="096D0B29" w:rsidR="00CD432D" w:rsidRPr="000950FE" w:rsidRDefault="00CD432D" w:rsidP="00CD432D">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I tassi di ricovero in regime ordinario con indicazione di violenza delle donne straniere sono oltre tre volte più elevati di quelli delle italiane (0,99 per 10.000 residenti </w:t>
      </w:r>
      <w:r w:rsidR="00A1184E">
        <w:rPr>
          <w:rFonts w:ascii="Arial" w:hAnsi="Arial" w:cs="Arial"/>
          <w:sz w:val="20"/>
          <w:szCs w:val="20"/>
        </w:rPr>
        <w:t>contro</w:t>
      </w:r>
      <w:r w:rsidRPr="000950FE">
        <w:rPr>
          <w:rFonts w:ascii="Arial" w:hAnsi="Arial" w:cs="Arial"/>
          <w:sz w:val="20"/>
          <w:szCs w:val="20"/>
        </w:rPr>
        <w:t xml:space="preserve"> 0,29) nel 2020-2021. Il divario sale a quattro volte tra le giovani di 18-34 anni.</w:t>
      </w:r>
    </w:p>
    <w:p w14:paraId="33F61DAD" w14:textId="32765525" w:rsidR="007329AD" w:rsidRPr="000950FE" w:rsidRDefault="00121F1C" w:rsidP="00F03B47">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0950FE">
        <w:rPr>
          <w:rFonts w:ascii="Arial" w:hAnsi="Arial" w:cs="Arial"/>
          <w:sz w:val="20"/>
          <w:szCs w:val="20"/>
        </w:rPr>
        <w:t>I ricoveri di donne con indicazione di violenza presentano una spiccata variabilità regionale, ulteriormente aumentata nel biennio della pandemia 2020-2021, in conseguenza di una riduzione più forte al Sud: il tasso di ricovero per 10.000 donne residenti è passato da 0,37 nel triennio 2017-2019 a 0,23 nel 2020-2021 (-38,6%), rispetto a una diminuzione a livello nazionale da 0,46 a 0,35 (-25,5%).</w:t>
      </w:r>
    </w:p>
    <w:p w14:paraId="5D6657AD" w14:textId="00AD43F6" w:rsidR="00A41BDC" w:rsidRPr="000950FE" w:rsidRDefault="00875CAE" w:rsidP="005503FD">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8E6D92">
        <w:rPr>
          <w:rFonts w:ascii="Arial" w:hAnsi="Arial" w:cs="Arial"/>
          <w:sz w:val="20"/>
          <w:szCs w:val="20"/>
        </w:rPr>
        <w:t>L’informazione su</w:t>
      </w:r>
      <w:r w:rsidR="008E6D92" w:rsidRPr="008E6D92">
        <w:rPr>
          <w:rFonts w:ascii="Arial" w:hAnsi="Arial" w:cs="Arial"/>
          <w:sz w:val="20"/>
          <w:szCs w:val="20"/>
        </w:rPr>
        <w:t>ll’esecutore del</w:t>
      </w:r>
      <w:r w:rsidRPr="008E6D92">
        <w:rPr>
          <w:rFonts w:ascii="Arial" w:hAnsi="Arial" w:cs="Arial"/>
          <w:sz w:val="20"/>
          <w:szCs w:val="20"/>
        </w:rPr>
        <w:t xml:space="preserve">la violenza è ancora poco </w:t>
      </w:r>
      <w:r w:rsidR="00A86FC6">
        <w:rPr>
          <w:rFonts w:ascii="Arial" w:hAnsi="Arial" w:cs="Arial"/>
          <w:sz w:val="20"/>
          <w:szCs w:val="20"/>
        </w:rPr>
        <w:t>presente nei dati raccolti</w:t>
      </w:r>
      <w:r w:rsidRPr="008E6D92">
        <w:rPr>
          <w:rFonts w:ascii="Arial" w:hAnsi="Arial" w:cs="Arial"/>
          <w:sz w:val="20"/>
          <w:szCs w:val="20"/>
        </w:rPr>
        <w:t xml:space="preserve"> (10,8% dei ricoveri femminili). </w:t>
      </w:r>
      <w:r w:rsidR="007B7150" w:rsidRPr="008E6D92">
        <w:rPr>
          <w:rFonts w:ascii="Arial" w:hAnsi="Arial" w:cs="Arial"/>
          <w:sz w:val="20"/>
          <w:szCs w:val="20"/>
        </w:rPr>
        <w:t>Nel biennio 2020-2021</w:t>
      </w:r>
      <w:r w:rsidRPr="008E6D92">
        <w:rPr>
          <w:rFonts w:ascii="Arial" w:hAnsi="Arial" w:cs="Arial"/>
          <w:sz w:val="20"/>
          <w:szCs w:val="20"/>
        </w:rPr>
        <w:t>, il padre o patrigno è l</w:t>
      </w:r>
      <w:r w:rsidR="005503FD" w:rsidRPr="008E6D92">
        <w:rPr>
          <w:rFonts w:ascii="Arial" w:hAnsi="Arial" w:cs="Arial"/>
          <w:sz w:val="20"/>
          <w:szCs w:val="20"/>
        </w:rPr>
        <w:t>’esecutore</w:t>
      </w:r>
      <w:r w:rsidR="009F0525" w:rsidRPr="008E6D92">
        <w:rPr>
          <w:rFonts w:ascii="Arial" w:hAnsi="Arial" w:cs="Arial"/>
          <w:sz w:val="20"/>
          <w:szCs w:val="20"/>
        </w:rPr>
        <w:t xml:space="preserve"> indicato ne</w:t>
      </w:r>
      <w:r w:rsidR="005503FD" w:rsidRPr="008E6D92">
        <w:rPr>
          <w:rFonts w:ascii="Arial" w:hAnsi="Arial" w:cs="Arial"/>
          <w:sz w:val="20"/>
          <w:szCs w:val="20"/>
        </w:rPr>
        <w:t>l 2</w:t>
      </w:r>
      <w:r w:rsidR="00E269A5" w:rsidRPr="008E6D92">
        <w:rPr>
          <w:rFonts w:ascii="Arial" w:hAnsi="Arial" w:cs="Arial"/>
          <w:sz w:val="20"/>
          <w:szCs w:val="20"/>
        </w:rPr>
        <w:t>,8</w:t>
      </w:r>
      <w:r w:rsidR="005503FD" w:rsidRPr="008E6D92">
        <w:rPr>
          <w:rFonts w:ascii="Arial" w:hAnsi="Arial" w:cs="Arial"/>
          <w:sz w:val="20"/>
          <w:szCs w:val="20"/>
        </w:rPr>
        <w:t>% dei casi (1</w:t>
      </w:r>
      <w:r w:rsidR="00E269A5" w:rsidRPr="008E6D92">
        <w:rPr>
          <w:rFonts w:ascii="Arial" w:hAnsi="Arial" w:cs="Arial"/>
          <w:sz w:val="20"/>
          <w:szCs w:val="20"/>
        </w:rPr>
        <w:t>,9</w:t>
      </w:r>
      <w:r w:rsidR="005503FD" w:rsidRPr="008E6D92">
        <w:rPr>
          <w:rFonts w:ascii="Arial" w:hAnsi="Arial" w:cs="Arial"/>
          <w:sz w:val="20"/>
          <w:szCs w:val="20"/>
        </w:rPr>
        <w:t>% nel periodo pre-pandemico)</w:t>
      </w:r>
      <w:r w:rsidRPr="008E6D92">
        <w:rPr>
          <w:rFonts w:ascii="Arial" w:hAnsi="Arial" w:cs="Arial"/>
          <w:sz w:val="20"/>
          <w:szCs w:val="20"/>
        </w:rPr>
        <w:t>, il</w:t>
      </w:r>
      <w:r w:rsidR="005503FD" w:rsidRPr="008E6D92">
        <w:rPr>
          <w:rFonts w:ascii="Arial" w:hAnsi="Arial" w:cs="Arial"/>
          <w:sz w:val="20"/>
          <w:szCs w:val="20"/>
        </w:rPr>
        <w:t xml:space="preserve"> partner</w:t>
      </w:r>
      <w:r w:rsidRPr="008E6D92">
        <w:rPr>
          <w:rFonts w:ascii="Arial" w:hAnsi="Arial" w:cs="Arial"/>
          <w:sz w:val="20"/>
          <w:szCs w:val="20"/>
        </w:rPr>
        <w:t xml:space="preserve"> o</w:t>
      </w:r>
      <w:r w:rsidR="005503FD" w:rsidRPr="008E6D92">
        <w:rPr>
          <w:rFonts w:ascii="Arial" w:hAnsi="Arial" w:cs="Arial"/>
          <w:sz w:val="20"/>
          <w:szCs w:val="20"/>
        </w:rPr>
        <w:t xml:space="preserve"> consorte </w:t>
      </w:r>
      <w:r w:rsidRPr="008E6D92">
        <w:rPr>
          <w:rFonts w:ascii="Arial" w:hAnsi="Arial" w:cs="Arial"/>
          <w:sz w:val="20"/>
          <w:szCs w:val="20"/>
        </w:rPr>
        <w:t>nel 2,2%. Considerando anche la tipologia “altri parenti”, l</w:t>
      </w:r>
      <w:r w:rsidR="005503FD" w:rsidRPr="008E6D92">
        <w:rPr>
          <w:rFonts w:ascii="Arial" w:hAnsi="Arial" w:cs="Arial"/>
          <w:sz w:val="20"/>
          <w:szCs w:val="20"/>
        </w:rPr>
        <w:t xml:space="preserve">’ambito familiare sale al </w:t>
      </w:r>
      <w:r w:rsidR="00E269A5" w:rsidRPr="008E6D92">
        <w:rPr>
          <w:rFonts w:ascii="Arial" w:hAnsi="Arial" w:cs="Arial"/>
          <w:sz w:val="20"/>
          <w:szCs w:val="20"/>
        </w:rPr>
        <w:t>5,2</w:t>
      </w:r>
      <w:r w:rsidR="005503FD" w:rsidRPr="008E6D92">
        <w:rPr>
          <w:rFonts w:ascii="Arial" w:hAnsi="Arial" w:cs="Arial"/>
          <w:sz w:val="20"/>
          <w:szCs w:val="20"/>
        </w:rPr>
        <w:t>% dei casi (4</w:t>
      </w:r>
      <w:r w:rsidR="00E269A5" w:rsidRPr="008E6D92">
        <w:rPr>
          <w:rFonts w:ascii="Arial" w:hAnsi="Arial" w:cs="Arial"/>
          <w:sz w:val="20"/>
          <w:szCs w:val="20"/>
        </w:rPr>
        <w:t>,1</w:t>
      </w:r>
      <w:r w:rsidR="005503FD" w:rsidRPr="008E6D92">
        <w:rPr>
          <w:rFonts w:ascii="Arial" w:hAnsi="Arial" w:cs="Arial"/>
          <w:sz w:val="20"/>
          <w:szCs w:val="20"/>
        </w:rPr>
        <w:t>% nel periodo pre-pandemico)</w:t>
      </w:r>
      <w:r w:rsidR="007B7150" w:rsidRPr="008E6D92">
        <w:rPr>
          <w:rFonts w:ascii="Arial" w:hAnsi="Arial" w:cs="Arial"/>
          <w:sz w:val="20"/>
          <w:szCs w:val="20"/>
        </w:rPr>
        <w:t>.</w:t>
      </w:r>
      <w:r w:rsidR="001F07B0" w:rsidRPr="008E6D92">
        <w:rPr>
          <w:rFonts w:ascii="Arial" w:hAnsi="Arial" w:cs="Arial"/>
          <w:sz w:val="20"/>
          <w:szCs w:val="20"/>
        </w:rPr>
        <w:t xml:space="preserve"> Ciò anche a causa della particolarità del periodo</w:t>
      </w:r>
      <w:r w:rsidR="00A1184E">
        <w:rPr>
          <w:rFonts w:ascii="Arial" w:hAnsi="Arial" w:cs="Arial"/>
          <w:sz w:val="20"/>
          <w:szCs w:val="20"/>
        </w:rPr>
        <w:t>:</w:t>
      </w:r>
      <w:r w:rsidR="001F07B0" w:rsidRPr="008E6D92">
        <w:rPr>
          <w:rFonts w:ascii="Arial" w:hAnsi="Arial" w:cs="Arial"/>
          <w:sz w:val="20"/>
          <w:szCs w:val="20"/>
        </w:rPr>
        <w:t xml:space="preserve"> le misure restrittive hanno</w:t>
      </w:r>
      <w:r w:rsidR="001F07B0" w:rsidRPr="000950FE">
        <w:rPr>
          <w:rFonts w:ascii="Arial" w:hAnsi="Arial" w:cs="Arial"/>
          <w:sz w:val="20"/>
          <w:szCs w:val="20"/>
        </w:rPr>
        <w:t xml:space="preserve"> ridotto infatti l’esposizione a rischio da parte di altri autori (</w:t>
      </w:r>
      <w:r w:rsidR="000504F5" w:rsidRPr="000950FE">
        <w:rPr>
          <w:rFonts w:ascii="Arial" w:hAnsi="Arial" w:cs="Arial"/>
          <w:sz w:val="20"/>
          <w:szCs w:val="20"/>
        </w:rPr>
        <w:t>le violenze “</w:t>
      </w:r>
      <w:r w:rsidR="00465242" w:rsidRPr="000950FE">
        <w:rPr>
          <w:rFonts w:ascii="Arial" w:hAnsi="Arial" w:cs="Arial"/>
          <w:sz w:val="20"/>
          <w:szCs w:val="20"/>
        </w:rPr>
        <w:t>da altra persona esterna alla famiglia</w:t>
      </w:r>
      <w:r w:rsidR="000504F5" w:rsidRPr="000950FE">
        <w:rPr>
          <w:rFonts w:ascii="Arial" w:hAnsi="Arial" w:cs="Arial"/>
          <w:sz w:val="20"/>
          <w:szCs w:val="20"/>
        </w:rPr>
        <w:t>”</w:t>
      </w:r>
      <w:r w:rsidR="00465242" w:rsidRPr="000950FE">
        <w:rPr>
          <w:rFonts w:ascii="Arial" w:hAnsi="Arial" w:cs="Arial"/>
          <w:sz w:val="20"/>
          <w:szCs w:val="20"/>
        </w:rPr>
        <w:t xml:space="preserve"> </w:t>
      </w:r>
      <w:r w:rsidR="000504F5" w:rsidRPr="000950FE">
        <w:rPr>
          <w:rFonts w:ascii="Arial" w:hAnsi="Arial" w:cs="Arial"/>
          <w:sz w:val="20"/>
          <w:szCs w:val="20"/>
        </w:rPr>
        <w:t xml:space="preserve">sono </w:t>
      </w:r>
      <w:r w:rsidR="00465242" w:rsidRPr="000950FE">
        <w:rPr>
          <w:rFonts w:ascii="Arial" w:hAnsi="Arial" w:cs="Arial"/>
          <w:sz w:val="20"/>
          <w:szCs w:val="20"/>
        </w:rPr>
        <w:t>passat</w:t>
      </w:r>
      <w:r w:rsidR="000504F5" w:rsidRPr="000950FE">
        <w:rPr>
          <w:rFonts w:ascii="Arial" w:hAnsi="Arial" w:cs="Arial"/>
          <w:sz w:val="20"/>
          <w:szCs w:val="20"/>
        </w:rPr>
        <w:t>e</w:t>
      </w:r>
      <w:r w:rsidR="00465242" w:rsidRPr="000950FE">
        <w:rPr>
          <w:rFonts w:ascii="Arial" w:hAnsi="Arial" w:cs="Arial"/>
          <w:sz w:val="20"/>
          <w:szCs w:val="20"/>
        </w:rPr>
        <w:t xml:space="preserve"> da 2</w:t>
      </w:r>
      <w:r w:rsidR="00E269A5" w:rsidRPr="000950FE">
        <w:rPr>
          <w:rFonts w:ascii="Arial" w:hAnsi="Arial" w:cs="Arial"/>
          <w:sz w:val="20"/>
          <w:szCs w:val="20"/>
        </w:rPr>
        <w:t>,7</w:t>
      </w:r>
      <w:r w:rsidR="00465242" w:rsidRPr="000950FE">
        <w:rPr>
          <w:rFonts w:ascii="Arial" w:hAnsi="Arial" w:cs="Arial"/>
          <w:sz w:val="20"/>
          <w:szCs w:val="20"/>
        </w:rPr>
        <w:t>% a 2</w:t>
      </w:r>
      <w:r w:rsidR="00E269A5" w:rsidRPr="000950FE">
        <w:rPr>
          <w:rFonts w:ascii="Arial" w:hAnsi="Arial" w:cs="Arial"/>
          <w:sz w:val="20"/>
          <w:szCs w:val="20"/>
        </w:rPr>
        <w:t>,3</w:t>
      </w:r>
      <w:r w:rsidR="00465242" w:rsidRPr="000950FE">
        <w:rPr>
          <w:rFonts w:ascii="Arial" w:hAnsi="Arial" w:cs="Arial"/>
          <w:sz w:val="20"/>
          <w:szCs w:val="20"/>
        </w:rPr>
        <w:t>%</w:t>
      </w:r>
      <w:r w:rsidR="001F07B0" w:rsidRPr="000950FE">
        <w:rPr>
          <w:rFonts w:ascii="Arial" w:hAnsi="Arial" w:cs="Arial"/>
          <w:sz w:val="20"/>
          <w:szCs w:val="20"/>
        </w:rPr>
        <w:t>)</w:t>
      </w:r>
      <w:r w:rsidR="00465242" w:rsidRPr="000950FE">
        <w:rPr>
          <w:rFonts w:ascii="Arial" w:hAnsi="Arial" w:cs="Arial"/>
          <w:sz w:val="20"/>
          <w:szCs w:val="20"/>
        </w:rPr>
        <w:t>.</w:t>
      </w:r>
    </w:p>
    <w:p w14:paraId="3A3E6B21" w14:textId="47F510CC" w:rsidR="00DC6BA7" w:rsidRPr="000950FE" w:rsidRDefault="00DC6BA7" w:rsidP="00F03B47">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La dimissione volontaria caratterizza fortemente i ricoveri con indicazione di violenza (8,3% </w:t>
      </w:r>
      <w:r w:rsidR="00A1184E">
        <w:rPr>
          <w:rFonts w:ascii="Arial" w:hAnsi="Arial" w:cs="Arial"/>
          <w:sz w:val="20"/>
          <w:szCs w:val="20"/>
        </w:rPr>
        <w:t>contro</w:t>
      </w:r>
      <w:r w:rsidRPr="000950FE">
        <w:rPr>
          <w:rFonts w:ascii="Arial" w:hAnsi="Arial" w:cs="Arial"/>
          <w:sz w:val="20"/>
          <w:szCs w:val="20"/>
        </w:rPr>
        <w:t xml:space="preserve"> 1,9% nel complesso dei ricoveri ordinari</w:t>
      </w:r>
      <w:r w:rsidR="00C8425A" w:rsidRPr="000950FE">
        <w:rPr>
          <w:rFonts w:ascii="Arial" w:hAnsi="Arial" w:cs="Arial"/>
          <w:sz w:val="20"/>
          <w:szCs w:val="20"/>
        </w:rPr>
        <w:t xml:space="preserve">) ed </w:t>
      </w:r>
      <w:r w:rsidRPr="000950FE">
        <w:rPr>
          <w:rFonts w:ascii="Arial" w:hAnsi="Arial" w:cs="Arial"/>
          <w:sz w:val="20"/>
          <w:szCs w:val="20"/>
        </w:rPr>
        <w:t xml:space="preserve">è più frequente nelle donne straniere (12,2% </w:t>
      </w:r>
      <w:r w:rsidR="00A1184E">
        <w:rPr>
          <w:rFonts w:ascii="Arial" w:hAnsi="Arial" w:cs="Arial"/>
          <w:sz w:val="20"/>
          <w:szCs w:val="20"/>
        </w:rPr>
        <w:t>contro</w:t>
      </w:r>
      <w:r w:rsidRPr="000950FE">
        <w:rPr>
          <w:rFonts w:ascii="Arial" w:hAnsi="Arial" w:cs="Arial"/>
          <w:sz w:val="20"/>
          <w:szCs w:val="20"/>
        </w:rPr>
        <w:t xml:space="preserve"> 6,8% nelle italiane</w:t>
      </w:r>
      <w:r w:rsidR="00C8425A" w:rsidRPr="000950FE">
        <w:rPr>
          <w:rFonts w:ascii="Arial" w:hAnsi="Arial" w:cs="Arial"/>
          <w:sz w:val="20"/>
          <w:szCs w:val="20"/>
        </w:rPr>
        <w:t>).</w:t>
      </w:r>
    </w:p>
    <w:p w14:paraId="37E64E49" w14:textId="33AA9440" w:rsidR="00A41BDC" w:rsidRPr="000950FE" w:rsidRDefault="005B6DBD" w:rsidP="00F03B47">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0950FE">
        <w:rPr>
          <w:rFonts w:ascii="Arial" w:hAnsi="Arial" w:cs="Arial"/>
          <w:sz w:val="20"/>
          <w:szCs w:val="20"/>
        </w:rPr>
        <w:t xml:space="preserve">Le donne con ricoveri per violenza hanno più spesso ricoveri ripetuti. Considerando il quinquennio 2017-2021 sono state 6.211 le donne con almeno un ricovero con indicazione di violenza, per un totale di 8.645 ricoveri complessivi. </w:t>
      </w:r>
    </w:p>
    <w:p w14:paraId="333A8B24" w14:textId="252AB9B7" w:rsidR="00CD432D" w:rsidRPr="000950FE" w:rsidRDefault="00CD432D" w:rsidP="00CD432D">
      <w:pPr>
        <w:pStyle w:val="Paragrafoelenco"/>
        <w:widowControl w:val="0"/>
        <w:numPr>
          <w:ilvl w:val="0"/>
          <w:numId w:val="6"/>
        </w:numPr>
        <w:spacing w:before="100" w:beforeAutospacing="1" w:after="120" w:line="240" w:lineRule="auto"/>
        <w:ind w:left="346" w:hanging="335"/>
        <w:contextualSpacing w:val="0"/>
        <w:jc w:val="both"/>
        <w:rPr>
          <w:rFonts w:ascii="Arial" w:hAnsi="Arial" w:cs="Arial"/>
          <w:sz w:val="20"/>
          <w:szCs w:val="20"/>
        </w:rPr>
      </w:pPr>
      <w:r w:rsidRPr="000950FE">
        <w:rPr>
          <w:rFonts w:ascii="Arial" w:hAnsi="Arial" w:cs="Arial"/>
          <w:sz w:val="20"/>
          <w:szCs w:val="20"/>
        </w:rPr>
        <w:t>Nei cinque anni 2017-2021, sia per gli accessi in PS sia per i ricoveri ospedalieri, le diagnosi più frequentemente associate alla violenza sono relative a traumatismi e avvelenamenti (fratture, ferite, contusioni, ustioni e avvelenamenti) e a disturbi mentali (disturbi predominanti dell’emotività, alcun</w:t>
      </w:r>
      <w:r w:rsidR="0058344E">
        <w:rPr>
          <w:rFonts w:ascii="Arial" w:hAnsi="Arial" w:cs="Arial"/>
          <w:sz w:val="20"/>
          <w:szCs w:val="20"/>
        </w:rPr>
        <w:t>i</w:t>
      </w:r>
      <w:r w:rsidRPr="000950FE">
        <w:rPr>
          <w:rFonts w:ascii="Arial" w:hAnsi="Arial" w:cs="Arial"/>
          <w:sz w:val="20"/>
          <w:szCs w:val="20"/>
        </w:rPr>
        <w:t xml:space="preserve"> disturbi e reazioni dell’adattamento, abuso di cannabinoidi, abuso di droghe senza dipendenza, disturbi d’ansia, dissociativi e somatoformi). </w:t>
      </w:r>
    </w:p>
    <w:p w14:paraId="19561D97" w14:textId="77777777" w:rsidR="007E274D" w:rsidRPr="000950FE" w:rsidRDefault="007E274D" w:rsidP="007E274D">
      <w:pPr>
        <w:tabs>
          <w:tab w:val="left" w:pos="3740"/>
        </w:tabs>
        <w:rPr>
          <w:rFonts w:ascii="Arial" w:hAnsi="Arial" w:cs="Arial"/>
          <w:b/>
          <w:bCs/>
          <w:color w:val="44546A" w:themeColor="text2"/>
        </w:rPr>
      </w:pPr>
      <w:r w:rsidRPr="000950FE">
        <w:rPr>
          <w:rFonts w:ascii="Arial" w:hAnsi="Arial" w:cs="Arial"/>
          <w:b/>
          <w:bCs/>
          <w:color w:val="44546A" w:themeColor="text2"/>
        </w:rPr>
        <w:tab/>
      </w:r>
    </w:p>
    <w:p w14:paraId="257604C8" w14:textId="77777777" w:rsidR="003A6727" w:rsidRDefault="004A5041" w:rsidP="00672C01">
      <w:pPr>
        <w:tabs>
          <w:tab w:val="left" w:pos="3740"/>
        </w:tabs>
        <w:rPr>
          <w:rFonts w:ascii="Arial" w:hAnsi="Arial" w:cs="Arial"/>
        </w:rPr>
      </w:pPr>
      <w:r w:rsidRPr="000950FE">
        <w:rPr>
          <w:rFonts w:ascii="Arial" w:hAnsi="Arial" w:cs="Arial"/>
        </w:rPr>
        <w:br w:type="page"/>
      </w:r>
    </w:p>
    <w:p w14:paraId="651A2A6E" w14:textId="77777777" w:rsidR="002C6405" w:rsidRDefault="002C6405" w:rsidP="00672C01">
      <w:pPr>
        <w:tabs>
          <w:tab w:val="left" w:pos="3740"/>
        </w:tabs>
        <w:rPr>
          <w:rFonts w:ascii="Arial" w:hAnsi="Arial" w:cs="Arial"/>
          <w:b/>
          <w:bCs/>
          <w:color w:val="44546A" w:themeColor="text2"/>
        </w:rPr>
      </w:pPr>
    </w:p>
    <w:p w14:paraId="17B9DFE2" w14:textId="142185E4" w:rsidR="00672C01" w:rsidRPr="000950FE" w:rsidRDefault="00554C4C" w:rsidP="00672C01">
      <w:pPr>
        <w:tabs>
          <w:tab w:val="left" w:pos="3740"/>
        </w:tabs>
        <w:rPr>
          <w:color w:val="44546A" w:themeColor="text2"/>
        </w:rPr>
      </w:pPr>
      <w:r w:rsidRPr="000950FE">
        <w:rPr>
          <w:rFonts w:ascii="Arial" w:hAnsi="Arial" w:cs="Arial"/>
          <w:b/>
          <w:bCs/>
          <w:color w:val="44546A" w:themeColor="text2"/>
        </w:rPr>
        <w:t xml:space="preserve">Difficoltà di accesso per i ricoveri </w:t>
      </w:r>
      <w:r w:rsidR="00672C01" w:rsidRPr="000950FE">
        <w:rPr>
          <w:rFonts w:ascii="Arial" w:hAnsi="Arial" w:cs="Arial"/>
          <w:b/>
          <w:bCs/>
          <w:color w:val="44546A" w:themeColor="text2"/>
        </w:rPr>
        <w:t>per violenza durante l’emergenza sanitaria</w:t>
      </w:r>
    </w:p>
    <w:p w14:paraId="50CE9327" w14:textId="2EBA6DDF" w:rsidR="0093774C" w:rsidRPr="000950FE" w:rsidRDefault="0093774C" w:rsidP="0093774C">
      <w:pPr>
        <w:pStyle w:val="Default"/>
        <w:spacing w:after="120"/>
        <w:jc w:val="both"/>
        <w:rPr>
          <w:rFonts w:ascii="Arial" w:hAnsi="Arial" w:cs="Arial"/>
          <w:sz w:val="20"/>
          <w:szCs w:val="20"/>
        </w:rPr>
      </w:pPr>
      <w:r w:rsidRPr="000950FE">
        <w:rPr>
          <w:rFonts w:ascii="Arial" w:hAnsi="Arial" w:cs="Arial"/>
          <w:sz w:val="20"/>
          <w:szCs w:val="20"/>
        </w:rPr>
        <w:t xml:space="preserve">Negli anni precedenti la pandemia da Covid-19 </w:t>
      </w:r>
      <w:r w:rsidR="00D37A97" w:rsidRPr="000950FE">
        <w:rPr>
          <w:rFonts w:ascii="Arial" w:hAnsi="Arial" w:cs="Arial"/>
          <w:sz w:val="20"/>
          <w:szCs w:val="20"/>
        </w:rPr>
        <w:t>si stimano</w:t>
      </w:r>
      <w:r w:rsidR="00272450" w:rsidRPr="000950FE">
        <w:rPr>
          <w:rFonts w:ascii="Arial" w:hAnsi="Arial" w:cs="Arial"/>
          <w:sz w:val="20"/>
          <w:szCs w:val="20"/>
        </w:rPr>
        <w:t xml:space="preserve"> circa</w:t>
      </w:r>
      <w:r w:rsidRPr="000950FE">
        <w:rPr>
          <w:rFonts w:ascii="Arial" w:hAnsi="Arial" w:cs="Arial"/>
          <w:sz w:val="20"/>
          <w:szCs w:val="20"/>
        </w:rPr>
        <w:t xml:space="preserve"> 13-14 mila donne con almeno un accesso </w:t>
      </w:r>
      <w:r w:rsidR="00F73AA1" w:rsidRPr="000950FE">
        <w:rPr>
          <w:rFonts w:ascii="Arial" w:hAnsi="Arial" w:cs="Arial"/>
          <w:sz w:val="20"/>
          <w:szCs w:val="20"/>
        </w:rPr>
        <w:t xml:space="preserve">all’anno </w:t>
      </w:r>
      <w:r w:rsidRPr="000950FE">
        <w:rPr>
          <w:rFonts w:ascii="Arial" w:hAnsi="Arial" w:cs="Arial"/>
          <w:sz w:val="20"/>
          <w:szCs w:val="20"/>
        </w:rPr>
        <w:t xml:space="preserve">al </w:t>
      </w:r>
      <w:r w:rsidR="00107D93">
        <w:rPr>
          <w:rFonts w:ascii="Arial" w:hAnsi="Arial" w:cs="Arial"/>
          <w:sz w:val="20"/>
          <w:szCs w:val="20"/>
        </w:rPr>
        <w:t>P</w:t>
      </w:r>
      <w:r w:rsidRPr="000950FE">
        <w:rPr>
          <w:rFonts w:ascii="Arial" w:hAnsi="Arial" w:cs="Arial"/>
          <w:sz w:val="20"/>
          <w:szCs w:val="20"/>
        </w:rPr>
        <w:t xml:space="preserve">ronto </w:t>
      </w:r>
      <w:r w:rsidR="00107D93">
        <w:rPr>
          <w:rFonts w:ascii="Arial" w:hAnsi="Arial" w:cs="Arial"/>
          <w:sz w:val="20"/>
          <w:szCs w:val="20"/>
        </w:rPr>
        <w:t>S</w:t>
      </w:r>
      <w:r w:rsidRPr="000950FE">
        <w:rPr>
          <w:rFonts w:ascii="Arial" w:hAnsi="Arial" w:cs="Arial"/>
          <w:sz w:val="20"/>
          <w:szCs w:val="20"/>
        </w:rPr>
        <w:t xml:space="preserve">occorso con indicazione di violenza e 1.300-1.400 </w:t>
      </w:r>
      <w:r w:rsidR="00E51017" w:rsidRPr="000950FE">
        <w:rPr>
          <w:rFonts w:ascii="Arial" w:hAnsi="Arial" w:cs="Arial"/>
          <w:sz w:val="20"/>
          <w:szCs w:val="20"/>
        </w:rPr>
        <w:t xml:space="preserve"> </w:t>
      </w:r>
      <w:r w:rsidRPr="000950FE">
        <w:rPr>
          <w:rFonts w:ascii="Arial" w:hAnsi="Arial" w:cs="Arial"/>
          <w:sz w:val="20"/>
          <w:szCs w:val="20"/>
        </w:rPr>
        <w:t>donne con almeno un ricovero ordinario</w:t>
      </w:r>
      <w:r w:rsidRPr="000950FE">
        <w:rPr>
          <w:rStyle w:val="Rimandonotaapidipagina"/>
          <w:rFonts w:ascii="Arial" w:hAnsi="Arial" w:cs="Arial"/>
          <w:sz w:val="20"/>
          <w:szCs w:val="20"/>
        </w:rPr>
        <w:footnoteReference w:id="2"/>
      </w:r>
      <w:r w:rsidRPr="000950FE">
        <w:rPr>
          <w:rFonts w:ascii="Arial" w:hAnsi="Arial" w:cs="Arial"/>
          <w:sz w:val="20"/>
          <w:szCs w:val="20"/>
        </w:rPr>
        <w:t>.</w:t>
      </w:r>
      <w:r w:rsidR="00F73AA1" w:rsidRPr="000950FE">
        <w:rPr>
          <w:rFonts w:ascii="Arial" w:hAnsi="Arial" w:cs="Arial"/>
          <w:sz w:val="20"/>
          <w:szCs w:val="20"/>
        </w:rPr>
        <w:t xml:space="preserve"> In conseguenza dell’emergenza sanitaria, nel 2020 si è registrata, rispetto al 2019, una diminuzione del numero di donne pari al 25% per il pronto soccorso e del 26% per il ricovero ospedaliero</w:t>
      </w:r>
      <w:r w:rsidR="00F565B5" w:rsidRPr="000950FE">
        <w:rPr>
          <w:rFonts w:ascii="Arial" w:hAnsi="Arial" w:cs="Arial"/>
          <w:sz w:val="20"/>
          <w:szCs w:val="20"/>
        </w:rPr>
        <w:t xml:space="preserve"> (Tabella </w:t>
      </w:r>
      <w:r w:rsidR="000E045C" w:rsidRPr="000950FE">
        <w:rPr>
          <w:rFonts w:ascii="Arial" w:hAnsi="Arial" w:cs="Arial"/>
          <w:sz w:val="20"/>
          <w:szCs w:val="20"/>
        </w:rPr>
        <w:t>1</w:t>
      </w:r>
      <w:r w:rsidR="00F565B5" w:rsidRPr="000950FE">
        <w:rPr>
          <w:rFonts w:ascii="Arial" w:hAnsi="Arial" w:cs="Arial"/>
          <w:sz w:val="20"/>
          <w:szCs w:val="20"/>
        </w:rPr>
        <w:t>).</w:t>
      </w:r>
    </w:p>
    <w:p w14:paraId="1FF025E6" w14:textId="4115DC21" w:rsidR="00A27802" w:rsidRPr="000950FE" w:rsidRDefault="005B3D56" w:rsidP="00656628">
      <w:pPr>
        <w:pStyle w:val="Default"/>
        <w:spacing w:after="120"/>
        <w:jc w:val="both"/>
        <w:rPr>
          <w:rFonts w:ascii="Arial" w:hAnsi="Arial" w:cs="Arial"/>
          <w:sz w:val="20"/>
          <w:szCs w:val="20"/>
        </w:rPr>
      </w:pPr>
      <w:r w:rsidRPr="000950FE">
        <w:rPr>
          <w:rFonts w:ascii="Arial" w:hAnsi="Arial" w:cs="Arial"/>
          <w:sz w:val="20"/>
          <w:szCs w:val="20"/>
        </w:rPr>
        <w:t xml:space="preserve">In corrispondenza dell’emergenza sanitaria </w:t>
      </w:r>
      <w:r w:rsidR="00656628" w:rsidRPr="000950FE">
        <w:rPr>
          <w:rFonts w:ascii="Arial" w:hAnsi="Arial" w:cs="Arial"/>
          <w:sz w:val="20"/>
          <w:szCs w:val="20"/>
        </w:rPr>
        <w:t xml:space="preserve">si è registrato un aumento dell’incidenza degli accessi in PS con indicazione di violenza (da 15,3 per 10.000 </w:t>
      </w:r>
      <w:r w:rsidR="003D6336" w:rsidRPr="000950FE">
        <w:rPr>
          <w:rFonts w:ascii="Arial" w:hAnsi="Arial" w:cs="Arial"/>
          <w:sz w:val="20"/>
          <w:szCs w:val="20"/>
        </w:rPr>
        <w:t xml:space="preserve">accessi totali </w:t>
      </w:r>
      <w:r w:rsidR="00656628" w:rsidRPr="000950FE">
        <w:rPr>
          <w:rFonts w:ascii="Arial" w:hAnsi="Arial" w:cs="Arial"/>
          <w:sz w:val="20"/>
          <w:szCs w:val="20"/>
        </w:rPr>
        <w:t xml:space="preserve">nel 2019 a 18,5 nel 2020), mentre nei ricoveri ospedalieri </w:t>
      </w:r>
      <w:r w:rsidR="00BE2794" w:rsidRPr="000950FE">
        <w:rPr>
          <w:rFonts w:ascii="Arial" w:hAnsi="Arial" w:cs="Arial"/>
          <w:sz w:val="20"/>
          <w:szCs w:val="20"/>
        </w:rPr>
        <w:t xml:space="preserve">l’incidenza </w:t>
      </w:r>
      <w:r w:rsidR="00656628" w:rsidRPr="000950FE">
        <w:rPr>
          <w:rFonts w:ascii="Arial" w:hAnsi="Arial" w:cs="Arial"/>
          <w:sz w:val="20"/>
          <w:szCs w:val="20"/>
        </w:rPr>
        <w:t>è diminuita passando da 4,8 per 10.000 ricoveri ordinari a 4,2 (al netto dei ricoveri per parto</w:t>
      </w:r>
      <w:r w:rsidR="00656628" w:rsidRPr="000950FE">
        <w:rPr>
          <w:rStyle w:val="Rimandonotaapidipagina"/>
          <w:rFonts w:ascii="Arial" w:hAnsi="Arial" w:cs="Arial"/>
          <w:sz w:val="20"/>
          <w:szCs w:val="20"/>
        </w:rPr>
        <w:footnoteReference w:id="3"/>
      </w:r>
      <w:r w:rsidR="00656628" w:rsidRPr="000950FE">
        <w:rPr>
          <w:rFonts w:ascii="Arial" w:hAnsi="Arial" w:cs="Arial"/>
          <w:sz w:val="20"/>
          <w:szCs w:val="20"/>
        </w:rPr>
        <w:t xml:space="preserve">) (Figura 1). I ricoveri ospedalieri </w:t>
      </w:r>
      <w:r w:rsidR="00F565B5" w:rsidRPr="000950FE">
        <w:rPr>
          <w:rFonts w:ascii="Arial" w:hAnsi="Arial" w:cs="Arial"/>
          <w:sz w:val="20"/>
          <w:szCs w:val="20"/>
        </w:rPr>
        <w:t xml:space="preserve">per violenza hanno </w:t>
      </w:r>
      <w:r w:rsidR="00656628" w:rsidRPr="000950FE">
        <w:rPr>
          <w:rFonts w:ascii="Arial" w:hAnsi="Arial" w:cs="Arial"/>
          <w:sz w:val="20"/>
          <w:szCs w:val="20"/>
        </w:rPr>
        <w:t xml:space="preserve">infatti </w:t>
      </w:r>
      <w:r w:rsidR="00F565B5" w:rsidRPr="000950FE">
        <w:rPr>
          <w:rFonts w:ascii="Arial" w:hAnsi="Arial" w:cs="Arial"/>
          <w:sz w:val="20"/>
          <w:szCs w:val="20"/>
        </w:rPr>
        <w:t xml:space="preserve">subito un </w:t>
      </w:r>
      <w:r w:rsidR="00656628" w:rsidRPr="000950FE">
        <w:rPr>
          <w:rFonts w:ascii="Arial" w:hAnsi="Arial" w:cs="Arial"/>
          <w:sz w:val="20"/>
          <w:szCs w:val="20"/>
        </w:rPr>
        <w:t xml:space="preserve">forte </w:t>
      </w:r>
      <w:r w:rsidR="00F565B5" w:rsidRPr="000950FE">
        <w:rPr>
          <w:rFonts w:ascii="Arial" w:hAnsi="Arial" w:cs="Arial"/>
          <w:sz w:val="20"/>
          <w:szCs w:val="20"/>
        </w:rPr>
        <w:t xml:space="preserve">decremento </w:t>
      </w:r>
      <w:r w:rsidR="00656628" w:rsidRPr="000950FE">
        <w:rPr>
          <w:rFonts w:ascii="Arial" w:hAnsi="Arial" w:cs="Arial"/>
          <w:sz w:val="20"/>
          <w:szCs w:val="20"/>
        </w:rPr>
        <w:t>tra</w:t>
      </w:r>
      <w:r w:rsidR="000161C4">
        <w:rPr>
          <w:rFonts w:ascii="Arial" w:hAnsi="Arial" w:cs="Arial"/>
          <w:sz w:val="20"/>
          <w:szCs w:val="20"/>
        </w:rPr>
        <w:t xml:space="preserve"> il</w:t>
      </w:r>
      <w:r w:rsidR="00656628" w:rsidRPr="000950FE">
        <w:rPr>
          <w:rFonts w:ascii="Arial" w:hAnsi="Arial" w:cs="Arial"/>
          <w:sz w:val="20"/>
          <w:szCs w:val="20"/>
        </w:rPr>
        <w:t xml:space="preserve"> 2019 e </w:t>
      </w:r>
      <w:r w:rsidR="000161C4">
        <w:rPr>
          <w:rFonts w:ascii="Arial" w:hAnsi="Arial" w:cs="Arial"/>
          <w:sz w:val="20"/>
          <w:szCs w:val="20"/>
        </w:rPr>
        <w:t xml:space="preserve">il </w:t>
      </w:r>
      <w:r w:rsidR="00656628" w:rsidRPr="000950FE">
        <w:rPr>
          <w:rFonts w:ascii="Arial" w:hAnsi="Arial" w:cs="Arial"/>
          <w:sz w:val="20"/>
          <w:szCs w:val="20"/>
        </w:rPr>
        <w:t>2020</w:t>
      </w:r>
      <w:r w:rsidR="00BE2794" w:rsidRPr="000950FE">
        <w:rPr>
          <w:rFonts w:ascii="Arial" w:hAnsi="Arial" w:cs="Arial"/>
          <w:sz w:val="20"/>
          <w:szCs w:val="20"/>
        </w:rPr>
        <w:t xml:space="preserve"> (-29,9% rispetto a -20,4% del totale dei ricoveri ordinari), </w:t>
      </w:r>
      <w:r w:rsidR="000161C4">
        <w:rPr>
          <w:rFonts w:ascii="Arial" w:hAnsi="Arial" w:cs="Arial"/>
          <w:sz w:val="20"/>
          <w:szCs w:val="20"/>
        </w:rPr>
        <w:t>al contrario</w:t>
      </w:r>
      <w:r w:rsidR="000161C4" w:rsidRPr="000950FE">
        <w:rPr>
          <w:rFonts w:ascii="Arial" w:hAnsi="Arial" w:cs="Arial"/>
          <w:sz w:val="20"/>
          <w:szCs w:val="20"/>
        </w:rPr>
        <w:t xml:space="preserve"> </w:t>
      </w:r>
      <w:r w:rsidR="00F565B5" w:rsidRPr="000950FE">
        <w:rPr>
          <w:rFonts w:ascii="Arial" w:hAnsi="Arial" w:cs="Arial"/>
          <w:sz w:val="20"/>
          <w:szCs w:val="20"/>
        </w:rPr>
        <w:t xml:space="preserve">gli accessi </w:t>
      </w:r>
      <w:r w:rsidR="00BE2794" w:rsidRPr="000950FE">
        <w:rPr>
          <w:rFonts w:ascii="Arial" w:hAnsi="Arial" w:cs="Arial"/>
          <w:sz w:val="20"/>
          <w:szCs w:val="20"/>
        </w:rPr>
        <w:t xml:space="preserve">in PS si sono ridotti del </w:t>
      </w:r>
      <w:r w:rsidR="00F565B5" w:rsidRPr="000950FE">
        <w:rPr>
          <w:rFonts w:ascii="Arial" w:hAnsi="Arial" w:cs="Arial"/>
          <w:sz w:val="20"/>
          <w:szCs w:val="20"/>
        </w:rPr>
        <w:t xml:space="preserve">25,2% </w:t>
      </w:r>
      <w:r w:rsidR="00BE2794" w:rsidRPr="000950FE">
        <w:rPr>
          <w:rFonts w:ascii="Arial" w:hAnsi="Arial" w:cs="Arial"/>
          <w:sz w:val="20"/>
          <w:szCs w:val="20"/>
        </w:rPr>
        <w:t>rispetto al -</w:t>
      </w:r>
      <w:r w:rsidR="00F565B5" w:rsidRPr="000950FE">
        <w:rPr>
          <w:rFonts w:ascii="Arial" w:hAnsi="Arial" w:cs="Arial"/>
          <w:sz w:val="20"/>
          <w:szCs w:val="20"/>
        </w:rPr>
        <w:t>39,8%</w:t>
      </w:r>
      <w:r w:rsidR="005B6DBD" w:rsidRPr="000950FE">
        <w:rPr>
          <w:rFonts w:ascii="Arial" w:hAnsi="Arial" w:cs="Arial"/>
          <w:sz w:val="20"/>
          <w:szCs w:val="20"/>
        </w:rPr>
        <w:t xml:space="preserve"> del totale degli accessi</w:t>
      </w:r>
      <w:r w:rsidR="00BE2794" w:rsidRPr="000950FE">
        <w:rPr>
          <w:rFonts w:ascii="Arial" w:hAnsi="Arial" w:cs="Arial"/>
          <w:sz w:val="20"/>
          <w:szCs w:val="20"/>
        </w:rPr>
        <w:t>. Risulta complesso capire</w:t>
      </w:r>
      <w:r w:rsidR="00720FF1" w:rsidRPr="000950FE">
        <w:rPr>
          <w:rFonts w:ascii="Arial" w:hAnsi="Arial" w:cs="Arial"/>
          <w:sz w:val="20"/>
          <w:szCs w:val="20"/>
        </w:rPr>
        <w:t xml:space="preserve"> per il pronto soccorso quanto</w:t>
      </w:r>
      <w:r w:rsidR="000161C4">
        <w:rPr>
          <w:rFonts w:ascii="Arial" w:hAnsi="Arial" w:cs="Arial"/>
          <w:sz w:val="20"/>
          <w:szCs w:val="20"/>
        </w:rPr>
        <w:t xml:space="preserve"> questo</w:t>
      </w:r>
      <w:r w:rsidR="00720FF1" w:rsidRPr="000950FE">
        <w:rPr>
          <w:rFonts w:ascii="Arial" w:hAnsi="Arial" w:cs="Arial"/>
          <w:sz w:val="20"/>
          <w:szCs w:val="20"/>
        </w:rPr>
        <w:t xml:space="preserve"> </w:t>
      </w:r>
      <w:r w:rsidR="00554C4C" w:rsidRPr="000950FE">
        <w:rPr>
          <w:rFonts w:ascii="Arial" w:hAnsi="Arial" w:cs="Arial"/>
          <w:sz w:val="20"/>
          <w:szCs w:val="20"/>
        </w:rPr>
        <w:t>sia dipeso</w:t>
      </w:r>
      <w:r w:rsidR="00720FF1" w:rsidRPr="000950FE">
        <w:rPr>
          <w:rFonts w:ascii="Arial" w:hAnsi="Arial" w:cs="Arial"/>
          <w:sz w:val="20"/>
          <w:szCs w:val="20"/>
        </w:rPr>
        <w:t xml:space="preserve"> dalla crescente capacità degli operatori sanitari di “riconoscere” i casi di violenza (anche grazie alle recenti attività formative promosse da Ministero della Salute e Istituto Superiore di Sanità) e quanto da minori difficoltà ad accedere a questi servizi.</w:t>
      </w:r>
    </w:p>
    <w:p w14:paraId="5AEA9D27" w14:textId="3D950678" w:rsidR="00672C01" w:rsidRPr="000950FE" w:rsidRDefault="00A27802" w:rsidP="0093774C">
      <w:pPr>
        <w:pStyle w:val="Default"/>
        <w:spacing w:after="120"/>
        <w:jc w:val="both"/>
        <w:rPr>
          <w:rFonts w:ascii="Arial" w:hAnsi="Arial" w:cs="Arial"/>
          <w:sz w:val="20"/>
          <w:szCs w:val="20"/>
        </w:rPr>
      </w:pPr>
      <w:r w:rsidRPr="000950FE">
        <w:rPr>
          <w:rFonts w:ascii="Arial" w:hAnsi="Arial" w:cs="Arial"/>
          <w:sz w:val="20"/>
          <w:szCs w:val="20"/>
        </w:rPr>
        <w:t>N</w:t>
      </w:r>
      <w:r w:rsidR="00672C01" w:rsidRPr="000950FE">
        <w:rPr>
          <w:rFonts w:ascii="Arial" w:hAnsi="Arial" w:cs="Arial"/>
          <w:sz w:val="20"/>
          <w:szCs w:val="20"/>
        </w:rPr>
        <w:t>el 2021</w:t>
      </w:r>
      <w:r w:rsidR="00720FF1" w:rsidRPr="000950FE">
        <w:rPr>
          <w:rFonts w:ascii="Arial" w:hAnsi="Arial" w:cs="Arial"/>
          <w:sz w:val="20"/>
          <w:szCs w:val="20"/>
        </w:rPr>
        <w:t>, rispetto al 2020,</w:t>
      </w:r>
      <w:r w:rsidR="00672C01" w:rsidRPr="000950FE">
        <w:rPr>
          <w:rFonts w:ascii="Arial" w:hAnsi="Arial" w:cs="Arial"/>
          <w:sz w:val="20"/>
          <w:szCs w:val="20"/>
        </w:rPr>
        <w:t xml:space="preserve"> </w:t>
      </w:r>
      <w:r w:rsidRPr="000950FE">
        <w:rPr>
          <w:rFonts w:ascii="Arial" w:hAnsi="Arial" w:cs="Arial"/>
          <w:sz w:val="20"/>
          <w:szCs w:val="20"/>
        </w:rPr>
        <w:t>i ricoveri ordinari di donne con indicazione di violenza hanno fatto registrare una ripresa pari a +1</w:t>
      </w:r>
      <w:r w:rsidR="00EB1C81">
        <w:rPr>
          <w:rFonts w:ascii="Arial" w:hAnsi="Arial" w:cs="Arial"/>
          <w:sz w:val="20"/>
          <w:szCs w:val="20"/>
        </w:rPr>
        <w:t>2,4</w:t>
      </w:r>
      <w:r w:rsidRPr="000950FE">
        <w:rPr>
          <w:rFonts w:ascii="Arial" w:hAnsi="Arial" w:cs="Arial"/>
          <w:sz w:val="20"/>
          <w:szCs w:val="20"/>
        </w:rPr>
        <w:t xml:space="preserve">% </w:t>
      </w:r>
      <w:r w:rsidR="00720FF1" w:rsidRPr="000950FE">
        <w:rPr>
          <w:rFonts w:ascii="Arial" w:hAnsi="Arial" w:cs="Arial"/>
          <w:sz w:val="20"/>
          <w:szCs w:val="20"/>
        </w:rPr>
        <w:t xml:space="preserve">rispetto a +8,1% per gli accessi in </w:t>
      </w:r>
      <w:r w:rsidR="000161C4">
        <w:rPr>
          <w:rFonts w:ascii="Arial" w:hAnsi="Arial" w:cs="Arial"/>
          <w:sz w:val="20"/>
          <w:szCs w:val="20"/>
        </w:rPr>
        <w:t>P</w:t>
      </w:r>
      <w:r w:rsidR="00720FF1" w:rsidRPr="000950FE">
        <w:rPr>
          <w:rFonts w:ascii="Arial" w:hAnsi="Arial" w:cs="Arial"/>
          <w:sz w:val="20"/>
          <w:szCs w:val="20"/>
        </w:rPr>
        <w:t xml:space="preserve">ronto </w:t>
      </w:r>
      <w:r w:rsidR="000161C4">
        <w:rPr>
          <w:rFonts w:ascii="Arial" w:hAnsi="Arial" w:cs="Arial"/>
          <w:sz w:val="20"/>
          <w:szCs w:val="20"/>
        </w:rPr>
        <w:t>S</w:t>
      </w:r>
      <w:r w:rsidR="00720FF1" w:rsidRPr="000950FE">
        <w:rPr>
          <w:rFonts w:ascii="Arial" w:hAnsi="Arial" w:cs="Arial"/>
          <w:sz w:val="20"/>
          <w:szCs w:val="20"/>
        </w:rPr>
        <w:t>occorso</w:t>
      </w:r>
      <w:r w:rsidR="00672C01" w:rsidRPr="000950FE">
        <w:rPr>
          <w:rFonts w:ascii="Arial" w:hAnsi="Arial" w:cs="Arial"/>
          <w:sz w:val="20"/>
          <w:szCs w:val="20"/>
        </w:rPr>
        <w:t>.</w:t>
      </w:r>
      <w:r w:rsidR="00720FF1" w:rsidRPr="000950FE">
        <w:rPr>
          <w:rFonts w:ascii="Arial" w:hAnsi="Arial" w:cs="Arial"/>
          <w:sz w:val="20"/>
          <w:szCs w:val="20"/>
        </w:rPr>
        <w:t xml:space="preserve"> Pertanto il peso relativo rispetto al totale è </w:t>
      </w:r>
      <w:r w:rsidR="00554C4C" w:rsidRPr="000950FE">
        <w:rPr>
          <w:rFonts w:ascii="Arial" w:hAnsi="Arial" w:cs="Arial"/>
          <w:sz w:val="20"/>
          <w:szCs w:val="20"/>
        </w:rPr>
        <w:t>aumentato per i ricoveri (da 4,2 a 4,5), mentre è r</w:t>
      </w:r>
      <w:r w:rsidR="00720FF1" w:rsidRPr="000950FE">
        <w:rPr>
          <w:rFonts w:ascii="Arial" w:hAnsi="Arial" w:cs="Arial"/>
          <w:sz w:val="20"/>
          <w:szCs w:val="20"/>
        </w:rPr>
        <w:t xml:space="preserve">imasto pressoché invariato nel </w:t>
      </w:r>
      <w:r w:rsidR="000161C4">
        <w:rPr>
          <w:rFonts w:ascii="Arial" w:hAnsi="Arial" w:cs="Arial"/>
          <w:sz w:val="20"/>
          <w:szCs w:val="20"/>
        </w:rPr>
        <w:t>P</w:t>
      </w:r>
      <w:r w:rsidR="00720FF1" w:rsidRPr="000950FE">
        <w:rPr>
          <w:rFonts w:ascii="Arial" w:hAnsi="Arial" w:cs="Arial"/>
          <w:sz w:val="20"/>
          <w:szCs w:val="20"/>
        </w:rPr>
        <w:t xml:space="preserve">ronto </w:t>
      </w:r>
      <w:r w:rsidR="000161C4">
        <w:rPr>
          <w:rFonts w:ascii="Arial" w:hAnsi="Arial" w:cs="Arial"/>
          <w:sz w:val="20"/>
          <w:szCs w:val="20"/>
        </w:rPr>
        <w:t>S</w:t>
      </w:r>
      <w:r w:rsidR="00720FF1" w:rsidRPr="000950FE">
        <w:rPr>
          <w:rFonts w:ascii="Arial" w:hAnsi="Arial" w:cs="Arial"/>
          <w:sz w:val="20"/>
          <w:szCs w:val="20"/>
        </w:rPr>
        <w:t>occorso.</w:t>
      </w:r>
      <w:r w:rsidR="00672C01" w:rsidRPr="000950FE">
        <w:rPr>
          <w:rFonts w:ascii="Arial" w:hAnsi="Arial" w:cs="Arial"/>
          <w:sz w:val="20"/>
          <w:szCs w:val="20"/>
        </w:rPr>
        <w:t xml:space="preserve"> </w:t>
      </w:r>
    </w:p>
    <w:p w14:paraId="5B751E15" w14:textId="77777777" w:rsidR="00877D7E" w:rsidRPr="000950FE" w:rsidRDefault="00877D7E" w:rsidP="00554C4C">
      <w:pPr>
        <w:keepNext/>
        <w:spacing w:after="120" w:line="240" w:lineRule="auto"/>
        <w:jc w:val="both"/>
        <w:rPr>
          <w:rFonts w:ascii="Arial Narrow" w:eastAsia="Times New Roman" w:hAnsi="Arial Narrow" w:cs="Arial"/>
          <w:b/>
          <w:bCs/>
          <w:iCs/>
          <w:noProof/>
          <w:color w:val="7F7F7F" w:themeColor="text1" w:themeTint="80"/>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82"/>
        <w:gridCol w:w="4730"/>
      </w:tblGrid>
      <w:tr w:rsidR="004F2F3C" w:rsidRPr="000950FE" w14:paraId="1C6F5CAC" w14:textId="77777777" w:rsidTr="00DD1CCC">
        <w:trPr>
          <w:trHeight w:val="3875"/>
        </w:trPr>
        <w:tc>
          <w:tcPr>
            <w:tcW w:w="4731" w:type="dxa"/>
          </w:tcPr>
          <w:p w14:paraId="0C50E679" w14:textId="3A2671E0" w:rsidR="004F2F3C" w:rsidRPr="00DD1CCC" w:rsidRDefault="004F2F3C" w:rsidP="00DD1CCC">
            <w:pPr>
              <w:keepNext/>
              <w:spacing w:after="120"/>
              <w:rPr>
                <w:rFonts w:ascii="Arial Narrow" w:hAnsi="Arial Narrow" w:cs="Arial"/>
                <w:bCs/>
                <w:color w:val="1F3864" w:themeColor="accent5" w:themeShade="80"/>
                <w:sz w:val="19"/>
                <w:szCs w:val="19"/>
              </w:rPr>
            </w:pPr>
            <w:r w:rsidRPr="00DD1CCC">
              <w:rPr>
                <w:rFonts w:ascii="Arial Narrow" w:hAnsi="Arial Narrow" w:cs="Arial"/>
                <w:b/>
                <w:bCs/>
                <w:iCs/>
                <w:noProof/>
                <w:color w:val="1F4B78"/>
              </w:rPr>
              <w:t>TABELLA 1. ACCESSI AL PRONTO SOCCORSO E RICOVERI IN REGIME ORDINARIO DI DONNE CON INDICAZIONE DI VIOLENZA.</w:t>
            </w:r>
            <w:r w:rsidRPr="000950FE">
              <w:rPr>
                <w:rFonts w:ascii="Arial Narrow" w:hAnsi="Arial Narrow" w:cs="Arial"/>
                <w:b/>
                <w:bCs/>
                <w:iCs/>
                <w:noProof/>
                <w:color w:val="7F7F7F" w:themeColor="text1" w:themeTint="80"/>
              </w:rPr>
              <w:t xml:space="preserve"> </w:t>
            </w:r>
            <w:r w:rsidRPr="00DD1CCC">
              <w:rPr>
                <w:rFonts w:ascii="Arial Narrow" w:hAnsi="Arial Narrow" w:cs="Arial"/>
                <w:bCs/>
                <w:color w:val="1F3864" w:themeColor="accent5" w:themeShade="80"/>
                <w:sz w:val="19"/>
                <w:szCs w:val="19"/>
              </w:rPr>
              <w:t>Anni 2017-2021</w:t>
            </w:r>
            <w:r w:rsidR="00AA0F91" w:rsidRPr="00DD1CCC">
              <w:rPr>
                <w:rFonts w:ascii="Arial Narrow" w:hAnsi="Arial Narrow" w:cs="Arial"/>
                <w:bCs/>
                <w:color w:val="1F3864" w:themeColor="accent5" w:themeShade="80"/>
                <w:sz w:val="19"/>
                <w:szCs w:val="19"/>
              </w:rPr>
              <w:t>.</w:t>
            </w:r>
          </w:p>
          <w:tbl>
            <w:tblPr>
              <w:tblW w:w="453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19"/>
              <w:gridCol w:w="1026"/>
              <w:gridCol w:w="919"/>
              <w:gridCol w:w="156"/>
              <w:gridCol w:w="876"/>
              <w:gridCol w:w="940"/>
            </w:tblGrid>
            <w:tr w:rsidR="00A758AA" w:rsidRPr="00A758AA" w14:paraId="52CD661B" w14:textId="77777777" w:rsidTr="00DD1CCC">
              <w:trPr>
                <w:trHeight w:val="397"/>
              </w:trPr>
              <w:tc>
                <w:tcPr>
                  <w:tcW w:w="619" w:type="dxa"/>
                  <w:vMerge w:val="restart"/>
                  <w:tcBorders>
                    <w:top w:val="nil"/>
                  </w:tcBorders>
                  <w:shd w:val="clear" w:color="000000" w:fill="1F4E78"/>
                  <w:vAlign w:val="center"/>
                  <w:hideMark/>
                </w:tcPr>
                <w:p w14:paraId="40A82F69" w14:textId="77777777" w:rsidR="00A758AA" w:rsidRPr="00A758AA" w:rsidRDefault="00A758AA">
                  <w:pPr>
                    <w:spacing w:after="0" w:line="240" w:lineRule="auto"/>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Anni</w:t>
                  </w:r>
                </w:p>
              </w:tc>
              <w:tc>
                <w:tcPr>
                  <w:tcW w:w="1945" w:type="dxa"/>
                  <w:gridSpan w:val="2"/>
                  <w:tcBorders>
                    <w:top w:val="nil"/>
                    <w:bottom w:val="single" w:sz="4" w:space="0" w:color="FFFFFF" w:themeColor="background1"/>
                  </w:tcBorders>
                  <w:shd w:val="clear" w:color="000000" w:fill="1F4E78"/>
                  <w:vAlign w:val="center"/>
                  <w:hideMark/>
                </w:tcPr>
                <w:p w14:paraId="0F2FAE02" w14:textId="77777777" w:rsidR="00A758AA" w:rsidRPr="00A758AA" w:rsidRDefault="00A758AA">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ACCESSI AL PS (a)</w:t>
                  </w:r>
                </w:p>
              </w:tc>
              <w:tc>
                <w:tcPr>
                  <w:tcW w:w="156" w:type="dxa"/>
                  <w:tcBorders>
                    <w:top w:val="single" w:sz="4" w:space="0" w:color="auto"/>
                    <w:bottom w:val="single" w:sz="4" w:space="0" w:color="FFFFFF" w:themeColor="background1"/>
                  </w:tcBorders>
                  <w:shd w:val="clear" w:color="auto" w:fill="auto"/>
                  <w:vAlign w:val="center"/>
                  <w:hideMark/>
                </w:tcPr>
                <w:p w14:paraId="3333348E" w14:textId="77777777" w:rsidR="00A758AA" w:rsidRPr="00A758AA" w:rsidRDefault="00A758AA">
                  <w:pPr>
                    <w:spacing w:after="0" w:line="240" w:lineRule="auto"/>
                    <w:jc w:val="center"/>
                    <w:rPr>
                      <w:rFonts w:ascii="Arial Narrow" w:eastAsia="Times New Roman" w:hAnsi="Arial Narrow" w:cs="Calibri"/>
                      <w:b/>
                      <w:bCs/>
                      <w:color w:val="FFFFFF"/>
                      <w:sz w:val="16"/>
                      <w:szCs w:val="16"/>
                      <w:lang w:eastAsia="it-IT"/>
                    </w:rPr>
                  </w:pPr>
                </w:p>
              </w:tc>
              <w:tc>
                <w:tcPr>
                  <w:tcW w:w="1816" w:type="dxa"/>
                  <w:gridSpan w:val="2"/>
                  <w:tcBorders>
                    <w:top w:val="single" w:sz="4" w:space="0" w:color="auto"/>
                    <w:bottom w:val="single" w:sz="4" w:space="0" w:color="FFFFFF" w:themeColor="background1"/>
                  </w:tcBorders>
                  <w:shd w:val="clear" w:color="000000" w:fill="1F4E78"/>
                  <w:vAlign w:val="center"/>
                  <w:hideMark/>
                </w:tcPr>
                <w:p w14:paraId="4E73FD68" w14:textId="77777777" w:rsidR="00A758AA" w:rsidRPr="00A758AA" w:rsidRDefault="00A758AA">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RICOVERI ORDINARI</w:t>
                  </w:r>
                </w:p>
              </w:tc>
            </w:tr>
            <w:tr w:rsidR="00DD1CCC" w:rsidRPr="00A758AA" w14:paraId="10A7199C" w14:textId="77777777" w:rsidTr="00DD1CCC">
              <w:trPr>
                <w:trHeight w:val="397"/>
              </w:trPr>
              <w:tc>
                <w:tcPr>
                  <w:tcW w:w="619" w:type="dxa"/>
                  <w:vMerge/>
                  <w:tcBorders>
                    <w:bottom w:val="single" w:sz="4" w:space="0" w:color="auto"/>
                  </w:tcBorders>
                  <w:vAlign w:val="center"/>
                  <w:hideMark/>
                </w:tcPr>
                <w:p w14:paraId="2CD30628" w14:textId="77777777" w:rsidR="00A758AA" w:rsidRPr="00A758AA" w:rsidRDefault="00A758AA">
                  <w:pPr>
                    <w:spacing w:after="0" w:line="240" w:lineRule="auto"/>
                    <w:rPr>
                      <w:rFonts w:ascii="Arial Narrow" w:eastAsia="Times New Roman" w:hAnsi="Arial Narrow" w:cs="Calibri"/>
                      <w:b/>
                      <w:bCs/>
                      <w:color w:val="FFFFFF"/>
                      <w:sz w:val="16"/>
                      <w:szCs w:val="16"/>
                      <w:lang w:eastAsia="it-IT"/>
                    </w:rPr>
                  </w:pPr>
                </w:p>
              </w:tc>
              <w:tc>
                <w:tcPr>
                  <w:tcW w:w="1026" w:type="dxa"/>
                  <w:tcBorders>
                    <w:top w:val="single" w:sz="4" w:space="0" w:color="FFFFFF" w:themeColor="background1"/>
                  </w:tcBorders>
                  <w:shd w:val="clear" w:color="000000" w:fill="1F4E78"/>
                  <w:vAlign w:val="center"/>
                  <w:hideMark/>
                </w:tcPr>
                <w:p w14:paraId="369FF909" w14:textId="77777777" w:rsidR="00A758AA" w:rsidRPr="00A758AA" w:rsidRDefault="00A758AA" w:rsidP="00DD1CCC">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donne con almeno un accesso</w:t>
                  </w:r>
                </w:p>
              </w:tc>
              <w:tc>
                <w:tcPr>
                  <w:tcW w:w="919" w:type="dxa"/>
                  <w:tcBorders>
                    <w:top w:val="single" w:sz="4" w:space="0" w:color="FFFFFF" w:themeColor="background1"/>
                  </w:tcBorders>
                  <w:shd w:val="clear" w:color="000000" w:fill="1F4E78"/>
                  <w:vAlign w:val="center"/>
                  <w:hideMark/>
                </w:tcPr>
                <w:p w14:paraId="32219334" w14:textId="77777777" w:rsidR="00A758AA" w:rsidRPr="00A758AA" w:rsidRDefault="00A758AA" w:rsidP="00DD1CCC">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accessi</w:t>
                  </w:r>
                </w:p>
              </w:tc>
              <w:tc>
                <w:tcPr>
                  <w:tcW w:w="156" w:type="dxa"/>
                  <w:tcBorders>
                    <w:top w:val="single" w:sz="4" w:space="0" w:color="FFFFFF" w:themeColor="background1"/>
                    <w:bottom w:val="single" w:sz="4" w:space="0" w:color="FFFFFF" w:themeColor="background1"/>
                  </w:tcBorders>
                  <w:shd w:val="clear" w:color="auto" w:fill="auto"/>
                  <w:vAlign w:val="center"/>
                  <w:hideMark/>
                </w:tcPr>
                <w:p w14:paraId="4D190FED" w14:textId="77777777" w:rsidR="00A758AA" w:rsidRPr="00A758AA" w:rsidRDefault="00A758AA" w:rsidP="00DD1CCC">
                  <w:pPr>
                    <w:spacing w:after="0" w:line="240" w:lineRule="auto"/>
                    <w:jc w:val="center"/>
                    <w:rPr>
                      <w:rFonts w:ascii="Arial Narrow" w:eastAsia="Times New Roman" w:hAnsi="Arial Narrow" w:cs="Calibri"/>
                      <w:b/>
                      <w:bCs/>
                      <w:color w:val="FFFFFF"/>
                      <w:sz w:val="16"/>
                      <w:szCs w:val="16"/>
                      <w:lang w:eastAsia="it-IT"/>
                    </w:rPr>
                  </w:pPr>
                </w:p>
              </w:tc>
              <w:tc>
                <w:tcPr>
                  <w:tcW w:w="876" w:type="dxa"/>
                  <w:tcBorders>
                    <w:top w:val="single" w:sz="4" w:space="0" w:color="FFFFFF" w:themeColor="background1"/>
                  </w:tcBorders>
                  <w:shd w:val="clear" w:color="000000" w:fill="1F4E78"/>
                  <w:vAlign w:val="center"/>
                  <w:hideMark/>
                </w:tcPr>
                <w:p w14:paraId="5584CF5D" w14:textId="77777777" w:rsidR="00A758AA" w:rsidRPr="00A758AA" w:rsidRDefault="00A758AA" w:rsidP="00DD1CCC">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donne con almeno un ricovero (b)</w:t>
                  </w:r>
                </w:p>
              </w:tc>
              <w:tc>
                <w:tcPr>
                  <w:tcW w:w="940" w:type="dxa"/>
                  <w:tcBorders>
                    <w:top w:val="single" w:sz="4" w:space="0" w:color="FFFFFF" w:themeColor="background1"/>
                    <w:bottom w:val="single" w:sz="4" w:space="0" w:color="auto"/>
                  </w:tcBorders>
                  <w:shd w:val="clear" w:color="000000" w:fill="1F4E78"/>
                  <w:vAlign w:val="center"/>
                  <w:hideMark/>
                </w:tcPr>
                <w:p w14:paraId="6313FB93" w14:textId="77777777" w:rsidR="00A758AA" w:rsidRPr="00A758AA" w:rsidRDefault="00A758AA" w:rsidP="00DD1CCC">
                  <w:pPr>
                    <w:spacing w:after="0" w:line="240" w:lineRule="auto"/>
                    <w:jc w:val="center"/>
                    <w:rPr>
                      <w:rFonts w:ascii="Arial Narrow" w:eastAsia="Times New Roman" w:hAnsi="Arial Narrow" w:cs="Calibri"/>
                      <w:b/>
                      <w:bCs/>
                      <w:color w:val="FFFFFF"/>
                      <w:sz w:val="16"/>
                      <w:szCs w:val="16"/>
                      <w:lang w:eastAsia="it-IT"/>
                    </w:rPr>
                  </w:pPr>
                  <w:r w:rsidRPr="00A758AA">
                    <w:rPr>
                      <w:rFonts w:ascii="Arial Narrow" w:eastAsia="Times New Roman" w:hAnsi="Arial Narrow" w:cs="Calibri"/>
                      <w:b/>
                      <w:bCs/>
                      <w:color w:val="FFFFFF"/>
                      <w:sz w:val="16"/>
                      <w:szCs w:val="16"/>
                      <w:lang w:eastAsia="it-IT"/>
                    </w:rPr>
                    <w:t>ricoveri</w:t>
                  </w:r>
                </w:p>
              </w:tc>
            </w:tr>
            <w:tr w:rsidR="00DD1CCC" w:rsidRPr="00A758AA" w14:paraId="09DD12E6" w14:textId="77777777" w:rsidTr="00DD1CCC">
              <w:trPr>
                <w:trHeight w:val="397"/>
              </w:trPr>
              <w:tc>
                <w:tcPr>
                  <w:tcW w:w="619" w:type="dxa"/>
                  <w:tcBorders>
                    <w:left w:val="single" w:sz="4" w:space="0" w:color="auto"/>
                  </w:tcBorders>
                  <w:shd w:val="clear" w:color="auto" w:fill="auto"/>
                  <w:noWrap/>
                  <w:vAlign w:val="center"/>
                  <w:hideMark/>
                </w:tcPr>
                <w:p w14:paraId="758E3C07" w14:textId="77777777" w:rsidR="00DD1CCC" w:rsidRPr="00A758AA" w:rsidRDefault="00DD1CCC" w:rsidP="00DD1CCC">
                  <w:pPr>
                    <w:spacing w:after="0" w:line="240" w:lineRule="auto"/>
                    <w:rPr>
                      <w:rFonts w:ascii="Arial Narrow" w:eastAsia="Times New Roman" w:hAnsi="Arial Narrow" w:cs="Calibri"/>
                      <w:b/>
                      <w:bCs/>
                      <w:color w:val="1F4E78"/>
                      <w:sz w:val="16"/>
                      <w:szCs w:val="16"/>
                      <w:lang w:eastAsia="it-IT"/>
                    </w:rPr>
                  </w:pPr>
                  <w:r w:rsidRPr="00A758AA">
                    <w:rPr>
                      <w:rFonts w:ascii="Arial Narrow" w:eastAsia="Times New Roman" w:hAnsi="Arial Narrow" w:cs="Calibri"/>
                      <w:b/>
                      <w:bCs/>
                      <w:color w:val="1F4E78"/>
                      <w:sz w:val="16"/>
                      <w:szCs w:val="16"/>
                      <w:lang w:eastAsia="it-IT"/>
                    </w:rPr>
                    <w:t>2017</w:t>
                  </w:r>
                </w:p>
              </w:tc>
              <w:tc>
                <w:tcPr>
                  <w:tcW w:w="1026" w:type="dxa"/>
                  <w:shd w:val="clear" w:color="000000" w:fill="BFBFBF"/>
                  <w:noWrap/>
                  <w:vAlign w:val="center"/>
                  <w:hideMark/>
                </w:tcPr>
                <w:p w14:paraId="6CA1C7E2" w14:textId="09E97449"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13.162</w:t>
                  </w:r>
                </w:p>
              </w:tc>
              <w:tc>
                <w:tcPr>
                  <w:tcW w:w="919" w:type="dxa"/>
                  <w:tcBorders>
                    <w:top w:val="single" w:sz="4" w:space="0" w:color="FFFFFF" w:themeColor="background1"/>
                  </w:tcBorders>
                  <w:shd w:val="clear" w:color="auto" w:fill="auto"/>
                  <w:noWrap/>
                  <w:vAlign w:val="center"/>
                  <w:hideMark/>
                </w:tcPr>
                <w:p w14:paraId="157E264F" w14:textId="24EE07AC"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14.368</w:t>
                  </w:r>
                </w:p>
              </w:tc>
              <w:tc>
                <w:tcPr>
                  <w:tcW w:w="156" w:type="dxa"/>
                  <w:tcBorders>
                    <w:top w:val="single" w:sz="4" w:space="0" w:color="FFFFFF" w:themeColor="background1"/>
                  </w:tcBorders>
                  <w:shd w:val="clear" w:color="auto" w:fill="auto"/>
                  <w:vAlign w:val="center"/>
                  <w:hideMark/>
                </w:tcPr>
                <w:p w14:paraId="23906C42" w14:textId="7777777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p>
              </w:tc>
              <w:tc>
                <w:tcPr>
                  <w:tcW w:w="876" w:type="dxa"/>
                  <w:shd w:val="clear" w:color="000000" w:fill="BFBFBF"/>
                  <w:noWrap/>
                  <w:vAlign w:val="center"/>
                  <w:hideMark/>
                </w:tcPr>
                <w:p w14:paraId="7695E55B" w14:textId="23078DD5"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1.428</w:t>
                  </w:r>
                </w:p>
              </w:tc>
              <w:tc>
                <w:tcPr>
                  <w:tcW w:w="940" w:type="dxa"/>
                  <w:tcBorders>
                    <w:top w:val="single" w:sz="4" w:space="0" w:color="auto"/>
                    <w:bottom w:val="single" w:sz="4" w:space="0" w:color="auto"/>
                    <w:right w:val="single" w:sz="4" w:space="0" w:color="auto"/>
                  </w:tcBorders>
                  <w:shd w:val="clear" w:color="auto" w:fill="auto"/>
                  <w:noWrap/>
                  <w:vAlign w:val="center"/>
                  <w:hideMark/>
                </w:tcPr>
                <w:p w14:paraId="6F8CDBE7" w14:textId="62FFE5A8"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1.537</w:t>
                  </w:r>
                </w:p>
              </w:tc>
            </w:tr>
            <w:tr w:rsidR="00DD1CCC" w:rsidRPr="00A758AA" w14:paraId="44C3B60B" w14:textId="77777777" w:rsidTr="00DD1CCC">
              <w:trPr>
                <w:trHeight w:val="397"/>
              </w:trPr>
              <w:tc>
                <w:tcPr>
                  <w:tcW w:w="619" w:type="dxa"/>
                  <w:tcBorders>
                    <w:left w:val="single" w:sz="4" w:space="0" w:color="auto"/>
                  </w:tcBorders>
                  <w:shd w:val="clear" w:color="auto" w:fill="auto"/>
                  <w:noWrap/>
                  <w:vAlign w:val="center"/>
                  <w:hideMark/>
                </w:tcPr>
                <w:p w14:paraId="012ABD47" w14:textId="77777777" w:rsidR="00DD1CCC" w:rsidRPr="00A758AA" w:rsidRDefault="00DD1CCC" w:rsidP="00DD1CCC">
                  <w:pPr>
                    <w:spacing w:after="0" w:line="240" w:lineRule="auto"/>
                    <w:rPr>
                      <w:rFonts w:ascii="Arial Narrow" w:eastAsia="Times New Roman" w:hAnsi="Arial Narrow" w:cs="Calibri"/>
                      <w:b/>
                      <w:bCs/>
                      <w:color w:val="1F4E78"/>
                      <w:sz w:val="16"/>
                      <w:szCs w:val="16"/>
                      <w:lang w:eastAsia="it-IT"/>
                    </w:rPr>
                  </w:pPr>
                  <w:r w:rsidRPr="00A758AA">
                    <w:rPr>
                      <w:rFonts w:ascii="Arial Narrow" w:eastAsia="Times New Roman" w:hAnsi="Arial Narrow" w:cs="Calibri"/>
                      <w:b/>
                      <w:bCs/>
                      <w:color w:val="1F4E78"/>
                      <w:sz w:val="16"/>
                      <w:szCs w:val="16"/>
                      <w:lang w:eastAsia="it-IT"/>
                    </w:rPr>
                    <w:t>2018</w:t>
                  </w:r>
                </w:p>
              </w:tc>
              <w:tc>
                <w:tcPr>
                  <w:tcW w:w="1026" w:type="dxa"/>
                  <w:shd w:val="clear" w:color="000000" w:fill="BFBFBF"/>
                  <w:noWrap/>
                  <w:vAlign w:val="center"/>
                  <w:hideMark/>
                </w:tcPr>
                <w:p w14:paraId="5FABF75A" w14:textId="22311168"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14.741</w:t>
                  </w:r>
                </w:p>
              </w:tc>
              <w:tc>
                <w:tcPr>
                  <w:tcW w:w="919" w:type="dxa"/>
                  <w:shd w:val="clear" w:color="auto" w:fill="auto"/>
                  <w:noWrap/>
                  <w:vAlign w:val="center"/>
                  <w:hideMark/>
                </w:tcPr>
                <w:p w14:paraId="633D1821" w14:textId="696046F9"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16.164</w:t>
                  </w:r>
                </w:p>
              </w:tc>
              <w:tc>
                <w:tcPr>
                  <w:tcW w:w="156" w:type="dxa"/>
                  <w:shd w:val="clear" w:color="auto" w:fill="auto"/>
                  <w:vAlign w:val="center"/>
                  <w:hideMark/>
                </w:tcPr>
                <w:p w14:paraId="39D38687" w14:textId="7777777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p>
              </w:tc>
              <w:tc>
                <w:tcPr>
                  <w:tcW w:w="876" w:type="dxa"/>
                  <w:shd w:val="clear" w:color="000000" w:fill="BFBFBF"/>
                  <w:noWrap/>
                  <w:vAlign w:val="center"/>
                  <w:hideMark/>
                </w:tcPr>
                <w:p w14:paraId="02DCA909" w14:textId="7B78CEC2"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1.409</w:t>
                  </w:r>
                </w:p>
              </w:tc>
              <w:tc>
                <w:tcPr>
                  <w:tcW w:w="940" w:type="dxa"/>
                  <w:tcBorders>
                    <w:top w:val="single" w:sz="4" w:space="0" w:color="auto"/>
                    <w:bottom w:val="single" w:sz="4" w:space="0" w:color="auto"/>
                    <w:right w:val="single" w:sz="4" w:space="0" w:color="auto"/>
                  </w:tcBorders>
                  <w:shd w:val="clear" w:color="auto" w:fill="auto"/>
                  <w:noWrap/>
                  <w:vAlign w:val="center"/>
                  <w:hideMark/>
                </w:tcPr>
                <w:p w14:paraId="664D7664" w14:textId="09F48504"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1.553</w:t>
                  </w:r>
                </w:p>
              </w:tc>
            </w:tr>
            <w:tr w:rsidR="00DD1CCC" w:rsidRPr="00A758AA" w14:paraId="49818C6E" w14:textId="77777777" w:rsidTr="00DD1CCC">
              <w:trPr>
                <w:trHeight w:val="397"/>
              </w:trPr>
              <w:tc>
                <w:tcPr>
                  <w:tcW w:w="619" w:type="dxa"/>
                  <w:tcBorders>
                    <w:left w:val="single" w:sz="4" w:space="0" w:color="auto"/>
                  </w:tcBorders>
                  <w:shd w:val="clear" w:color="auto" w:fill="auto"/>
                  <w:noWrap/>
                  <w:vAlign w:val="center"/>
                  <w:hideMark/>
                </w:tcPr>
                <w:p w14:paraId="232B9B11" w14:textId="77777777" w:rsidR="00DD1CCC" w:rsidRPr="00A758AA" w:rsidRDefault="00DD1CCC" w:rsidP="00DD1CCC">
                  <w:pPr>
                    <w:spacing w:after="0" w:line="240" w:lineRule="auto"/>
                    <w:rPr>
                      <w:rFonts w:ascii="Arial Narrow" w:eastAsia="Times New Roman" w:hAnsi="Arial Narrow" w:cs="Calibri"/>
                      <w:b/>
                      <w:bCs/>
                      <w:color w:val="1F4E78"/>
                      <w:sz w:val="16"/>
                      <w:szCs w:val="16"/>
                      <w:lang w:eastAsia="it-IT"/>
                    </w:rPr>
                  </w:pPr>
                  <w:r w:rsidRPr="00A758AA">
                    <w:rPr>
                      <w:rFonts w:ascii="Arial Narrow" w:eastAsia="Times New Roman" w:hAnsi="Arial Narrow" w:cs="Calibri"/>
                      <w:b/>
                      <w:bCs/>
                      <w:color w:val="1F4E78"/>
                      <w:sz w:val="16"/>
                      <w:szCs w:val="16"/>
                      <w:lang w:eastAsia="it-IT"/>
                    </w:rPr>
                    <w:t>2019</w:t>
                  </w:r>
                </w:p>
              </w:tc>
              <w:tc>
                <w:tcPr>
                  <w:tcW w:w="1026" w:type="dxa"/>
                  <w:shd w:val="clear" w:color="000000" w:fill="BFBFBF"/>
                  <w:noWrap/>
                  <w:vAlign w:val="center"/>
                  <w:hideMark/>
                </w:tcPr>
                <w:p w14:paraId="5AE89133" w14:textId="7B57DB2C"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14.295</w:t>
                  </w:r>
                </w:p>
              </w:tc>
              <w:tc>
                <w:tcPr>
                  <w:tcW w:w="919" w:type="dxa"/>
                  <w:shd w:val="clear" w:color="auto" w:fill="auto"/>
                  <w:noWrap/>
                  <w:vAlign w:val="center"/>
                  <w:hideMark/>
                </w:tcPr>
                <w:p w14:paraId="271729F2" w14:textId="71CB6102"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15.800</w:t>
                  </w:r>
                </w:p>
              </w:tc>
              <w:tc>
                <w:tcPr>
                  <w:tcW w:w="156" w:type="dxa"/>
                  <w:shd w:val="clear" w:color="auto" w:fill="auto"/>
                  <w:vAlign w:val="center"/>
                  <w:hideMark/>
                </w:tcPr>
                <w:p w14:paraId="3EB0E947" w14:textId="7777777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p>
              </w:tc>
              <w:tc>
                <w:tcPr>
                  <w:tcW w:w="876" w:type="dxa"/>
                  <w:shd w:val="clear" w:color="000000" w:fill="BFBFBF"/>
                  <w:noWrap/>
                  <w:vAlign w:val="center"/>
                  <w:hideMark/>
                </w:tcPr>
                <w:p w14:paraId="23F223C2" w14:textId="4631C5DD"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1.314</w:t>
                  </w:r>
                </w:p>
              </w:tc>
              <w:tc>
                <w:tcPr>
                  <w:tcW w:w="940" w:type="dxa"/>
                  <w:tcBorders>
                    <w:top w:val="single" w:sz="4" w:space="0" w:color="auto"/>
                    <w:bottom w:val="single" w:sz="4" w:space="0" w:color="auto"/>
                    <w:right w:val="single" w:sz="4" w:space="0" w:color="auto"/>
                  </w:tcBorders>
                  <w:shd w:val="clear" w:color="auto" w:fill="auto"/>
                  <w:noWrap/>
                  <w:vAlign w:val="center"/>
                  <w:hideMark/>
                </w:tcPr>
                <w:p w14:paraId="1B529096" w14:textId="244FFFD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1.487</w:t>
                  </w:r>
                </w:p>
              </w:tc>
            </w:tr>
            <w:tr w:rsidR="00DD1CCC" w:rsidRPr="00A758AA" w14:paraId="224068E9" w14:textId="77777777" w:rsidTr="00DD1CCC">
              <w:trPr>
                <w:trHeight w:val="397"/>
              </w:trPr>
              <w:tc>
                <w:tcPr>
                  <w:tcW w:w="619" w:type="dxa"/>
                  <w:tcBorders>
                    <w:left w:val="single" w:sz="4" w:space="0" w:color="auto"/>
                    <w:bottom w:val="single" w:sz="4" w:space="0" w:color="auto"/>
                  </w:tcBorders>
                  <w:shd w:val="clear" w:color="auto" w:fill="auto"/>
                  <w:noWrap/>
                  <w:vAlign w:val="center"/>
                  <w:hideMark/>
                </w:tcPr>
                <w:p w14:paraId="09F52BCF" w14:textId="77777777" w:rsidR="00DD1CCC" w:rsidRPr="00A758AA" w:rsidRDefault="00DD1CCC" w:rsidP="00DD1CCC">
                  <w:pPr>
                    <w:spacing w:after="0" w:line="240" w:lineRule="auto"/>
                    <w:rPr>
                      <w:rFonts w:ascii="Arial Narrow" w:eastAsia="Times New Roman" w:hAnsi="Arial Narrow" w:cs="Calibri"/>
                      <w:b/>
                      <w:bCs/>
                      <w:color w:val="1F4E78"/>
                      <w:sz w:val="16"/>
                      <w:szCs w:val="16"/>
                      <w:lang w:eastAsia="it-IT"/>
                    </w:rPr>
                  </w:pPr>
                  <w:r w:rsidRPr="00A758AA">
                    <w:rPr>
                      <w:rFonts w:ascii="Arial Narrow" w:eastAsia="Times New Roman" w:hAnsi="Arial Narrow" w:cs="Calibri"/>
                      <w:b/>
                      <w:bCs/>
                      <w:color w:val="1F4E78"/>
                      <w:sz w:val="16"/>
                      <w:szCs w:val="16"/>
                      <w:lang w:eastAsia="it-IT"/>
                    </w:rPr>
                    <w:t>2020</w:t>
                  </w:r>
                </w:p>
              </w:tc>
              <w:tc>
                <w:tcPr>
                  <w:tcW w:w="1026" w:type="dxa"/>
                  <w:tcBorders>
                    <w:bottom w:val="single" w:sz="4" w:space="0" w:color="auto"/>
                  </w:tcBorders>
                  <w:shd w:val="clear" w:color="000000" w:fill="BFBFBF"/>
                  <w:noWrap/>
                  <w:vAlign w:val="center"/>
                  <w:hideMark/>
                </w:tcPr>
                <w:p w14:paraId="1D9E617E" w14:textId="7DDDBCF2"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10.753</w:t>
                  </w:r>
                </w:p>
              </w:tc>
              <w:tc>
                <w:tcPr>
                  <w:tcW w:w="919" w:type="dxa"/>
                  <w:tcBorders>
                    <w:bottom w:val="single" w:sz="4" w:space="0" w:color="auto"/>
                  </w:tcBorders>
                  <w:shd w:val="clear" w:color="auto" w:fill="auto"/>
                  <w:noWrap/>
                  <w:vAlign w:val="center"/>
                  <w:hideMark/>
                </w:tcPr>
                <w:p w14:paraId="600EE894" w14:textId="15B1AF22"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11.826</w:t>
                  </w:r>
                </w:p>
              </w:tc>
              <w:tc>
                <w:tcPr>
                  <w:tcW w:w="156" w:type="dxa"/>
                  <w:tcBorders>
                    <w:bottom w:val="single" w:sz="4" w:space="0" w:color="auto"/>
                  </w:tcBorders>
                  <w:shd w:val="clear" w:color="auto" w:fill="auto"/>
                  <w:vAlign w:val="center"/>
                  <w:hideMark/>
                </w:tcPr>
                <w:p w14:paraId="36FD4C62" w14:textId="7777777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p>
              </w:tc>
              <w:tc>
                <w:tcPr>
                  <w:tcW w:w="876" w:type="dxa"/>
                  <w:tcBorders>
                    <w:bottom w:val="single" w:sz="4" w:space="0" w:color="auto"/>
                  </w:tcBorders>
                  <w:shd w:val="clear" w:color="000000" w:fill="BFBFBF"/>
                  <w:noWrap/>
                  <w:vAlign w:val="center"/>
                  <w:hideMark/>
                </w:tcPr>
                <w:p w14:paraId="2E68248B" w14:textId="5DA2CF5E"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973</w:t>
                  </w:r>
                </w:p>
              </w:tc>
              <w:tc>
                <w:tcPr>
                  <w:tcW w:w="940" w:type="dxa"/>
                  <w:tcBorders>
                    <w:top w:val="single" w:sz="4" w:space="0" w:color="auto"/>
                    <w:bottom w:val="single" w:sz="4" w:space="0" w:color="auto"/>
                    <w:right w:val="single" w:sz="4" w:space="0" w:color="auto"/>
                  </w:tcBorders>
                  <w:shd w:val="clear" w:color="auto" w:fill="auto"/>
                  <w:noWrap/>
                  <w:vAlign w:val="center"/>
                  <w:hideMark/>
                </w:tcPr>
                <w:p w14:paraId="6C4EB346" w14:textId="1BACFAA1"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1.042</w:t>
                  </w:r>
                </w:p>
              </w:tc>
            </w:tr>
            <w:tr w:rsidR="00DD1CCC" w:rsidRPr="00A758AA" w14:paraId="3022B315" w14:textId="77777777" w:rsidTr="00DD1CCC">
              <w:trPr>
                <w:trHeight w:val="397"/>
              </w:trPr>
              <w:tc>
                <w:tcPr>
                  <w:tcW w:w="619" w:type="dxa"/>
                  <w:tcBorders>
                    <w:left w:val="single" w:sz="4" w:space="0" w:color="auto"/>
                    <w:bottom w:val="single" w:sz="4" w:space="0" w:color="auto"/>
                  </w:tcBorders>
                  <w:shd w:val="clear" w:color="auto" w:fill="auto"/>
                  <w:noWrap/>
                  <w:vAlign w:val="center"/>
                  <w:hideMark/>
                </w:tcPr>
                <w:p w14:paraId="1C057C74" w14:textId="77777777" w:rsidR="00DD1CCC" w:rsidRPr="00A758AA" w:rsidRDefault="00DD1CCC" w:rsidP="00DD1CCC">
                  <w:pPr>
                    <w:spacing w:after="0" w:line="240" w:lineRule="auto"/>
                    <w:rPr>
                      <w:rFonts w:ascii="Arial Narrow" w:eastAsia="Times New Roman" w:hAnsi="Arial Narrow" w:cs="Calibri"/>
                      <w:b/>
                      <w:bCs/>
                      <w:color w:val="1F4E78"/>
                      <w:sz w:val="16"/>
                      <w:szCs w:val="16"/>
                      <w:lang w:eastAsia="it-IT"/>
                    </w:rPr>
                  </w:pPr>
                  <w:r w:rsidRPr="00A758AA">
                    <w:rPr>
                      <w:rFonts w:ascii="Arial Narrow" w:eastAsia="Times New Roman" w:hAnsi="Arial Narrow" w:cs="Calibri"/>
                      <w:b/>
                      <w:bCs/>
                      <w:color w:val="1F4E78"/>
                      <w:sz w:val="16"/>
                      <w:szCs w:val="16"/>
                      <w:lang w:eastAsia="it-IT"/>
                    </w:rPr>
                    <w:t>2021</w:t>
                  </w:r>
                </w:p>
              </w:tc>
              <w:tc>
                <w:tcPr>
                  <w:tcW w:w="1026" w:type="dxa"/>
                  <w:tcBorders>
                    <w:bottom w:val="single" w:sz="4" w:space="0" w:color="auto"/>
                  </w:tcBorders>
                  <w:shd w:val="clear" w:color="000000" w:fill="BFBFBF"/>
                  <w:noWrap/>
                  <w:vAlign w:val="center"/>
                  <w:hideMark/>
                </w:tcPr>
                <w:p w14:paraId="19841E66" w14:textId="654C5AA2"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11.771</w:t>
                  </w:r>
                </w:p>
              </w:tc>
              <w:tc>
                <w:tcPr>
                  <w:tcW w:w="919" w:type="dxa"/>
                  <w:tcBorders>
                    <w:bottom w:val="single" w:sz="4" w:space="0" w:color="auto"/>
                  </w:tcBorders>
                  <w:shd w:val="clear" w:color="auto" w:fill="auto"/>
                  <w:noWrap/>
                  <w:vAlign w:val="center"/>
                  <w:hideMark/>
                </w:tcPr>
                <w:p w14:paraId="7C8EE1A1" w14:textId="0901F3E1"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12.780</w:t>
                  </w:r>
                </w:p>
              </w:tc>
              <w:tc>
                <w:tcPr>
                  <w:tcW w:w="156" w:type="dxa"/>
                  <w:tcBorders>
                    <w:bottom w:val="single" w:sz="4" w:space="0" w:color="auto"/>
                  </w:tcBorders>
                  <w:shd w:val="clear" w:color="auto" w:fill="auto"/>
                  <w:vAlign w:val="center"/>
                  <w:hideMark/>
                </w:tcPr>
                <w:p w14:paraId="1072CEA2" w14:textId="77777777"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p>
              </w:tc>
              <w:tc>
                <w:tcPr>
                  <w:tcW w:w="876" w:type="dxa"/>
                  <w:tcBorders>
                    <w:bottom w:val="single" w:sz="4" w:space="0" w:color="auto"/>
                  </w:tcBorders>
                  <w:shd w:val="clear" w:color="000000" w:fill="BFBFBF"/>
                  <w:noWrap/>
                  <w:vAlign w:val="center"/>
                  <w:hideMark/>
                </w:tcPr>
                <w:p w14:paraId="1F6DDB1F" w14:textId="305DC729"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1.083</w:t>
                  </w:r>
                </w:p>
              </w:tc>
              <w:tc>
                <w:tcPr>
                  <w:tcW w:w="940" w:type="dxa"/>
                  <w:tcBorders>
                    <w:top w:val="single" w:sz="4" w:space="0" w:color="auto"/>
                    <w:bottom w:val="single" w:sz="4" w:space="0" w:color="auto"/>
                    <w:right w:val="single" w:sz="4" w:space="0" w:color="auto"/>
                  </w:tcBorders>
                  <w:shd w:val="clear" w:color="auto" w:fill="auto"/>
                  <w:noWrap/>
                  <w:vAlign w:val="center"/>
                  <w:hideMark/>
                </w:tcPr>
                <w:p w14:paraId="547BE590" w14:textId="6F2A7BAB" w:rsidR="00DD1CCC" w:rsidRPr="00DD1CCC" w:rsidRDefault="00DD1CCC" w:rsidP="00DD1CCC">
                  <w:pPr>
                    <w:spacing w:after="0" w:line="240" w:lineRule="auto"/>
                    <w:jc w:val="center"/>
                    <w:rPr>
                      <w:rFonts w:ascii="Arial Narrow" w:eastAsia="Times New Roman" w:hAnsi="Arial Narrow" w:cs="Calibri"/>
                      <w:b/>
                      <w:bCs/>
                      <w:color w:val="000000"/>
                      <w:sz w:val="16"/>
                      <w:szCs w:val="16"/>
                      <w:lang w:eastAsia="it-IT"/>
                    </w:rPr>
                  </w:pPr>
                  <w:r w:rsidRPr="00DD1CCC">
                    <w:rPr>
                      <w:rFonts w:ascii="Arial Narrow" w:hAnsi="Arial Narrow" w:cs="Calibri"/>
                      <w:b/>
                      <w:bCs/>
                      <w:color w:val="000000"/>
                      <w:sz w:val="16"/>
                      <w:szCs w:val="16"/>
                    </w:rPr>
                    <w:t>1.171</w:t>
                  </w:r>
                </w:p>
              </w:tc>
            </w:tr>
          </w:tbl>
          <w:p w14:paraId="54758236" w14:textId="2D1220B5" w:rsidR="004F2F3C" w:rsidRPr="000950FE" w:rsidRDefault="004F2F3C" w:rsidP="00DD1CCC">
            <w:pPr>
              <w:keepNext/>
              <w:jc w:val="both"/>
              <w:rPr>
                <w:rFonts w:ascii="Arial Narrow" w:hAnsi="Arial Narrow" w:cs="Arial"/>
                <w:b/>
                <w:bCs/>
                <w:iCs/>
                <w:noProof/>
                <w:color w:val="7F7F7F" w:themeColor="text1" w:themeTint="80"/>
              </w:rPr>
            </w:pPr>
          </w:p>
        </w:tc>
        <w:tc>
          <w:tcPr>
            <w:tcW w:w="4671" w:type="dxa"/>
          </w:tcPr>
          <w:p w14:paraId="2871F108" w14:textId="412878FA" w:rsidR="004F2F3C" w:rsidRPr="000950FE" w:rsidRDefault="004F2F3C">
            <w:pPr>
              <w:keepNext/>
              <w:spacing w:after="120"/>
              <w:jc w:val="both"/>
              <w:rPr>
                <w:rFonts w:ascii="Arial Narrow" w:hAnsi="Arial Narrow" w:cs="Arial"/>
                <w:bCs/>
                <w:color w:val="1F3864" w:themeColor="accent5" w:themeShade="80"/>
                <w:sz w:val="19"/>
                <w:szCs w:val="19"/>
              </w:rPr>
            </w:pPr>
            <w:r w:rsidRPr="00DD1CCC">
              <w:rPr>
                <w:rFonts w:ascii="Arial Narrow" w:hAnsi="Arial Narrow" w:cs="Arial"/>
                <w:b/>
                <w:bCs/>
                <w:iCs/>
                <w:noProof/>
                <w:color w:val="1F4B78"/>
              </w:rPr>
              <w:t>FIGURA 1. ACCESSI AL PRONTO SOCCORSO E RICOVERI IN REGIME ORDINARIO DI DONNE CON INDICAZIONE DI VIOLENZA.</w:t>
            </w:r>
            <w:r w:rsidRPr="000950FE">
              <w:rPr>
                <w:rFonts w:ascii="Arial Narrow" w:hAnsi="Arial Narrow" w:cs="Arial"/>
                <w:b/>
                <w:bCs/>
                <w:iCs/>
                <w:noProof/>
                <w:color w:val="7F7F7F" w:themeColor="text1" w:themeTint="80"/>
              </w:rPr>
              <w:t xml:space="preserve"> </w:t>
            </w:r>
            <w:r w:rsidRPr="00DD1CCC">
              <w:rPr>
                <w:rFonts w:ascii="Arial Narrow" w:hAnsi="Arial Narrow" w:cs="Arial"/>
                <w:bCs/>
                <w:color w:val="1F3864" w:themeColor="accent5" w:themeShade="80"/>
                <w:sz w:val="19"/>
                <w:szCs w:val="19"/>
              </w:rPr>
              <w:t>Anni 2017-2021</w:t>
            </w:r>
            <w:r w:rsidR="00AA0F91" w:rsidRPr="00DD1CCC">
              <w:rPr>
                <w:rFonts w:ascii="Arial Narrow" w:hAnsi="Arial Narrow" w:cs="Arial"/>
                <w:bCs/>
                <w:color w:val="1F3864" w:themeColor="accent5" w:themeShade="80"/>
                <w:sz w:val="19"/>
                <w:szCs w:val="19"/>
              </w:rPr>
              <w:t xml:space="preserve">, </w:t>
            </w:r>
            <w:r w:rsidRPr="003A6727">
              <w:rPr>
                <w:rFonts w:ascii="Arial Narrow" w:hAnsi="Arial Narrow" w:cs="Arial"/>
                <w:bCs/>
                <w:color w:val="1F3864" w:themeColor="accent5" w:themeShade="80"/>
                <w:sz w:val="19"/>
                <w:szCs w:val="19"/>
              </w:rPr>
              <w:t>per 10.000 accessi/ricoveri totali</w:t>
            </w:r>
            <w:r w:rsidR="00AA0F91" w:rsidRPr="00DD1CCC">
              <w:rPr>
                <w:rFonts w:ascii="Arial Narrow" w:hAnsi="Arial Narrow" w:cs="Arial"/>
                <w:bCs/>
                <w:color w:val="1F3864" w:themeColor="accent5" w:themeShade="80"/>
                <w:sz w:val="19"/>
                <w:szCs w:val="19"/>
              </w:rPr>
              <w:t>.</w:t>
            </w:r>
          </w:p>
          <w:p w14:paraId="3B11296F" w14:textId="3B183EDB" w:rsidR="004F2F3C" w:rsidRPr="000950FE" w:rsidRDefault="004F2F3C" w:rsidP="00DD1CCC">
            <w:pPr>
              <w:keepNext/>
              <w:jc w:val="both"/>
              <w:rPr>
                <w:rFonts w:ascii="Arial Narrow" w:hAnsi="Arial Narrow" w:cs="Arial"/>
                <w:b/>
                <w:bCs/>
                <w:iCs/>
                <w:noProof/>
                <w:color w:val="7F7F7F" w:themeColor="text1" w:themeTint="80"/>
              </w:rPr>
            </w:pPr>
            <w:r w:rsidRPr="000950FE">
              <w:rPr>
                <w:noProof/>
              </w:rPr>
              <w:drawing>
                <wp:inline distT="0" distB="0" distL="0" distR="0" wp14:anchorId="6BC50D4B" wp14:editId="0DDAD838">
                  <wp:extent cx="2905125" cy="1895475"/>
                  <wp:effectExtent l="0" t="0" r="9525" b="952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48E6147" w14:textId="48B5D7CD" w:rsidR="00FF2B38" w:rsidRPr="00DD1CCC" w:rsidRDefault="00FF2B38" w:rsidP="00B305DA">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 xml:space="preserve">(a) Esclusi gli accessi per la regione Calabria. </w:t>
      </w:r>
    </w:p>
    <w:p w14:paraId="3A075699" w14:textId="1BBBF40D" w:rsidR="007B59E2" w:rsidRPr="00DD1CCC" w:rsidRDefault="007B59E2" w:rsidP="00B305DA">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(b) Il conteggio è effettuato sui codici individuali corretti (circa il 94% dei ricoveri con indicazione di violenza).</w:t>
      </w:r>
    </w:p>
    <w:p w14:paraId="269513E1" w14:textId="3DDF3E10" w:rsidR="0097089C" w:rsidRDefault="00B305DA" w:rsidP="00DD1CCC">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su dati Emergenza-urgenza (EMUR) e Scheda dimissione ospedaliera (SDO)</w:t>
      </w:r>
    </w:p>
    <w:p w14:paraId="5D00D610" w14:textId="0099EE23" w:rsidR="00DD1CCC" w:rsidRDefault="00DD1CCC" w:rsidP="00DD1CCC">
      <w:pPr>
        <w:spacing w:after="0" w:line="240" w:lineRule="auto"/>
        <w:jc w:val="both"/>
        <w:rPr>
          <w:rFonts w:ascii="Arial" w:eastAsia="Times New Roman" w:hAnsi="Arial" w:cs="Arial"/>
          <w:color w:val="000000"/>
          <w:sz w:val="15"/>
          <w:szCs w:val="15"/>
          <w:lang w:eastAsia="it-IT"/>
        </w:rPr>
      </w:pPr>
    </w:p>
    <w:p w14:paraId="2C516D83" w14:textId="3BD3B4B4" w:rsidR="00DD1CCC" w:rsidRDefault="00DD1CCC" w:rsidP="00DD1CCC">
      <w:pPr>
        <w:spacing w:after="0" w:line="240" w:lineRule="auto"/>
        <w:jc w:val="both"/>
        <w:rPr>
          <w:rFonts w:ascii="Arial" w:eastAsia="Times New Roman" w:hAnsi="Arial" w:cs="Arial"/>
          <w:color w:val="000000"/>
          <w:sz w:val="15"/>
          <w:szCs w:val="15"/>
          <w:lang w:eastAsia="it-IT"/>
        </w:rPr>
      </w:pPr>
    </w:p>
    <w:p w14:paraId="43C82FE3" w14:textId="2DEA718E" w:rsidR="002C6405" w:rsidRDefault="002C6405" w:rsidP="00DD1CCC">
      <w:pPr>
        <w:spacing w:after="0" w:line="240" w:lineRule="auto"/>
        <w:jc w:val="both"/>
        <w:rPr>
          <w:rFonts w:ascii="Arial" w:hAnsi="Arial" w:cs="Arial"/>
          <w:b/>
          <w:bCs/>
          <w:color w:val="44546A" w:themeColor="text2"/>
        </w:rPr>
      </w:pPr>
      <w:r>
        <w:rPr>
          <w:rFonts w:ascii="Arial" w:hAnsi="Arial" w:cs="Arial"/>
          <w:b/>
          <w:bCs/>
          <w:color w:val="44546A" w:themeColor="text2"/>
        </w:rPr>
        <w:br w:type="page"/>
      </w:r>
    </w:p>
    <w:p w14:paraId="4028713C" w14:textId="30A0ED2B" w:rsidR="00C84A75" w:rsidRPr="000950FE" w:rsidRDefault="00C84A75" w:rsidP="00C84A75">
      <w:pPr>
        <w:pStyle w:val="Defaul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lastRenderedPageBreak/>
        <w:t xml:space="preserve">Accessi al </w:t>
      </w:r>
      <w:r w:rsidR="00C61705">
        <w:rPr>
          <w:rFonts w:ascii="Arial" w:eastAsiaTheme="minorHAnsi" w:hAnsi="Arial" w:cs="Arial"/>
          <w:b/>
          <w:bCs/>
          <w:color w:val="44546A" w:themeColor="text2"/>
          <w:sz w:val="22"/>
          <w:szCs w:val="22"/>
          <w:lang w:eastAsia="en-US"/>
        </w:rPr>
        <w:t>P</w:t>
      </w:r>
      <w:r w:rsidRPr="000950FE">
        <w:rPr>
          <w:rFonts w:ascii="Arial" w:eastAsiaTheme="minorHAnsi" w:hAnsi="Arial" w:cs="Arial"/>
          <w:b/>
          <w:bCs/>
          <w:color w:val="44546A" w:themeColor="text2"/>
          <w:sz w:val="22"/>
          <w:szCs w:val="22"/>
          <w:lang w:eastAsia="en-US"/>
        </w:rPr>
        <w:t xml:space="preserve">ronto </w:t>
      </w:r>
      <w:r w:rsidR="00C61705">
        <w:rPr>
          <w:rFonts w:ascii="Arial" w:eastAsiaTheme="minorHAnsi" w:hAnsi="Arial" w:cs="Arial"/>
          <w:b/>
          <w:bCs/>
          <w:color w:val="44546A" w:themeColor="text2"/>
          <w:sz w:val="22"/>
          <w:szCs w:val="22"/>
          <w:lang w:eastAsia="en-US"/>
        </w:rPr>
        <w:t>S</w:t>
      </w:r>
      <w:r w:rsidRPr="000950FE">
        <w:rPr>
          <w:rFonts w:ascii="Arial" w:eastAsiaTheme="minorHAnsi" w:hAnsi="Arial" w:cs="Arial"/>
          <w:b/>
          <w:bCs/>
          <w:color w:val="44546A" w:themeColor="text2"/>
          <w:sz w:val="22"/>
          <w:szCs w:val="22"/>
          <w:lang w:eastAsia="en-US"/>
        </w:rPr>
        <w:t xml:space="preserve">occorso per violenza più frequenti per </w:t>
      </w:r>
      <w:r w:rsidR="005B6DBD" w:rsidRPr="000950FE">
        <w:rPr>
          <w:rFonts w:ascii="Arial" w:eastAsiaTheme="minorHAnsi" w:hAnsi="Arial" w:cs="Arial"/>
          <w:b/>
          <w:bCs/>
          <w:color w:val="44546A" w:themeColor="text2"/>
          <w:sz w:val="22"/>
          <w:szCs w:val="22"/>
          <w:lang w:eastAsia="en-US"/>
        </w:rPr>
        <w:t xml:space="preserve">le </w:t>
      </w:r>
      <w:r w:rsidRPr="000950FE">
        <w:rPr>
          <w:rFonts w:ascii="Arial" w:eastAsiaTheme="minorHAnsi" w:hAnsi="Arial" w:cs="Arial"/>
          <w:b/>
          <w:bCs/>
          <w:color w:val="44546A" w:themeColor="text2"/>
          <w:sz w:val="22"/>
          <w:szCs w:val="22"/>
          <w:lang w:eastAsia="en-US"/>
        </w:rPr>
        <w:t>donne tra i 18 e i 49 anni</w:t>
      </w:r>
    </w:p>
    <w:p w14:paraId="0F6EB22B" w14:textId="07E24FF7" w:rsidR="004A6813" w:rsidRDefault="00C84A75" w:rsidP="00C84A75">
      <w:pPr>
        <w:pStyle w:val="Default"/>
        <w:spacing w:after="120"/>
        <w:jc w:val="both"/>
        <w:rPr>
          <w:rFonts w:ascii="Arial" w:hAnsi="Arial" w:cs="Arial"/>
          <w:sz w:val="20"/>
          <w:szCs w:val="20"/>
        </w:rPr>
      </w:pPr>
      <w:r w:rsidRPr="000950FE">
        <w:rPr>
          <w:rFonts w:ascii="Arial" w:hAnsi="Arial" w:cs="Arial"/>
          <w:sz w:val="20"/>
          <w:szCs w:val="20"/>
        </w:rPr>
        <w:t xml:space="preserve">I tassi di accesso </w:t>
      </w:r>
      <w:r w:rsidR="005B6DBD" w:rsidRPr="000950FE">
        <w:rPr>
          <w:rFonts w:ascii="Arial" w:hAnsi="Arial" w:cs="Arial"/>
          <w:sz w:val="20"/>
          <w:szCs w:val="20"/>
        </w:rPr>
        <w:t xml:space="preserve">al </w:t>
      </w:r>
      <w:r w:rsidR="00C61705">
        <w:rPr>
          <w:rFonts w:ascii="Arial" w:hAnsi="Arial" w:cs="Arial"/>
          <w:sz w:val="20"/>
          <w:szCs w:val="20"/>
        </w:rPr>
        <w:t>P</w:t>
      </w:r>
      <w:r w:rsidR="005B6DBD" w:rsidRPr="000950FE">
        <w:rPr>
          <w:rFonts w:ascii="Arial" w:hAnsi="Arial" w:cs="Arial"/>
          <w:sz w:val="20"/>
          <w:szCs w:val="20"/>
        </w:rPr>
        <w:t xml:space="preserve">ronto </w:t>
      </w:r>
      <w:r w:rsidR="00C61705">
        <w:rPr>
          <w:rFonts w:ascii="Arial" w:hAnsi="Arial" w:cs="Arial"/>
          <w:sz w:val="20"/>
          <w:szCs w:val="20"/>
        </w:rPr>
        <w:t>S</w:t>
      </w:r>
      <w:r w:rsidR="005B6DBD" w:rsidRPr="000950FE">
        <w:rPr>
          <w:rFonts w:ascii="Arial" w:hAnsi="Arial" w:cs="Arial"/>
          <w:sz w:val="20"/>
          <w:szCs w:val="20"/>
        </w:rPr>
        <w:t xml:space="preserve">occorso </w:t>
      </w:r>
      <w:r w:rsidRPr="000950FE">
        <w:rPr>
          <w:rFonts w:ascii="Arial" w:hAnsi="Arial" w:cs="Arial"/>
          <w:sz w:val="20"/>
          <w:szCs w:val="20"/>
        </w:rPr>
        <w:t>con indicazione di violenza</w:t>
      </w:r>
      <w:r w:rsidR="000E045C" w:rsidRPr="000950FE">
        <w:rPr>
          <w:rFonts w:ascii="Arial" w:hAnsi="Arial" w:cs="Arial"/>
          <w:sz w:val="20"/>
          <w:szCs w:val="20"/>
        </w:rPr>
        <w:t>, pari a 4,4 per 10.000 residenti nel 2021,</w:t>
      </w:r>
      <w:r w:rsidRPr="000950FE">
        <w:rPr>
          <w:rFonts w:ascii="Arial" w:hAnsi="Arial" w:cs="Arial"/>
          <w:sz w:val="20"/>
          <w:szCs w:val="20"/>
        </w:rPr>
        <w:t xml:space="preserve"> sono più elevati nelle giovani donne di 18-34 anni (8,8)</w:t>
      </w:r>
      <w:r w:rsidR="00C61705">
        <w:rPr>
          <w:rFonts w:ascii="Arial" w:hAnsi="Arial" w:cs="Arial"/>
          <w:sz w:val="20"/>
          <w:szCs w:val="20"/>
        </w:rPr>
        <w:t>,</w:t>
      </w:r>
      <w:r w:rsidRPr="000950FE">
        <w:rPr>
          <w:rFonts w:ascii="Arial" w:hAnsi="Arial" w:cs="Arial"/>
          <w:sz w:val="20"/>
          <w:szCs w:val="20"/>
        </w:rPr>
        <w:t xml:space="preserve"> seguite dalle donne adulte di 35-49 anni (7,</w:t>
      </w:r>
      <w:r w:rsidR="005B6DBD" w:rsidRPr="000950FE">
        <w:rPr>
          <w:rFonts w:ascii="Arial" w:hAnsi="Arial" w:cs="Arial"/>
          <w:sz w:val="20"/>
          <w:szCs w:val="20"/>
        </w:rPr>
        <w:t>2</w:t>
      </w:r>
      <w:r w:rsidRPr="000950FE">
        <w:rPr>
          <w:rFonts w:ascii="Arial" w:hAnsi="Arial" w:cs="Arial"/>
          <w:sz w:val="20"/>
          <w:szCs w:val="20"/>
        </w:rPr>
        <w:t xml:space="preserve">), </w:t>
      </w:r>
      <w:r w:rsidR="000E045C" w:rsidRPr="000950FE">
        <w:rPr>
          <w:rFonts w:ascii="Arial" w:hAnsi="Arial" w:cs="Arial"/>
          <w:sz w:val="20"/>
          <w:szCs w:val="20"/>
        </w:rPr>
        <w:t>inferiori</w:t>
      </w:r>
      <w:r w:rsidRPr="000950FE">
        <w:rPr>
          <w:rFonts w:ascii="Arial" w:hAnsi="Arial" w:cs="Arial"/>
          <w:sz w:val="20"/>
          <w:szCs w:val="20"/>
        </w:rPr>
        <w:t xml:space="preserve"> alla media per le minorenni e per le donne tra i 50 e i 64 anni (rispettivamente 3,</w:t>
      </w:r>
      <w:r w:rsidR="005B6DBD" w:rsidRPr="000950FE">
        <w:rPr>
          <w:rFonts w:ascii="Arial" w:hAnsi="Arial" w:cs="Arial"/>
          <w:sz w:val="20"/>
          <w:szCs w:val="20"/>
        </w:rPr>
        <w:t>5</w:t>
      </w:r>
      <w:r w:rsidRPr="000950FE">
        <w:rPr>
          <w:rFonts w:ascii="Arial" w:hAnsi="Arial" w:cs="Arial"/>
          <w:sz w:val="20"/>
          <w:szCs w:val="20"/>
        </w:rPr>
        <w:t xml:space="preserve"> e 3,2), più bassi dopo</w:t>
      </w:r>
      <w:r w:rsidR="004A6813">
        <w:rPr>
          <w:rFonts w:ascii="Arial" w:hAnsi="Arial" w:cs="Arial"/>
          <w:sz w:val="20"/>
          <w:szCs w:val="20"/>
        </w:rPr>
        <w:t xml:space="preserve"> </w:t>
      </w:r>
      <w:r w:rsidRPr="000950FE">
        <w:rPr>
          <w:rFonts w:ascii="Arial" w:hAnsi="Arial" w:cs="Arial"/>
          <w:sz w:val="20"/>
          <w:szCs w:val="20"/>
        </w:rPr>
        <w:t>i</w:t>
      </w:r>
      <w:r w:rsidR="004A6813">
        <w:rPr>
          <w:rFonts w:ascii="Arial" w:hAnsi="Arial" w:cs="Arial"/>
          <w:sz w:val="20"/>
          <w:szCs w:val="20"/>
        </w:rPr>
        <w:t xml:space="preserve"> </w:t>
      </w:r>
      <w:r w:rsidR="004A6813" w:rsidRPr="000950FE">
        <w:rPr>
          <w:rFonts w:ascii="Arial" w:hAnsi="Arial" w:cs="Arial"/>
          <w:sz w:val="20"/>
          <w:szCs w:val="20"/>
        </w:rPr>
        <w:t>65 anni di età (0,8) (Figura 2)</w:t>
      </w:r>
      <w:r w:rsidR="004A6813">
        <w:rPr>
          <w:rFonts w:ascii="Arial" w:hAnsi="Arial" w:cs="Arial"/>
          <w:sz w:val="20"/>
          <w:szCs w:val="20"/>
        </w:rPr>
        <w:t>.</w:t>
      </w:r>
    </w:p>
    <w:p w14:paraId="43F0829F" w14:textId="3C576216" w:rsidR="00C84A75" w:rsidRDefault="00C84A75" w:rsidP="00C84A75">
      <w:pPr>
        <w:pStyle w:val="Default"/>
        <w:spacing w:after="120"/>
        <w:jc w:val="both"/>
        <w:rPr>
          <w:rFonts w:ascii="Arial" w:hAnsi="Arial" w:cs="Arial"/>
          <w:sz w:val="20"/>
          <w:szCs w:val="20"/>
        </w:rPr>
      </w:pPr>
      <w:r w:rsidRPr="000950FE">
        <w:rPr>
          <w:rFonts w:ascii="Arial" w:hAnsi="Arial" w:cs="Arial"/>
          <w:sz w:val="20"/>
          <w:szCs w:val="20"/>
        </w:rPr>
        <w:t xml:space="preserve">Gli accessi in PS con indicazione di violenza rispetto al totale degli accessi aumentano </w:t>
      </w:r>
      <w:r w:rsidR="004708BA" w:rsidRPr="000950FE">
        <w:rPr>
          <w:rFonts w:ascii="Arial" w:hAnsi="Arial" w:cs="Arial"/>
          <w:sz w:val="20"/>
          <w:szCs w:val="20"/>
        </w:rPr>
        <w:t>dal 2017 al 2020</w:t>
      </w:r>
      <w:r w:rsidRPr="000950FE">
        <w:rPr>
          <w:rFonts w:ascii="Arial" w:hAnsi="Arial" w:cs="Arial"/>
          <w:sz w:val="20"/>
          <w:szCs w:val="20"/>
        </w:rPr>
        <w:t xml:space="preserve"> (</w:t>
      </w:r>
      <w:r w:rsidR="004708BA" w:rsidRPr="000950FE">
        <w:rPr>
          <w:rFonts w:ascii="Arial" w:hAnsi="Arial" w:cs="Arial"/>
          <w:sz w:val="20"/>
          <w:szCs w:val="20"/>
        </w:rPr>
        <w:t xml:space="preserve">da </w:t>
      </w:r>
      <w:r w:rsidRPr="000950FE">
        <w:rPr>
          <w:rFonts w:ascii="Arial" w:hAnsi="Arial" w:cs="Arial"/>
          <w:sz w:val="20"/>
          <w:szCs w:val="20"/>
        </w:rPr>
        <w:t xml:space="preserve">14,1 </w:t>
      </w:r>
      <w:r w:rsidR="004708BA" w:rsidRPr="000950FE">
        <w:rPr>
          <w:rFonts w:ascii="Arial" w:hAnsi="Arial" w:cs="Arial"/>
          <w:sz w:val="20"/>
          <w:szCs w:val="20"/>
        </w:rPr>
        <w:t xml:space="preserve">per 10.000 </w:t>
      </w:r>
      <w:r w:rsidRPr="000950FE">
        <w:rPr>
          <w:rFonts w:ascii="Arial" w:hAnsi="Arial" w:cs="Arial"/>
          <w:sz w:val="20"/>
          <w:szCs w:val="20"/>
        </w:rPr>
        <w:t xml:space="preserve">nel 2017 </w:t>
      </w:r>
      <w:r w:rsidR="004708BA" w:rsidRPr="000950FE">
        <w:rPr>
          <w:rFonts w:ascii="Arial" w:hAnsi="Arial" w:cs="Arial"/>
          <w:sz w:val="20"/>
          <w:szCs w:val="20"/>
        </w:rPr>
        <w:t>a</w:t>
      </w:r>
      <w:r w:rsidRPr="000950FE">
        <w:rPr>
          <w:rFonts w:ascii="Arial" w:hAnsi="Arial" w:cs="Arial"/>
          <w:sz w:val="20"/>
          <w:szCs w:val="20"/>
        </w:rPr>
        <w:t xml:space="preserve"> 18,5 nel 2020) e </w:t>
      </w:r>
      <w:r w:rsidR="004708BA" w:rsidRPr="000950FE">
        <w:rPr>
          <w:rFonts w:ascii="Arial" w:hAnsi="Arial" w:cs="Arial"/>
          <w:sz w:val="20"/>
          <w:szCs w:val="20"/>
        </w:rPr>
        <w:t>rimangono</w:t>
      </w:r>
      <w:r w:rsidRPr="000950FE">
        <w:rPr>
          <w:rFonts w:ascii="Arial" w:hAnsi="Arial" w:cs="Arial"/>
          <w:sz w:val="20"/>
          <w:szCs w:val="20"/>
        </w:rPr>
        <w:t xml:space="preserve"> sostanzialmente stabili nel 2021 (18,4). </w:t>
      </w:r>
      <w:r w:rsidR="00263A0C" w:rsidRPr="000950FE">
        <w:rPr>
          <w:rFonts w:ascii="Arial" w:hAnsi="Arial" w:cs="Arial"/>
          <w:sz w:val="20"/>
          <w:szCs w:val="20"/>
        </w:rPr>
        <w:t>L’incremento è stato più accentuato tra le minorenni (da 10,3 accessi per 10.000 totali nel 2017 a 16,4 nel 2021), ma l’incidenza più elevata è relativa alle</w:t>
      </w:r>
      <w:r w:rsidRPr="000950FE">
        <w:rPr>
          <w:rFonts w:ascii="Arial" w:hAnsi="Arial" w:cs="Arial"/>
          <w:sz w:val="20"/>
          <w:szCs w:val="20"/>
        </w:rPr>
        <w:t xml:space="preserve"> donne adulte di 35-49 anni (33,</w:t>
      </w:r>
      <w:r w:rsidR="005B6DBD" w:rsidRPr="000950FE">
        <w:rPr>
          <w:rFonts w:ascii="Arial" w:hAnsi="Arial" w:cs="Arial"/>
          <w:sz w:val="20"/>
          <w:szCs w:val="20"/>
        </w:rPr>
        <w:t>3</w:t>
      </w:r>
      <w:r w:rsidRPr="000950FE">
        <w:rPr>
          <w:rFonts w:ascii="Arial" w:hAnsi="Arial" w:cs="Arial"/>
          <w:sz w:val="20"/>
          <w:szCs w:val="20"/>
        </w:rPr>
        <w:t xml:space="preserve"> nel 2021) e </w:t>
      </w:r>
      <w:r w:rsidR="00263A0C" w:rsidRPr="000950FE">
        <w:rPr>
          <w:rFonts w:ascii="Arial" w:hAnsi="Arial" w:cs="Arial"/>
          <w:sz w:val="20"/>
          <w:szCs w:val="20"/>
        </w:rPr>
        <w:t>al</w:t>
      </w:r>
      <w:r w:rsidRPr="000950FE">
        <w:rPr>
          <w:rFonts w:ascii="Arial" w:hAnsi="Arial" w:cs="Arial"/>
          <w:sz w:val="20"/>
          <w:szCs w:val="20"/>
        </w:rPr>
        <w:t>le giovani donne</w:t>
      </w:r>
      <w:r w:rsidR="00DD1CCC">
        <w:rPr>
          <w:rFonts w:ascii="Arial" w:hAnsi="Arial" w:cs="Arial"/>
          <w:sz w:val="20"/>
          <w:szCs w:val="20"/>
        </w:rPr>
        <w:t xml:space="preserve"> </w:t>
      </w:r>
      <w:r w:rsidRPr="000950FE">
        <w:rPr>
          <w:rFonts w:ascii="Arial" w:hAnsi="Arial" w:cs="Arial"/>
          <w:sz w:val="20"/>
          <w:szCs w:val="20"/>
        </w:rPr>
        <w:t>di 18-34 anni (30,</w:t>
      </w:r>
      <w:r w:rsidR="005B6DBD" w:rsidRPr="000950FE">
        <w:rPr>
          <w:rFonts w:ascii="Arial" w:hAnsi="Arial" w:cs="Arial"/>
          <w:sz w:val="20"/>
          <w:szCs w:val="20"/>
        </w:rPr>
        <w:t>2</w:t>
      </w:r>
      <w:r w:rsidRPr="000950FE">
        <w:rPr>
          <w:rFonts w:ascii="Arial" w:hAnsi="Arial" w:cs="Arial"/>
          <w:sz w:val="20"/>
          <w:szCs w:val="20"/>
        </w:rPr>
        <w:t xml:space="preserve">) (Figura </w:t>
      </w:r>
      <w:r w:rsidR="00263A0C" w:rsidRPr="000950FE">
        <w:rPr>
          <w:rFonts w:ascii="Arial" w:hAnsi="Arial" w:cs="Arial"/>
          <w:sz w:val="20"/>
          <w:szCs w:val="20"/>
        </w:rPr>
        <w:t>3</w:t>
      </w:r>
      <w:r w:rsidRPr="000950FE">
        <w:rPr>
          <w:rFonts w:ascii="Arial" w:hAnsi="Arial" w:cs="Arial"/>
          <w:sz w:val="20"/>
          <w:szCs w:val="20"/>
        </w:rPr>
        <w:t xml:space="preserve">). Negli uomini il fenomeno risulta distribuito sostanzialmente allo stesso modo ma con valori inferiori rispetto alle donne, concentrato nella classe 18-34 anni e con valori sopra la media per gli adulti di 35-49 anni. </w:t>
      </w:r>
    </w:p>
    <w:p w14:paraId="645347C0" w14:textId="77777777" w:rsidR="00AA0F91" w:rsidRPr="000950FE" w:rsidRDefault="00AA0F91" w:rsidP="00C84A75">
      <w:pPr>
        <w:pStyle w:val="Default"/>
        <w:spacing w:after="120"/>
        <w:jc w:val="both"/>
        <w:rPr>
          <w:rFonts w:ascii="Arial" w:hAnsi="Arial" w:cs="Arial"/>
          <w:sz w:val="20"/>
          <w:szCs w:val="20"/>
        </w:rPr>
      </w:pPr>
    </w:p>
    <w:p w14:paraId="3F540A70" w14:textId="3E7D8CAC" w:rsidR="006C737B" w:rsidRPr="000950FE" w:rsidRDefault="00C84A75" w:rsidP="00DD1CCC">
      <w:pPr>
        <w:pStyle w:val="Default"/>
        <w:keepNext/>
        <w:spacing w:after="120"/>
        <w:jc w:val="both"/>
        <w:rPr>
          <w:rFonts w:ascii="Arial" w:hAnsi="Arial" w:cs="Arial"/>
          <w:sz w:val="20"/>
          <w:szCs w:val="20"/>
        </w:rPr>
      </w:pPr>
      <w:r w:rsidRPr="000950FE">
        <w:rPr>
          <w:rFonts w:ascii="Arial Narrow" w:hAnsi="Arial Narrow" w:cs="Arial"/>
          <w:b/>
          <w:bCs/>
          <w:iCs/>
          <w:noProof/>
          <w:color w:val="44546A" w:themeColor="text2"/>
          <w:sz w:val="20"/>
          <w:szCs w:val="20"/>
        </w:rPr>
        <w:t>F</w:t>
      </w:r>
      <w:r w:rsidRPr="00DD1CCC">
        <w:rPr>
          <w:rFonts w:ascii="Arial Narrow" w:hAnsi="Arial Narrow" w:cs="Arial"/>
          <w:b/>
          <w:bCs/>
          <w:iCs/>
          <w:noProof/>
          <w:color w:val="1F4B78"/>
          <w:sz w:val="20"/>
          <w:szCs w:val="20"/>
        </w:rPr>
        <w:t xml:space="preserve">IGURA </w:t>
      </w:r>
      <w:r w:rsidR="004708BA" w:rsidRPr="00DD1CCC">
        <w:rPr>
          <w:rFonts w:ascii="Arial Narrow" w:hAnsi="Arial Narrow" w:cs="Arial"/>
          <w:b/>
          <w:bCs/>
          <w:iCs/>
          <w:noProof/>
          <w:color w:val="1F4B78"/>
          <w:sz w:val="20"/>
          <w:szCs w:val="20"/>
        </w:rPr>
        <w:t>2</w:t>
      </w:r>
      <w:r w:rsidRPr="00DD1CCC">
        <w:rPr>
          <w:rFonts w:ascii="Arial Narrow" w:hAnsi="Arial Narrow" w:cs="Arial"/>
          <w:b/>
          <w:bCs/>
          <w:iCs/>
          <w:noProof/>
          <w:color w:val="1F4B78"/>
          <w:sz w:val="20"/>
          <w:szCs w:val="20"/>
        </w:rPr>
        <w:t xml:space="preserve">. ACCESSI AL </w:t>
      </w:r>
      <w:r w:rsidR="00B940BD" w:rsidRPr="00DD1CCC">
        <w:rPr>
          <w:rFonts w:ascii="Arial Narrow" w:hAnsi="Arial Narrow" w:cs="Arial"/>
          <w:b/>
          <w:bCs/>
          <w:iCs/>
          <w:noProof/>
          <w:color w:val="1F4B78"/>
          <w:sz w:val="20"/>
          <w:szCs w:val="20"/>
        </w:rPr>
        <w:t xml:space="preserve">PRONTO </w:t>
      </w:r>
      <w:r w:rsidRPr="00DD1CCC">
        <w:rPr>
          <w:rFonts w:ascii="Arial Narrow" w:hAnsi="Arial Narrow" w:cs="Arial"/>
          <w:b/>
          <w:bCs/>
          <w:iCs/>
          <w:noProof/>
          <w:color w:val="1F4B78"/>
          <w:sz w:val="20"/>
          <w:szCs w:val="20"/>
        </w:rPr>
        <w:t>S</w:t>
      </w:r>
      <w:r w:rsidR="00B940BD" w:rsidRPr="00DD1CCC">
        <w:rPr>
          <w:rFonts w:ascii="Arial Narrow" w:hAnsi="Arial Narrow" w:cs="Arial"/>
          <w:b/>
          <w:bCs/>
          <w:iCs/>
          <w:noProof/>
          <w:color w:val="1F4B78"/>
          <w:sz w:val="20"/>
          <w:szCs w:val="20"/>
        </w:rPr>
        <w:t>OCCORSO</w:t>
      </w:r>
      <w:r w:rsidRPr="00DD1CCC">
        <w:rPr>
          <w:rFonts w:ascii="Arial Narrow" w:hAnsi="Arial Narrow" w:cs="Arial"/>
          <w:b/>
          <w:bCs/>
          <w:iCs/>
          <w:noProof/>
          <w:color w:val="1F4B78"/>
          <w:sz w:val="20"/>
          <w:szCs w:val="20"/>
        </w:rPr>
        <w:t xml:space="preserve"> CON INDICAZIONE DI VIOLENZA PER SESSO E CLASSI DI ETA'</w:t>
      </w:r>
      <w:r w:rsidR="00B91A6C" w:rsidRPr="00DD1CCC">
        <w:rPr>
          <w:rFonts w:ascii="Arial Narrow" w:hAnsi="Arial Narrow" w:cs="Arial"/>
          <w:b/>
          <w:bCs/>
          <w:iCs/>
          <w:noProof/>
          <w:color w:val="1F4B78"/>
          <w:sz w:val="20"/>
          <w:szCs w:val="20"/>
        </w:rPr>
        <w:t xml:space="preserve"> (a)</w:t>
      </w:r>
      <w:r w:rsidRPr="00DD1CCC">
        <w:rPr>
          <w:rFonts w:ascii="Arial Narrow" w:hAnsi="Arial Narrow" w:cs="Arial"/>
          <w:b/>
          <w:bCs/>
          <w:iCs/>
          <w:noProof/>
          <w:color w:val="1F4B78"/>
          <w:sz w:val="20"/>
          <w:szCs w:val="20"/>
        </w:rPr>
        <w:t>.</w:t>
      </w:r>
      <w:r w:rsidRPr="000950FE">
        <w:rPr>
          <w:rFonts w:ascii="Arial" w:hAnsi="Arial" w:cs="Arial"/>
          <w:b/>
          <w:bCs/>
          <w:color w:val="44546A" w:themeColor="text2"/>
          <w:sz w:val="20"/>
          <w:szCs w:val="20"/>
        </w:rPr>
        <w:t xml:space="preserve"> </w:t>
      </w:r>
      <w:r w:rsidR="007C172E" w:rsidRPr="000950FE">
        <w:rPr>
          <w:rFonts w:ascii="Arial Narrow" w:hAnsi="Arial Narrow" w:cs="Arial"/>
          <w:bCs/>
          <w:color w:val="1F3864" w:themeColor="accent5" w:themeShade="80"/>
          <w:sz w:val="19"/>
          <w:szCs w:val="19"/>
        </w:rPr>
        <w:t>Anni 2017-202</w:t>
      </w:r>
      <w:r w:rsidR="00C93343">
        <w:rPr>
          <w:rFonts w:ascii="Arial Narrow" w:hAnsi="Arial Narrow" w:cs="Arial"/>
          <w:bCs/>
          <w:color w:val="1F3864" w:themeColor="accent5" w:themeShade="80"/>
          <w:sz w:val="19"/>
          <w:szCs w:val="19"/>
        </w:rPr>
        <w:t xml:space="preserve">1, </w:t>
      </w:r>
      <w:r w:rsidRPr="000950FE">
        <w:rPr>
          <w:rFonts w:ascii="Arial Narrow" w:hAnsi="Arial Narrow" w:cs="Arial"/>
          <w:bCs/>
          <w:color w:val="1F3864" w:themeColor="accent5" w:themeShade="80"/>
          <w:sz w:val="19"/>
          <w:szCs w:val="19"/>
        </w:rPr>
        <w:t>tassi per 10.000 residenti</w:t>
      </w:r>
      <w:r w:rsidR="00C93343">
        <w:rPr>
          <w:rFonts w:ascii="Arial Narrow" w:hAnsi="Arial Narrow" w:cs="Arial"/>
          <w:b/>
          <w:bCs/>
          <w:iCs/>
          <w:noProof/>
          <w:color w:val="44546A" w:themeColor="text2"/>
          <w:sz w:val="20"/>
          <w:szCs w:val="20"/>
        </w:rPr>
        <w:t>.</w:t>
      </w:r>
    </w:p>
    <w:tbl>
      <w:tblPr>
        <w:tblStyle w:val="Grigliatabel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55"/>
        <w:gridCol w:w="4843"/>
      </w:tblGrid>
      <w:tr w:rsidR="006C737B" w14:paraId="46C70718" w14:textId="77777777" w:rsidTr="003448C5">
        <w:tc>
          <w:tcPr>
            <w:tcW w:w="4639" w:type="dxa"/>
          </w:tcPr>
          <w:p w14:paraId="162131DF" w14:textId="77777777" w:rsidR="006C737B" w:rsidRDefault="006C737B" w:rsidP="006C737B">
            <w:pPr>
              <w:pStyle w:val="Default"/>
              <w:keepNext/>
              <w:spacing w:after="120"/>
              <w:ind w:left="-75" w:right="-43"/>
              <w:jc w:val="both"/>
              <w:rPr>
                <w:rFonts w:ascii="Arial Narrow" w:hAnsi="Arial Narrow" w:cs="Arial"/>
                <w:bCs/>
                <w:color w:val="1F3864" w:themeColor="accent5" w:themeShade="80"/>
                <w:sz w:val="19"/>
                <w:szCs w:val="19"/>
              </w:rPr>
            </w:pPr>
            <w:r>
              <w:rPr>
                <w:noProof/>
              </w:rPr>
              <w:drawing>
                <wp:inline distT="0" distB="0" distL="0" distR="0" wp14:anchorId="5C6807BF" wp14:editId="5D3D656E">
                  <wp:extent cx="2900149" cy="1951629"/>
                  <wp:effectExtent l="0" t="0" r="14605" b="10795"/>
                  <wp:docPr id="20" name="Grafico 2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859" w:type="dxa"/>
          </w:tcPr>
          <w:p w14:paraId="128300EC" w14:textId="77777777" w:rsidR="006C737B" w:rsidRDefault="006C737B" w:rsidP="006C737B">
            <w:pPr>
              <w:pStyle w:val="Default"/>
              <w:keepNext/>
              <w:spacing w:after="120"/>
              <w:jc w:val="both"/>
              <w:rPr>
                <w:rFonts w:ascii="Arial Narrow" w:hAnsi="Arial Narrow" w:cs="Arial"/>
                <w:bCs/>
                <w:color w:val="1F3864" w:themeColor="accent5" w:themeShade="80"/>
                <w:sz w:val="19"/>
                <w:szCs w:val="19"/>
              </w:rPr>
            </w:pPr>
            <w:r>
              <w:rPr>
                <w:noProof/>
              </w:rPr>
              <w:drawing>
                <wp:inline distT="0" distB="0" distL="0" distR="0" wp14:anchorId="37C67648" wp14:editId="75C06638">
                  <wp:extent cx="2941093" cy="1951355"/>
                  <wp:effectExtent l="0" t="0" r="12065" b="10795"/>
                  <wp:docPr id="21" name="Grafico 2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1F662CB9" w14:textId="4283760F" w:rsidR="00824C88" w:rsidRPr="00824C88" w:rsidRDefault="00824C88" w:rsidP="00824C88">
      <w:pPr>
        <w:spacing w:after="0" w:line="240" w:lineRule="auto"/>
        <w:jc w:val="both"/>
        <w:rPr>
          <w:rFonts w:ascii="Arial" w:eastAsia="Times New Roman" w:hAnsi="Arial" w:cs="Arial"/>
          <w:color w:val="000000"/>
          <w:sz w:val="15"/>
          <w:szCs w:val="15"/>
          <w:lang w:eastAsia="it-IT"/>
        </w:rPr>
      </w:pPr>
      <w:r w:rsidRPr="00824C88">
        <w:rPr>
          <w:rFonts w:ascii="Arial" w:eastAsia="Times New Roman" w:hAnsi="Arial" w:cs="Arial"/>
          <w:color w:val="000000"/>
          <w:sz w:val="15"/>
          <w:szCs w:val="15"/>
          <w:lang w:eastAsia="it-IT"/>
        </w:rPr>
        <w:t>(</w:t>
      </w:r>
      <w:r>
        <w:rPr>
          <w:rFonts w:ascii="Arial" w:eastAsia="Times New Roman" w:hAnsi="Arial" w:cs="Arial"/>
          <w:color w:val="000000"/>
          <w:sz w:val="15"/>
          <w:szCs w:val="15"/>
          <w:lang w:eastAsia="it-IT"/>
        </w:rPr>
        <w:t>a</w:t>
      </w:r>
      <w:r w:rsidRPr="00824C88">
        <w:rPr>
          <w:rFonts w:ascii="Arial" w:eastAsia="Times New Roman" w:hAnsi="Arial" w:cs="Arial"/>
          <w:color w:val="000000"/>
          <w:sz w:val="15"/>
          <w:szCs w:val="15"/>
          <w:lang w:eastAsia="it-IT"/>
        </w:rPr>
        <w:t>) Esclusi gli accessi per la regione Calabria e solo per il 2017 per la regione Campania.</w:t>
      </w:r>
    </w:p>
    <w:p w14:paraId="56CFAC37" w14:textId="101FFD9E" w:rsidR="00B305DA" w:rsidRPr="00DD1CCC" w:rsidRDefault="00B305DA" w:rsidP="00B305DA">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1134A1E1" w14:textId="221B43CD" w:rsidR="00B305DA" w:rsidRDefault="00B305DA" w:rsidP="00C84A75">
      <w:pPr>
        <w:pStyle w:val="Default"/>
        <w:keepNext/>
        <w:spacing w:after="120"/>
        <w:jc w:val="both"/>
        <w:rPr>
          <w:rFonts w:ascii="Arial Narrow" w:hAnsi="Arial Narrow" w:cs="Arial"/>
          <w:b/>
          <w:bCs/>
          <w:iCs/>
          <w:noProof/>
          <w:color w:val="44546A" w:themeColor="text2"/>
          <w:sz w:val="20"/>
          <w:szCs w:val="20"/>
        </w:rPr>
      </w:pPr>
    </w:p>
    <w:p w14:paraId="7EA2EB73" w14:textId="2EA0B874" w:rsidR="006C737B" w:rsidRPr="000950FE" w:rsidRDefault="00C84A75" w:rsidP="00C84A75">
      <w:pPr>
        <w:pStyle w:val="Default"/>
        <w:keepNext/>
        <w:spacing w:after="120"/>
        <w:jc w:val="both"/>
        <w:rPr>
          <w:rFonts w:ascii="Arial Narrow" w:hAnsi="Arial Narrow" w:cs="Arial"/>
          <w:sz w:val="19"/>
          <w:szCs w:val="19"/>
        </w:rPr>
      </w:pPr>
      <w:r w:rsidRPr="00DD1CCC">
        <w:rPr>
          <w:rFonts w:ascii="Arial Narrow" w:hAnsi="Arial Narrow" w:cs="Arial"/>
          <w:b/>
          <w:bCs/>
          <w:iCs/>
          <w:noProof/>
          <w:color w:val="1F4B78"/>
          <w:sz w:val="20"/>
          <w:szCs w:val="20"/>
        </w:rPr>
        <w:t xml:space="preserve">FIGURA </w:t>
      </w:r>
      <w:r w:rsidR="00263A0C" w:rsidRPr="00DD1CCC">
        <w:rPr>
          <w:rFonts w:ascii="Arial Narrow" w:hAnsi="Arial Narrow" w:cs="Arial"/>
          <w:b/>
          <w:bCs/>
          <w:iCs/>
          <w:noProof/>
          <w:color w:val="1F4B78"/>
          <w:sz w:val="20"/>
          <w:szCs w:val="20"/>
        </w:rPr>
        <w:t>3</w:t>
      </w:r>
      <w:r w:rsidRPr="00DD1CCC">
        <w:rPr>
          <w:rFonts w:ascii="Arial Narrow" w:hAnsi="Arial Narrow" w:cs="Arial"/>
          <w:b/>
          <w:bCs/>
          <w:iCs/>
          <w:noProof/>
          <w:color w:val="1F4B78"/>
          <w:sz w:val="20"/>
          <w:szCs w:val="20"/>
        </w:rPr>
        <w:t>. ACCESSI AL P</w:t>
      </w:r>
      <w:r w:rsidR="00B940BD" w:rsidRPr="00DD1CCC">
        <w:rPr>
          <w:rFonts w:ascii="Arial Narrow" w:hAnsi="Arial Narrow" w:cs="Arial"/>
          <w:b/>
          <w:bCs/>
          <w:iCs/>
          <w:noProof/>
          <w:color w:val="1F4B78"/>
          <w:sz w:val="20"/>
          <w:szCs w:val="20"/>
        </w:rPr>
        <w:t xml:space="preserve">RONTO </w:t>
      </w:r>
      <w:r w:rsidRPr="00DD1CCC">
        <w:rPr>
          <w:rFonts w:ascii="Arial Narrow" w:hAnsi="Arial Narrow" w:cs="Arial"/>
          <w:b/>
          <w:bCs/>
          <w:iCs/>
          <w:noProof/>
          <w:color w:val="1F4B78"/>
          <w:sz w:val="20"/>
          <w:szCs w:val="20"/>
        </w:rPr>
        <w:t>S</w:t>
      </w:r>
      <w:r w:rsidR="00B940BD" w:rsidRPr="00DD1CCC">
        <w:rPr>
          <w:rFonts w:ascii="Arial Narrow" w:hAnsi="Arial Narrow" w:cs="Arial"/>
          <w:b/>
          <w:bCs/>
          <w:iCs/>
          <w:noProof/>
          <w:color w:val="1F4B78"/>
          <w:sz w:val="20"/>
          <w:szCs w:val="20"/>
        </w:rPr>
        <w:t>OCCORSO</w:t>
      </w:r>
      <w:r w:rsidRPr="00DD1CCC">
        <w:rPr>
          <w:rFonts w:ascii="Arial Narrow" w:hAnsi="Arial Narrow" w:cs="Arial"/>
          <w:b/>
          <w:bCs/>
          <w:iCs/>
          <w:noProof/>
          <w:color w:val="1F4B78"/>
          <w:sz w:val="20"/>
          <w:szCs w:val="20"/>
        </w:rPr>
        <w:t xml:space="preserve"> CON INDICAZIONE DI VIOLENZA PER SESSO E CLASSI DI ETA'</w:t>
      </w:r>
      <w:r w:rsidR="00B91A6C" w:rsidRPr="00DD1CCC">
        <w:rPr>
          <w:rFonts w:ascii="Arial Narrow" w:hAnsi="Arial Narrow" w:cs="Arial"/>
          <w:b/>
          <w:bCs/>
          <w:iCs/>
          <w:noProof/>
          <w:color w:val="1F4B78"/>
          <w:sz w:val="20"/>
          <w:szCs w:val="20"/>
        </w:rPr>
        <w:t xml:space="preserve"> (a)</w:t>
      </w:r>
      <w:r w:rsidRPr="00DD1CCC">
        <w:rPr>
          <w:rFonts w:ascii="Arial Narrow" w:hAnsi="Arial Narrow" w:cs="Arial"/>
          <w:b/>
          <w:bCs/>
          <w:iCs/>
          <w:noProof/>
          <w:color w:val="1F4B78"/>
          <w:sz w:val="20"/>
          <w:szCs w:val="20"/>
        </w:rPr>
        <w:t>.</w:t>
      </w:r>
      <w:r w:rsidRPr="000950FE">
        <w:rPr>
          <w:rFonts w:ascii="Arial" w:hAnsi="Arial" w:cs="Arial"/>
          <w:b/>
          <w:bCs/>
          <w:color w:val="44546A" w:themeColor="text2"/>
          <w:sz w:val="20"/>
          <w:szCs w:val="20"/>
        </w:rPr>
        <w:t xml:space="preserve"> </w:t>
      </w:r>
      <w:r w:rsidRPr="000950FE">
        <w:rPr>
          <w:rFonts w:ascii="Arial Narrow" w:hAnsi="Arial Narrow" w:cs="Arial"/>
          <w:bCs/>
          <w:color w:val="1F3864" w:themeColor="accent5" w:themeShade="80"/>
          <w:sz w:val="19"/>
          <w:szCs w:val="19"/>
        </w:rPr>
        <w:t>Anni 2017-202</w:t>
      </w:r>
      <w:r w:rsidR="00C93343">
        <w:rPr>
          <w:rFonts w:ascii="Arial Narrow" w:hAnsi="Arial Narrow" w:cs="Arial"/>
          <w:bCs/>
          <w:color w:val="1F3864" w:themeColor="accent5" w:themeShade="80"/>
          <w:sz w:val="19"/>
          <w:szCs w:val="19"/>
        </w:rPr>
        <w:t xml:space="preserve">1, </w:t>
      </w:r>
      <w:r w:rsidRPr="000950FE">
        <w:rPr>
          <w:rFonts w:ascii="Arial Narrow" w:hAnsi="Arial Narrow" w:cs="Arial"/>
          <w:bCs/>
          <w:color w:val="1F3864" w:themeColor="accent5" w:themeShade="80"/>
          <w:sz w:val="19"/>
          <w:szCs w:val="19"/>
        </w:rPr>
        <w:t>per 10.000 accessi</w:t>
      </w:r>
      <w:r w:rsidR="007C172E" w:rsidRPr="000950FE">
        <w:rPr>
          <w:rFonts w:ascii="Arial Narrow" w:hAnsi="Arial Narrow" w:cs="Arial"/>
          <w:bCs/>
          <w:color w:val="1F3864" w:themeColor="accent5" w:themeShade="80"/>
          <w:sz w:val="19"/>
          <w:szCs w:val="19"/>
        </w:rPr>
        <w:t xml:space="preserve"> totali</w:t>
      </w:r>
      <w:r w:rsidR="00C93343">
        <w:rPr>
          <w:rFonts w:ascii="Arial Narrow" w:hAnsi="Arial Narrow" w:cs="Arial"/>
          <w:bCs/>
          <w:color w:val="1F3864" w:themeColor="accent5" w:themeShade="80"/>
          <w:sz w:val="19"/>
          <w:szCs w:val="19"/>
        </w:rPr>
        <w:t>.</w:t>
      </w:r>
    </w:p>
    <w:tbl>
      <w:tblPr>
        <w:tblStyle w:val="Grigliatabel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15"/>
        <w:gridCol w:w="4910"/>
      </w:tblGrid>
      <w:tr w:rsidR="006C737B" w14:paraId="3F2B6936" w14:textId="77777777" w:rsidTr="003448C5">
        <w:tc>
          <w:tcPr>
            <w:tcW w:w="4611" w:type="dxa"/>
          </w:tcPr>
          <w:p w14:paraId="4B2F980F" w14:textId="77777777" w:rsidR="006C737B" w:rsidRDefault="006C737B" w:rsidP="006C737B">
            <w:pPr>
              <w:pStyle w:val="Default"/>
              <w:keepNext/>
              <w:spacing w:after="120"/>
              <w:ind w:left="-75" w:right="-43"/>
              <w:jc w:val="both"/>
              <w:rPr>
                <w:rFonts w:ascii="Arial Narrow" w:hAnsi="Arial Narrow" w:cs="Arial"/>
                <w:bCs/>
                <w:color w:val="1F3864" w:themeColor="accent5" w:themeShade="80"/>
                <w:sz w:val="19"/>
                <w:szCs w:val="19"/>
              </w:rPr>
            </w:pPr>
            <w:r>
              <w:rPr>
                <w:noProof/>
              </w:rPr>
              <w:drawing>
                <wp:inline distT="0" distB="0" distL="0" distR="0" wp14:anchorId="7F7022BE" wp14:editId="13495797">
                  <wp:extent cx="2950210" cy="1992630"/>
                  <wp:effectExtent l="0" t="0" r="2540" b="7620"/>
                  <wp:docPr id="23" name="Grafico 23">
                    <a:extLst xmlns:a="http://schemas.openxmlformats.org/drawingml/2006/main">
                      <a:ext uri="{FF2B5EF4-FFF2-40B4-BE49-F238E27FC236}">
                        <a16:creationId xmlns:a16="http://schemas.microsoft.com/office/drawing/2014/main" id="{F9FB737F-635C-42D7-8EC7-82111FA46B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87" w:type="dxa"/>
          </w:tcPr>
          <w:p w14:paraId="7BE945E5" w14:textId="77777777" w:rsidR="006C737B" w:rsidRDefault="006C737B" w:rsidP="003448C5">
            <w:pPr>
              <w:pStyle w:val="Default"/>
              <w:keepNext/>
              <w:spacing w:after="120"/>
              <w:ind w:right="-152"/>
              <w:jc w:val="both"/>
              <w:rPr>
                <w:rFonts w:ascii="Arial Narrow" w:hAnsi="Arial Narrow" w:cs="Arial"/>
                <w:bCs/>
                <w:color w:val="1F3864" w:themeColor="accent5" w:themeShade="80"/>
                <w:sz w:val="19"/>
                <w:szCs w:val="19"/>
              </w:rPr>
            </w:pPr>
            <w:r>
              <w:rPr>
                <w:noProof/>
              </w:rPr>
              <w:drawing>
                <wp:inline distT="0" distB="0" distL="0" distR="0" wp14:anchorId="54D165F4" wp14:editId="3C98B864">
                  <wp:extent cx="3018790" cy="1992701"/>
                  <wp:effectExtent l="0" t="0" r="10160" b="7620"/>
                  <wp:docPr id="24" name="Grafico 24">
                    <a:extLst xmlns:a="http://schemas.openxmlformats.org/drawingml/2006/main">
                      <a:ext uri="{FF2B5EF4-FFF2-40B4-BE49-F238E27FC236}">
                        <a16:creationId xmlns:a16="http://schemas.microsoft.com/office/drawing/2014/main" id="{431FD7E2-3AE5-4F62-8232-AEDB1FFE04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9029193" w14:textId="77777777" w:rsidR="00824C88" w:rsidRPr="00824C88" w:rsidRDefault="00824C88" w:rsidP="00824C88">
      <w:pPr>
        <w:spacing w:after="0" w:line="240" w:lineRule="auto"/>
        <w:jc w:val="both"/>
        <w:rPr>
          <w:rFonts w:ascii="Arial" w:eastAsia="Times New Roman" w:hAnsi="Arial" w:cs="Arial"/>
          <w:color w:val="000000"/>
          <w:sz w:val="15"/>
          <w:szCs w:val="15"/>
          <w:lang w:eastAsia="it-IT"/>
        </w:rPr>
      </w:pPr>
      <w:r w:rsidRPr="00824C88">
        <w:rPr>
          <w:rFonts w:ascii="Arial" w:eastAsia="Times New Roman" w:hAnsi="Arial" w:cs="Arial"/>
          <w:color w:val="000000"/>
          <w:sz w:val="15"/>
          <w:szCs w:val="15"/>
          <w:lang w:eastAsia="it-IT"/>
        </w:rPr>
        <w:t>(</w:t>
      </w:r>
      <w:r>
        <w:rPr>
          <w:rFonts w:ascii="Arial" w:eastAsia="Times New Roman" w:hAnsi="Arial" w:cs="Arial"/>
          <w:color w:val="000000"/>
          <w:sz w:val="15"/>
          <w:szCs w:val="15"/>
          <w:lang w:eastAsia="it-IT"/>
        </w:rPr>
        <w:t>a</w:t>
      </w:r>
      <w:r w:rsidRPr="00824C88">
        <w:rPr>
          <w:rFonts w:ascii="Arial" w:eastAsia="Times New Roman" w:hAnsi="Arial" w:cs="Arial"/>
          <w:color w:val="000000"/>
          <w:sz w:val="15"/>
          <w:szCs w:val="15"/>
          <w:lang w:eastAsia="it-IT"/>
        </w:rPr>
        <w:t>) Esclusi gli accessi per la regione Calabria e solo per il 2017 per la regione Campania.</w:t>
      </w:r>
    </w:p>
    <w:p w14:paraId="39A2BCB2" w14:textId="108435C6" w:rsidR="00B305DA" w:rsidRPr="00DD1CCC" w:rsidRDefault="00B305DA" w:rsidP="00B305DA">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49AAE669" w14:textId="77777777" w:rsidR="003A6727" w:rsidRDefault="00C84A75" w:rsidP="000D1163">
      <w:pPr>
        <w:rPr>
          <w:rFonts w:ascii="Arial" w:hAnsi="Arial" w:cs="Arial"/>
          <w:b/>
          <w:bCs/>
          <w:color w:val="44546A" w:themeColor="text2"/>
        </w:rPr>
      </w:pPr>
      <w:r w:rsidRPr="000950FE">
        <w:rPr>
          <w:rFonts w:ascii="Arial" w:hAnsi="Arial" w:cs="Arial"/>
          <w:b/>
          <w:bCs/>
          <w:color w:val="44546A" w:themeColor="text2"/>
        </w:rPr>
        <w:br w:type="page"/>
      </w:r>
    </w:p>
    <w:p w14:paraId="6EA2C1C3" w14:textId="6A490B17" w:rsidR="000D1163" w:rsidRPr="000950FE" w:rsidRDefault="000D1163" w:rsidP="000D1163">
      <w:pPr>
        <w:rPr>
          <w:rFonts w:ascii="Arial" w:hAnsi="Arial" w:cs="Arial"/>
          <w:b/>
          <w:bCs/>
          <w:color w:val="44546A" w:themeColor="text2"/>
        </w:rPr>
      </w:pPr>
      <w:r w:rsidRPr="000950FE">
        <w:rPr>
          <w:rFonts w:ascii="Arial" w:hAnsi="Arial" w:cs="Arial"/>
          <w:b/>
          <w:bCs/>
          <w:color w:val="44546A" w:themeColor="text2"/>
        </w:rPr>
        <w:lastRenderedPageBreak/>
        <w:t xml:space="preserve">Gli accessi al </w:t>
      </w:r>
      <w:r w:rsidR="00C61705">
        <w:rPr>
          <w:rFonts w:ascii="Arial" w:hAnsi="Arial" w:cs="Arial"/>
          <w:b/>
          <w:bCs/>
          <w:color w:val="44546A" w:themeColor="text2"/>
        </w:rPr>
        <w:t>P</w:t>
      </w:r>
      <w:r w:rsidRPr="000950FE">
        <w:rPr>
          <w:rFonts w:ascii="Arial" w:hAnsi="Arial" w:cs="Arial"/>
          <w:b/>
          <w:bCs/>
          <w:color w:val="44546A" w:themeColor="text2"/>
        </w:rPr>
        <w:t xml:space="preserve">ronto </w:t>
      </w:r>
      <w:r w:rsidR="00C61705">
        <w:rPr>
          <w:rFonts w:ascii="Arial" w:hAnsi="Arial" w:cs="Arial"/>
          <w:b/>
          <w:bCs/>
          <w:color w:val="44546A" w:themeColor="text2"/>
        </w:rPr>
        <w:t>S</w:t>
      </w:r>
      <w:r w:rsidRPr="000950FE">
        <w:rPr>
          <w:rFonts w:ascii="Arial" w:hAnsi="Arial" w:cs="Arial"/>
          <w:b/>
          <w:bCs/>
          <w:color w:val="44546A" w:themeColor="text2"/>
        </w:rPr>
        <w:t>occorso sono più frequenti tra le donne straniere giovani</w:t>
      </w:r>
    </w:p>
    <w:p w14:paraId="74F05B6F" w14:textId="00539EF8" w:rsidR="000D1163" w:rsidRPr="000950FE" w:rsidRDefault="000D1163" w:rsidP="000D1163">
      <w:pPr>
        <w:pStyle w:val="Default"/>
        <w:spacing w:after="120"/>
        <w:jc w:val="both"/>
        <w:rPr>
          <w:rFonts w:ascii="Arial" w:hAnsi="Arial" w:cs="Arial"/>
          <w:sz w:val="20"/>
          <w:szCs w:val="20"/>
        </w:rPr>
      </w:pPr>
      <w:r w:rsidRPr="000950FE">
        <w:rPr>
          <w:rFonts w:ascii="Arial" w:hAnsi="Arial" w:cs="Arial"/>
          <w:sz w:val="20"/>
          <w:szCs w:val="20"/>
        </w:rPr>
        <w:t xml:space="preserve">Nel biennio 2020-2021 gli accessi al PS con indicazione di violenza ogni 10.000 accessi </w:t>
      </w:r>
      <w:r w:rsidR="002E0754" w:rsidRPr="000950FE">
        <w:rPr>
          <w:rFonts w:ascii="Arial" w:hAnsi="Arial" w:cs="Arial"/>
          <w:sz w:val="20"/>
          <w:szCs w:val="20"/>
        </w:rPr>
        <w:t xml:space="preserve">totali </w:t>
      </w:r>
      <w:r w:rsidRPr="000950FE">
        <w:rPr>
          <w:rFonts w:ascii="Arial" w:hAnsi="Arial" w:cs="Arial"/>
          <w:sz w:val="20"/>
          <w:szCs w:val="20"/>
        </w:rPr>
        <w:t>tra le donne straniere sono 39,2 a fronte d</w:t>
      </w:r>
      <w:r w:rsidR="002E0754" w:rsidRPr="000950FE">
        <w:rPr>
          <w:rFonts w:ascii="Arial" w:hAnsi="Arial" w:cs="Arial"/>
          <w:sz w:val="20"/>
          <w:szCs w:val="20"/>
        </w:rPr>
        <w:t>i</w:t>
      </w:r>
      <w:r w:rsidRPr="000950FE">
        <w:rPr>
          <w:rFonts w:ascii="Arial" w:hAnsi="Arial" w:cs="Arial"/>
          <w:sz w:val="20"/>
          <w:szCs w:val="20"/>
        </w:rPr>
        <w:t xml:space="preserve"> 16,5 tra le italiane. </w:t>
      </w:r>
      <w:r w:rsidR="007F5F2C" w:rsidRPr="000950FE">
        <w:rPr>
          <w:rFonts w:ascii="Arial" w:hAnsi="Arial" w:cs="Arial"/>
          <w:sz w:val="20"/>
          <w:szCs w:val="20"/>
        </w:rPr>
        <w:t>Il divario è massimo</w:t>
      </w:r>
      <w:r w:rsidRPr="000950FE">
        <w:rPr>
          <w:rFonts w:ascii="Arial" w:hAnsi="Arial" w:cs="Arial"/>
          <w:sz w:val="20"/>
          <w:szCs w:val="20"/>
        </w:rPr>
        <w:t xml:space="preserve"> tra le giovani donne di 18-34 anni</w:t>
      </w:r>
      <w:r w:rsidR="007F5F2C" w:rsidRPr="000950FE">
        <w:rPr>
          <w:rFonts w:ascii="Arial" w:hAnsi="Arial" w:cs="Arial"/>
          <w:sz w:val="20"/>
          <w:szCs w:val="20"/>
        </w:rPr>
        <w:t xml:space="preserve"> (classe di età modale per le donne straniere)</w:t>
      </w:r>
      <w:r w:rsidRPr="000950FE">
        <w:rPr>
          <w:rFonts w:ascii="Arial" w:hAnsi="Arial" w:cs="Arial"/>
          <w:sz w:val="20"/>
          <w:szCs w:val="20"/>
        </w:rPr>
        <w:t xml:space="preserve"> con valori rispettivamente pari a </w:t>
      </w:r>
      <w:r w:rsidR="007F5F2C" w:rsidRPr="000950FE">
        <w:rPr>
          <w:rFonts w:ascii="Arial" w:hAnsi="Arial" w:cs="Arial"/>
          <w:sz w:val="20"/>
          <w:szCs w:val="20"/>
        </w:rPr>
        <w:t xml:space="preserve">47,9 </w:t>
      </w:r>
      <w:r w:rsidR="00BC72D0" w:rsidRPr="000950FE">
        <w:rPr>
          <w:rFonts w:ascii="Arial" w:hAnsi="Arial" w:cs="Arial"/>
          <w:sz w:val="20"/>
          <w:szCs w:val="20"/>
        </w:rPr>
        <w:t xml:space="preserve">per le straniere </w:t>
      </w:r>
      <w:r w:rsidR="007F5F2C" w:rsidRPr="000950FE">
        <w:rPr>
          <w:rFonts w:ascii="Arial" w:hAnsi="Arial" w:cs="Arial"/>
          <w:sz w:val="20"/>
          <w:szCs w:val="20"/>
        </w:rPr>
        <w:t xml:space="preserve">e </w:t>
      </w:r>
      <w:r w:rsidRPr="000950FE">
        <w:rPr>
          <w:rFonts w:ascii="Arial" w:hAnsi="Arial" w:cs="Arial"/>
          <w:sz w:val="20"/>
          <w:szCs w:val="20"/>
        </w:rPr>
        <w:t>27,5</w:t>
      </w:r>
      <w:r w:rsidR="00BC72D0" w:rsidRPr="000950FE">
        <w:rPr>
          <w:rFonts w:ascii="Arial" w:hAnsi="Arial" w:cs="Arial"/>
          <w:sz w:val="20"/>
          <w:szCs w:val="20"/>
        </w:rPr>
        <w:t xml:space="preserve"> per le italiane</w:t>
      </w:r>
      <w:r w:rsidRPr="000950FE">
        <w:rPr>
          <w:rFonts w:ascii="Arial" w:hAnsi="Arial" w:cs="Arial"/>
          <w:sz w:val="20"/>
          <w:szCs w:val="20"/>
        </w:rPr>
        <w:t xml:space="preserve">. </w:t>
      </w:r>
    </w:p>
    <w:p w14:paraId="43F0AC6E" w14:textId="133E9F54" w:rsidR="000D1163" w:rsidRDefault="007C5F9C" w:rsidP="000D1163">
      <w:pPr>
        <w:pStyle w:val="Default"/>
        <w:spacing w:after="120"/>
        <w:jc w:val="both"/>
        <w:rPr>
          <w:rFonts w:ascii="Arial" w:hAnsi="Arial" w:cs="Arial"/>
          <w:sz w:val="20"/>
          <w:szCs w:val="20"/>
        </w:rPr>
      </w:pPr>
      <w:r w:rsidRPr="007C5F9C">
        <w:rPr>
          <w:rFonts w:ascii="Arial" w:hAnsi="Arial" w:cs="Arial"/>
          <w:sz w:val="20"/>
          <w:szCs w:val="20"/>
        </w:rPr>
        <w:t>Anche rispetto alla popolazione residente, i tassi di accesso al PS con indicazione di violenza nelle straniere sono più del doppio di quelli delle italiane: 11,8 per 10.000 residenti contro 4,7 nel periodo pre-pandemico, 10,0 contro 3,8 nel periodo pandemico. Il divario maggiore si osserva nelle classi di età 18-34 e 35-49, anni in cui i tassi sono più elevati (Figura 4).</w:t>
      </w:r>
    </w:p>
    <w:p w14:paraId="0313E297" w14:textId="29287D83" w:rsidR="000D1163" w:rsidRPr="00DD1CCC" w:rsidRDefault="000D1163" w:rsidP="000D1163">
      <w:pPr>
        <w:keepNext/>
        <w:spacing w:after="120" w:line="240" w:lineRule="auto"/>
        <w:jc w:val="both"/>
        <w:rPr>
          <w:rFonts w:ascii="Arial Narrow" w:eastAsia="Times New Roman" w:hAnsi="Arial Narrow" w:cs="Arial"/>
          <w:bCs/>
          <w:color w:val="1F3864" w:themeColor="accent5" w:themeShade="80"/>
          <w:sz w:val="19"/>
          <w:szCs w:val="19"/>
          <w:lang w:eastAsia="it-IT"/>
        </w:rPr>
      </w:pPr>
      <w:r w:rsidRPr="00DD1CCC">
        <w:rPr>
          <w:rFonts w:ascii="Arial Narrow" w:eastAsia="Times New Roman" w:hAnsi="Arial Narrow" w:cs="Arial"/>
          <w:b/>
          <w:bCs/>
          <w:iCs/>
          <w:noProof/>
          <w:color w:val="1F4B78"/>
          <w:sz w:val="20"/>
          <w:szCs w:val="20"/>
          <w:lang w:eastAsia="it-IT"/>
        </w:rPr>
        <w:t xml:space="preserve">FIGURA </w:t>
      </w:r>
      <w:r w:rsidR="007F5F2C" w:rsidRPr="00DD1CCC">
        <w:rPr>
          <w:rFonts w:ascii="Arial Narrow" w:eastAsia="Times New Roman" w:hAnsi="Arial Narrow" w:cs="Arial"/>
          <w:b/>
          <w:bCs/>
          <w:iCs/>
          <w:noProof/>
          <w:color w:val="1F4B78"/>
          <w:sz w:val="20"/>
          <w:szCs w:val="20"/>
          <w:lang w:eastAsia="it-IT"/>
        </w:rPr>
        <w:t>4</w:t>
      </w:r>
      <w:r w:rsidRPr="00DD1CCC">
        <w:rPr>
          <w:rFonts w:ascii="Arial Narrow" w:eastAsia="Times New Roman" w:hAnsi="Arial Narrow" w:cs="Arial"/>
          <w:b/>
          <w:bCs/>
          <w:iCs/>
          <w:noProof/>
          <w:color w:val="1F4B78"/>
          <w:sz w:val="20"/>
          <w:szCs w:val="20"/>
          <w:lang w:eastAsia="it-IT"/>
        </w:rPr>
        <w:t>. ACCESSI AL P</w:t>
      </w:r>
      <w:r w:rsidR="007F5F2C" w:rsidRPr="00DD1CCC">
        <w:rPr>
          <w:rFonts w:ascii="Arial Narrow" w:eastAsia="Times New Roman" w:hAnsi="Arial Narrow" w:cs="Arial"/>
          <w:b/>
          <w:bCs/>
          <w:iCs/>
          <w:noProof/>
          <w:color w:val="1F4B78"/>
          <w:sz w:val="20"/>
          <w:szCs w:val="20"/>
          <w:lang w:eastAsia="it-IT"/>
        </w:rPr>
        <w:t xml:space="preserve">RONTO </w:t>
      </w:r>
      <w:r w:rsidRPr="00DD1CCC">
        <w:rPr>
          <w:rFonts w:ascii="Arial Narrow" w:eastAsia="Times New Roman" w:hAnsi="Arial Narrow" w:cs="Arial"/>
          <w:b/>
          <w:bCs/>
          <w:iCs/>
          <w:noProof/>
          <w:color w:val="1F4B78"/>
          <w:sz w:val="20"/>
          <w:szCs w:val="20"/>
          <w:lang w:eastAsia="it-IT"/>
        </w:rPr>
        <w:t>S</w:t>
      </w:r>
      <w:r w:rsidR="007F5F2C" w:rsidRPr="00DD1CCC">
        <w:rPr>
          <w:rFonts w:ascii="Arial Narrow" w:eastAsia="Times New Roman" w:hAnsi="Arial Narrow" w:cs="Arial"/>
          <w:b/>
          <w:bCs/>
          <w:iCs/>
          <w:noProof/>
          <w:color w:val="1F4B78"/>
          <w:sz w:val="20"/>
          <w:szCs w:val="20"/>
          <w:lang w:eastAsia="it-IT"/>
        </w:rPr>
        <w:t>OCCORSO</w:t>
      </w:r>
      <w:r w:rsidRPr="00DD1CCC">
        <w:rPr>
          <w:rFonts w:ascii="Arial Narrow" w:eastAsia="Times New Roman" w:hAnsi="Arial Narrow" w:cs="Arial"/>
          <w:b/>
          <w:bCs/>
          <w:iCs/>
          <w:noProof/>
          <w:color w:val="1F4B78"/>
          <w:sz w:val="20"/>
          <w:szCs w:val="20"/>
          <w:lang w:eastAsia="it-IT"/>
        </w:rPr>
        <w:t xml:space="preserve"> DI DONNE CON INDICAZIONE DI VIOLENZA PER CITTADINANZA E CLASSI DI ETA'</w:t>
      </w:r>
      <w:r w:rsidR="00B91A6C" w:rsidRPr="00DD1CCC">
        <w:rPr>
          <w:rFonts w:ascii="Arial Narrow" w:eastAsia="Times New Roman" w:hAnsi="Arial Narrow" w:cs="Arial"/>
          <w:b/>
          <w:bCs/>
          <w:iCs/>
          <w:noProof/>
          <w:color w:val="1F4B78"/>
          <w:sz w:val="20"/>
          <w:szCs w:val="20"/>
          <w:lang w:eastAsia="it-IT"/>
        </w:rPr>
        <w:t xml:space="preserve"> (a)</w:t>
      </w:r>
      <w:r w:rsidRPr="00DD1CCC">
        <w:rPr>
          <w:rFonts w:ascii="Arial Narrow" w:eastAsia="Times New Roman" w:hAnsi="Arial Narrow" w:cs="Arial"/>
          <w:b/>
          <w:bCs/>
          <w:iCs/>
          <w:noProof/>
          <w:color w:val="1F4B78"/>
          <w:sz w:val="20"/>
          <w:szCs w:val="20"/>
          <w:lang w:eastAsia="it-IT"/>
        </w:rPr>
        <w:t>.</w:t>
      </w:r>
      <w:r w:rsidRPr="000950FE">
        <w:rPr>
          <w:rFonts w:ascii="Arial Narrow" w:eastAsia="Times New Roman" w:hAnsi="Arial Narrow" w:cs="Arial"/>
          <w:b/>
          <w:bCs/>
          <w:iCs/>
          <w:noProof/>
          <w:color w:val="7F7F7F" w:themeColor="text1" w:themeTint="80"/>
          <w:sz w:val="20"/>
          <w:szCs w:val="20"/>
          <w:lang w:eastAsia="it-IT"/>
        </w:rPr>
        <w:t xml:space="preserve"> </w:t>
      </w:r>
      <w:r w:rsidRPr="00DD1CCC">
        <w:rPr>
          <w:rFonts w:ascii="Arial Narrow" w:eastAsia="Times New Roman" w:hAnsi="Arial Narrow" w:cs="Arial"/>
          <w:bCs/>
          <w:color w:val="1F3864" w:themeColor="accent5" w:themeShade="80"/>
          <w:sz w:val="19"/>
          <w:szCs w:val="19"/>
          <w:lang w:eastAsia="it-IT"/>
        </w:rPr>
        <w:t>Anni 2017-2019, 2020-2021</w:t>
      </w:r>
      <w:r w:rsidR="00C93343">
        <w:rPr>
          <w:rFonts w:ascii="Arial Narrow" w:eastAsia="Times New Roman" w:hAnsi="Arial Narrow" w:cs="Arial"/>
          <w:bCs/>
          <w:color w:val="1F3864" w:themeColor="accent5" w:themeShade="80"/>
          <w:sz w:val="19"/>
          <w:szCs w:val="19"/>
          <w:lang w:eastAsia="it-IT"/>
        </w:rPr>
        <w:t xml:space="preserve">, </w:t>
      </w:r>
      <w:r w:rsidRPr="00DD1CCC">
        <w:rPr>
          <w:rFonts w:ascii="Arial Narrow" w:eastAsia="Times New Roman" w:hAnsi="Arial Narrow" w:cs="Arial"/>
          <w:bCs/>
          <w:color w:val="1F3864" w:themeColor="accent5" w:themeShade="80"/>
          <w:sz w:val="19"/>
          <w:szCs w:val="19"/>
          <w:lang w:eastAsia="it-IT"/>
        </w:rPr>
        <w:t>tassi per 10.000 residenti</w:t>
      </w:r>
      <w:r w:rsidR="00C93343">
        <w:rPr>
          <w:rFonts w:ascii="Arial Narrow" w:eastAsia="Times New Roman" w:hAnsi="Arial Narrow" w:cs="Arial"/>
          <w:bCs/>
          <w:color w:val="1F3864" w:themeColor="accent5" w:themeShade="80"/>
          <w:sz w:val="19"/>
          <w:szCs w:val="19"/>
          <w:lang w:eastAsia="it-IT"/>
        </w:rPr>
        <w:t>.</w:t>
      </w:r>
    </w:p>
    <w:p w14:paraId="2CE85A2D" w14:textId="6F2C6BA3" w:rsidR="000D1163" w:rsidRPr="000950FE" w:rsidRDefault="00BE7D6A" w:rsidP="00BE7D6A">
      <w:pPr>
        <w:spacing w:after="0" w:line="240" w:lineRule="auto"/>
        <w:rPr>
          <w:rFonts w:ascii="Arial" w:eastAsia="Times New Roman" w:hAnsi="Arial" w:cs="Arial"/>
          <w:b/>
          <w:bCs/>
          <w:color w:val="44546A" w:themeColor="text2"/>
          <w:sz w:val="20"/>
          <w:szCs w:val="20"/>
          <w:lang w:eastAsia="it-IT"/>
        </w:rPr>
      </w:pPr>
      <w:r>
        <w:rPr>
          <w:noProof/>
          <w:lang w:eastAsia="it-IT"/>
        </w:rPr>
        <w:drawing>
          <wp:inline distT="0" distB="0" distL="0" distR="0" wp14:anchorId="162A515E" wp14:editId="7F3B7941">
            <wp:extent cx="5976620" cy="2401001"/>
            <wp:effectExtent l="0" t="0" r="5080" b="18415"/>
            <wp:docPr id="1" name="Grafico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97AF22" w14:textId="40269992" w:rsidR="00824C88" w:rsidRPr="00824C88" w:rsidRDefault="00824C88" w:rsidP="00BE7D6A">
      <w:pPr>
        <w:spacing w:before="60" w:after="0" w:line="240" w:lineRule="auto"/>
        <w:jc w:val="both"/>
        <w:rPr>
          <w:rFonts w:ascii="Arial" w:eastAsia="Times New Roman" w:hAnsi="Arial" w:cs="Arial"/>
          <w:color w:val="000000"/>
          <w:sz w:val="15"/>
          <w:szCs w:val="15"/>
          <w:lang w:eastAsia="it-IT"/>
        </w:rPr>
      </w:pPr>
      <w:r w:rsidRPr="00824C88">
        <w:rPr>
          <w:rFonts w:ascii="Arial" w:eastAsia="Times New Roman" w:hAnsi="Arial" w:cs="Arial"/>
          <w:color w:val="000000"/>
          <w:sz w:val="15"/>
          <w:szCs w:val="15"/>
          <w:lang w:eastAsia="it-IT"/>
        </w:rPr>
        <w:t>(</w:t>
      </w:r>
      <w:r>
        <w:rPr>
          <w:rFonts w:ascii="Arial" w:eastAsia="Times New Roman" w:hAnsi="Arial" w:cs="Arial"/>
          <w:color w:val="000000"/>
          <w:sz w:val="15"/>
          <w:szCs w:val="15"/>
          <w:lang w:eastAsia="it-IT"/>
        </w:rPr>
        <w:t>a</w:t>
      </w:r>
      <w:r w:rsidRPr="00824C88">
        <w:rPr>
          <w:rFonts w:ascii="Arial" w:eastAsia="Times New Roman" w:hAnsi="Arial" w:cs="Arial"/>
          <w:color w:val="000000"/>
          <w:sz w:val="15"/>
          <w:szCs w:val="15"/>
          <w:lang w:eastAsia="it-IT"/>
        </w:rPr>
        <w:t>) Esclusi gli accessi per la regione Calabria e per la regione Campania.</w:t>
      </w:r>
    </w:p>
    <w:p w14:paraId="2869CD3F" w14:textId="3A0EB3B2" w:rsidR="000D1163" w:rsidRPr="00DD1CCC" w:rsidRDefault="002E7725" w:rsidP="00D92EDB">
      <w:pPr>
        <w:tabs>
          <w:tab w:val="left" w:pos="6244"/>
        </w:tabs>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584B909B" w14:textId="77777777" w:rsidR="007E2070" w:rsidRPr="000950FE" w:rsidRDefault="007E2070" w:rsidP="002E7725">
      <w:pPr>
        <w:spacing w:after="0" w:line="240" w:lineRule="auto"/>
        <w:jc w:val="both"/>
        <w:rPr>
          <w:rFonts w:ascii="Arial" w:eastAsia="Times New Roman" w:hAnsi="Arial" w:cs="Arial"/>
          <w:color w:val="000000"/>
          <w:sz w:val="16"/>
          <w:szCs w:val="16"/>
          <w:lang w:eastAsia="it-IT"/>
        </w:rPr>
      </w:pPr>
    </w:p>
    <w:p w14:paraId="60B0CE59" w14:textId="6BA58995" w:rsidR="00484D2A" w:rsidRPr="000950FE" w:rsidRDefault="00484D2A" w:rsidP="00DD1CCC">
      <w:pPr>
        <w:spacing w:after="120" w:line="240" w:lineRule="auto"/>
        <w:jc w:val="both"/>
        <w:rPr>
          <w:rFonts w:ascii="Arial" w:hAnsi="Arial" w:cs="Arial"/>
          <w:b/>
          <w:bCs/>
          <w:color w:val="44546A" w:themeColor="text2"/>
        </w:rPr>
      </w:pPr>
      <w:r w:rsidRPr="000950FE">
        <w:rPr>
          <w:rFonts w:ascii="Arial" w:hAnsi="Arial" w:cs="Arial"/>
          <w:b/>
          <w:bCs/>
          <w:color w:val="44546A" w:themeColor="text2"/>
        </w:rPr>
        <w:t>A</w:t>
      </w:r>
      <w:r w:rsidR="00B940BD" w:rsidRPr="000950FE">
        <w:rPr>
          <w:rFonts w:ascii="Arial" w:hAnsi="Arial" w:cs="Arial"/>
          <w:b/>
          <w:bCs/>
          <w:color w:val="44546A" w:themeColor="text2"/>
        </w:rPr>
        <w:t>umentano le donne che arrivano</w:t>
      </w:r>
      <w:r w:rsidRPr="000950FE">
        <w:rPr>
          <w:rFonts w:ascii="Arial" w:hAnsi="Arial" w:cs="Arial"/>
          <w:b/>
          <w:bCs/>
          <w:color w:val="44546A" w:themeColor="text2"/>
        </w:rPr>
        <w:t xml:space="preserve"> al Pronto Soccorso </w:t>
      </w:r>
      <w:r w:rsidR="00B940BD" w:rsidRPr="000950FE">
        <w:rPr>
          <w:rFonts w:ascii="Arial" w:hAnsi="Arial" w:cs="Arial"/>
          <w:b/>
          <w:bCs/>
          <w:color w:val="44546A" w:themeColor="text2"/>
        </w:rPr>
        <w:t xml:space="preserve">per </w:t>
      </w:r>
      <w:r w:rsidRPr="000950FE">
        <w:rPr>
          <w:rFonts w:ascii="Arial" w:hAnsi="Arial" w:cs="Arial"/>
          <w:b/>
          <w:bCs/>
          <w:color w:val="44546A" w:themeColor="text2"/>
        </w:rPr>
        <w:t>vio</w:t>
      </w:r>
      <w:r w:rsidR="004C62C4" w:rsidRPr="000950FE">
        <w:rPr>
          <w:rFonts w:ascii="Arial" w:hAnsi="Arial" w:cs="Arial"/>
          <w:b/>
          <w:bCs/>
          <w:color w:val="44546A" w:themeColor="text2"/>
        </w:rPr>
        <w:t>le</w:t>
      </w:r>
      <w:r w:rsidRPr="000950FE">
        <w:rPr>
          <w:rFonts w:ascii="Arial" w:hAnsi="Arial" w:cs="Arial"/>
          <w:b/>
          <w:bCs/>
          <w:color w:val="44546A" w:themeColor="text2"/>
        </w:rPr>
        <w:t>nza</w:t>
      </w:r>
      <w:r w:rsidR="00B940BD" w:rsidRPr="000950FE">
        <w:rPr>
          <w:rFonts w:ascii="Arial" w:hAnsi="Arial" w:cs="Arial"/>
          <w:b/>
          <w:bCs/>
          <w:color w:val="44546A" w:themeColor="text2"/>
        </w:rPr>
        <w:t xml:space="preserve"> tramite il 118</w:t>
      </w:r>
      <w:r w:rsidR="004C62C4" w:rsidRPr="000950FE">
        <w:rPr>
          <w:rFonts w:ascii="Arial" w:hAnsi="Arial" w:cs="Arial"/>
          <w:b/>
          <w:bCs/>
          <w:color w:val="44546A" w:themeColor="text2"/>
        </w:rPr>
        <w:t xml:space="preserve"> </w:t>
      </w:r>
    </w:p>
    <w:p w14:paraId="79E928EF" w14:textId="7D12AEB9" w:rsidR="006819A5" w:rsidRDefault="00226453" w:rsidP="00DD1CCC">
      <w:pPr>
        <w:spacing w:after="120" w:line="240" w:lineRule="auto"/>
        <w:jc w:val="both"/>
        <w:rPr>
          <w:rFonts w:ascii="Arial" w:hAnsi="Arial" w:cs="Arial"/>
          <w:sz w:val="20"/>
          <w:szCs w:val="20"/>
        </w:rPr>
      </w:pPr>
      <w:r w:rsidRPr="000950FE">
        <w:rPr>
          <w:rFonts w:ascii="Arial" w:hAnsi="Arial" w:cs="Arial"/>
          <w:sz w:val="20"/>
          <w:szCs w:val="20"/>
        </w:rPr>
        <w:t>Le donne accedono al</w:t>
      </w:r>
      <w:r w:rsidR="004D6FC4" w:rsidRPr="000950FE">
        <w:rPr>
          <w:rFonts w:ascii="Arial" w:hAnsi="Arial" w:cs="Arial"/>
          <w:sz w:val="20"/>
          <w:szCs w:val="20"/>
        </w:rPr>
        <w:t xml:space="preserve"> </w:t>
      </w:r>
      <w:r w:rsidRPr="000950FE">
        <w:rPr>
          <w:rFonts w:ascii="Arial" w:hAnsi="Arial" w:cs="Arial"/>
          <w:sz w:val="20"/>
          <w:szCs w:val="20"/>
        </w:rPr>
        <w:t>PS</w:t>
      </w:r>
      <w:r w:rsidR="004D6FC4" w:rsidRPr="000950FE">
        <w:rPr>
          <w:rFonts w:ascii="Arial" w:hAnsi="Arial" w:cs="Arial"/>
          <w:sz w:val="20"/>
          <w:szCs w:val="20"/>
        </w:rPr>
        <w:t xml:space="preserve"> </w:t>
      </w:r>
      <w:r w:rsidRPr="000950FE">
        <w:rPr>
          <w:rFonts w:ascii="Arial" w:hAnsi="Arial" w:cs="Arial"/>
          <w:sz w:val="20"/>
          <w:szCs w:val="20"/>
        </w:rPr>
        <w:t>principalmente con mezzo proprio</w:t>
      </w:r>
      <w:r w:rsidR="006B69D9" w:rsidRPr="000950FE">
        <w:rPr>
          <w:rFonts w:ascii="Arial" w:hAnsi="Arial" w:cs="Arial"/>
          <w:sz w:val="20"/>
          <w:szCs w:val="20"/>
        </w:rPr>
        <w:t>:</w:t>
      </w:r>
      <w:r w:rsidRPr="000950FE">
        <w:rPr>
          <w:rFonts w:ascii="Arial" w:hAnsi="Arial" w:cs="Arial"/>
          <w:sz w:val="20"/>
          <w:szCs w:val="20"/>
        </w:rPr>
        <w:t xml:space="preserve"> 61,3% </w:t>
      </w:r>
      <w:r w:rsidR="006B69D9" w:rsidRPr="000950FE">
        <w:rPr>
          <w:rFonts w:ascii="Arial" w:hAnsi="Arial" w:cs="Arial"/>
          <w:sz w:val="20"/>
          <w:szCs w:val="20"/>
        </w:rPr>
        <w:t>per gli accessi con indicazione di violenza, 73,4% per tutti gli accessi nel 2021</w:t>
      </w:r>
      <w:r w:rsidR="004D6FC4" w:rsidRPr="000950FE">
        <w:rPr>
          <w:rFonts w:ascii="Arial" w:hAnsi="Arial" w:cs="Arial"/>
          <w:sz w:val="20"/>
          <w:szCs w:val="20"/>
        </w:rPr>
        <w:t xml:space="preserve">. </w:t>
      </w:r>
      <w:r w:rsidR="0073149D" w:rsidRPr="000950FE">
        <w:rPr>
          <w:rFonts w:ascii="Arial" w:hAnsi="Arial" w:cs="Arial"/>
          <w:sz w:val="20"/>
          <w:szCs w:val="20"/>
        </w:rPr>
        <w:t>Tuttavia dal 2017 si osserva una diminuzione degli accessi</w:t>
      </w:r>
      <w:r w:rsidR="006B69D9" w:rsidRPr="000950FE">
        <w:rPr>
          <w:rFonts w:ascii="Arial" w:hAnsi="Arial" w:cs="Arial"/>
          <w:sz w:val="20"/>
          <w:szCs w:val="20"/>
        </w:rPr>
        <w:t xml:space="preserve"> per violenza </w:t>
      </w:r>
      <w:r w:rsidR="0073149D" w:rsidRPr="000950FE">
        <w:rPr>
          <w:rFonts w:ascii="Arial" w:hAnsi="Arial" w:cs="Arial"/>
          <w:sz w:val="20"/>
          <w:szCs w:val="20"/>
        </w:rPr>
        <w:t xml:space="preserve">con tale modalità di arrivo in favore del ricorso al </w:t>
      </w:r>
      <w:r w:rsidR="006B69D9" w:rsidRPr="000950FE">
        <w:rPr>
          <w:rFonts w:ascii="Arial" w:hAnsi="Arial" w:cs="Arial"/>
          <w:sz w:val="20"/>
          <w:szCs w:val="20"/>
        </w:rPr>
        <w:t xml:space="preserve">PS tramite </w:t>
      </w:r>
      <w:r w:rsidR="0073149D" w:rsidRPr="000950FE">
        <w:rPr>
          <w:rFonts w:ascii="Arial" w:hAnsi="Arial" w:cs="Arial"/>
          <w:sz w:val="20"/>
          <w:szCs w:val="20"/>
        </w:rPr>
        <w:t xml:space="preserve">sistema 118 </w:t>
      </w:r>
      <w:r w:rsidR="006B69D9" w:rsidRPr="000950FE">
        <w:rPr>
          <w:rFonts w:ascii="Arial" w:hAnsi="Arial" w:cs="Arial"/>
          <w:sz w:val="20"/>
          <w:szCs w:val="20"/>
        </w:rPr>
        <w:t>(da 21,8% a 31,4%) (Figura 5)</w:t>
      </w:r>
      <w:r w:rsidR="0073149D" w:rsidRPr="000950FE">
        <w:rPr>
          <w:rFonts w:ascii="Arial" w:hAnsi="Arial" w:cs="Arial"/>
          <w:sz w:val="20"/>
          <w:szCs w:val="20"/>
        </w:rPr>
        <w:t>.</w:t>
      </w:r>
    </w:p>
    <w:p w14:paraId="50C5DE66" w14:textId="77777777" w:rsidR="00877D7E" w:rsidRPr="00DD1CCC" w:rsidRDefault="00877D7E" w:rsidP="004D6FC4">
      <w:pPr>
        <w:jc w:val="both"/>
        <w:rPr>
          <w:rFonts w:ascii="Arial" w:hAnsi="Arial" w:cs="Arial"/>
          <w:sz w:val="2"/>
          <w:szCs w:val="20"/>
        </w:rPr>
      </w:pPr>
    </w:p>
    <w:p w14:paraId="6DCCCED6" w14:textId="0CBB313B" w:rsidR="00C80A8B" w:rsidRPr="00DD1CCC" w:rsidRDefault="00A519C5" w:rsidP="00DD1CCC">
      <w:pPr>
        <w:pStyle w:val="Default"/>
        <w:keepNext/>
        <w:spacing w:after="120"/>
        <w:jc w:val="both"/>
        <w:rPr>
          <w:rFonts w:ascii="Arial Narrow" w:hAnsi="Arial Narrow" w:cs="Arial"/>
          <w:bCs/>
          <w:color w:val="1F3864" w:themeColor="accent5" w:themeShade="80"/>
          <w:sz w:val="19"/>
          <w:szCs w:val="19"/>
        </w:rPr>
      </w:pPr>
      <w:r w:rsidRPr="00DD1CCC">
        <w:rPr>
          <w:rFonts w:ascii="Arial Narrow" w:hAnsi="Arial Narrow" w:cs="Arial"/>
          <w:b/>
          <w:bCs/>
          <w:iCs/>
          <w:noProof/>
          <w:color w:val="1F4B78"/>
          <w:sz w:val="20"/>
          <w:szCs w:val="20"/>
        </w:rPr>
        <w:t xml:space="preserve">FIGURA </w:t>
      </w:r>
      <w:r w:rsidR="00226453" w:rsidRPr="00DD1CCC">
        <w:rPr>
          <w:rFonts w:ascii="Arial Narrow" w:hAnsi="Arial Narrow" w:cs="Arial"/>
          <w:b/>
          <w:bCs/>
          <w:iCs/>
          <w:noProof/>
          <w:color w:val="1F4B78"/>
          <w:sz w:val="20"/>
          <w:szCs w:val="20"/>
        </w:rPr>
        <w:t>5</w:t>
      </w:r>
      <w:r w:rsidRPr="00DD1CCC">
        <w:rPr>
          <w:rFonts w:ascii="Arial Narrow" w:hAnsi="Arial Narrow" w:cs="Arial"/>
          <w:b/>
          <w:bCs/>
          <w:iCs/>
          <w:noProof/>
          <w:color w:val="1F4B78"/>
          <w:sz w:val="20"/>
          <w:szCs w:val="20"/>
        </w:rPr>
        <w:t xml:space="preserve">. </w:t>
      </w:r>
      <w:r w:rsidR="00226453" w:rsidRPr="00DD1CCC">
        <w:rPr>
          <w:rFonts w:ascii="Arial Narrow" w:hAnsi="Arial Narrow" w:cs="Arial"/>
          <w:b/>
          <w:bCs/>
          <w:iCs/>
          <w:noProof/>
          <w:color w:val="1F4B78"/>
          <w:sz w:val="20"/>
          <w:szCs w:val="20"/>
        </w:rPr>
        <w:t>A</w:t>
      </w:r>
      <w:r w:rsidRPr="00DD1CCC">
        <w:rPr>
          <w:rFonts w:ascii="Arial Narrow" w:hAnsi="Arial Narrow" w:cs="Arial"/>
          <w:b/>
          <w:bCs/>
          <w:iCs/>
          <w:noProof/>
          <w:color w:val="1F4B78"/>
          <w:sz w:val="20"/>
          <w:szCs w:val="20"/>
        </w:rPr>
        <w:t>CCESSI AL P</w:t>
      </w:r>
      <w:r w:rsidR="00B940BD" w:rsidRPr="00DD1CCC">
        <w:rPr>
          <w:rFonts w:ascii="Arial Narrow" w:hAnsi="Arial Narrow" w:cs="Arial"/>
          <w:b/>
          <w:bCs/>
          <w:iCs/>
          <w:noProof/>
          <w:color w:val="1F4B78"/>
          <w:sz w:val="20"/>
          <w:szCs w:val="20"/>
        </w:rPr>
        <w:t xml:space="preserve">RONTO </w:t>
      </w:r>
      <w:r w:rsidRPr="00DD1CCC">
        <w:rPr>
          <w:rFonts w:ascii="Arial Narrow" w:hAnsi="Arial Narrow" w:cs="Arial"/>
          <w:b/>
          <w:bCs/>
          <w:iCs/>
          <w:noProof/>
          <w:color w:val="1F4B78"/>
          <w:sz w:val="20"/>
          <w:szCs w:val="20"/>
        </w:rPr>
        <w:t>S</w:t>
      </w:r>
      <w:r w:rsidR="00B940BD" w:rsidRPr="00DD1CCC">
        <w:rPr>
          <w:rFonts w:ascii="Arial Narrow" w:hAnsi="Arial Narrow" w:cs="Arial"/>
          <w:b/>
          <w:bCs/>
          <w:iCs/>
          <w:noProof/>
          <w:color w:val="1F4B78"/>
          <w:sz w:val="20"/>
          <w:szCs w:val="20"/>
        </w:rPr>
        <w:t>OCCORSO</w:t>
      </w:r>
      <w:r w:rsidRPr="00DD1CCC">
        <w:rPr>
          <w:rFonts w:ascii="Arial Narrow" w:hAnsi="Arial Narrow" w:cs="Arial"/>
          <w:b/>
          <w:bCs/>
          <w:iCs/>
          <w:noProof/>
          <w:color w:val="1F4B78"/>
          <w:sz w:val="20"/>
          <w:szCs w:val="20"/>
        </w:rPr>
        <w:t xml:space="preserve"> DI DONNE CON INDICAZIONE DI VIOLENZA E </w:t>
      </w:r>
      <w:r w:rsidR="00226453" w:rsidRPr="00DD1CCC">
        <w:rPr>
          <w:rFonts w:ascii="Arial Narrow" w:hAnsi="Arial Narrow" w:cs="Arial"/>
          <w:b/>
          <w:bCs/>
          <w:iCs/>
          <w:noProof/>
          <w:color w:val="1F4B78"/>
          <w:sz w:val="20"/>
          <w:szCs w:val="20"/>
        </w:rPr>
        <w:t xml:space="preserve">ACCESSI </w:t>
      </w:r>
      <w:r w:rsidRPr="00DD1CCC">
        <w:rPr>
          <w:rFonts w:ascii="Arial Narrow" w:hAnsi="Arial Narrow" w:cs="Arial"/>
          <w:b/>
          <w:bCs/>
          <w:iCs/>
          <w:noProof/>
          <w:color w:val="1F4B78"/>
          <w:sz w:val="20"/>
          <w:szCs w:val="20"/>
        </w:rPr>
        <w:t>TOTALI PER MODALITA’ DI ARRIVO</w:t>
      </w:r>
      <w:r w:rsidR="00FF2B38" w:rsidRPr="00DD1CCC">
        <w:rPr>
          <w:rFonts w:ascii="Arial Narrow" w:hAnsi="Arial Narrow" w:cs="Arial"/>
          <w:b/>
          <w:bCs/>
          <w:iCs/>
          <w:noProof/>
          <w:color w:val="1F4B78"/>
          <w:sz w:val="20"/>
          <w:szCs w:val="20"/>
        </w:rPr>
        <w:t xml:space="preserve"> (a)</w:t>
      </w:r>
      <w:r w:rsidRPr="00DD1CCC">
        <w:rPr>
          <w:rFonts w:ascii="Arial Narrow" w:hAnsi="Arial Narrow" w:cs="Arial"/>
          <w:b/>
          <w:bCs/>
          <w:iCs/>
          <w:noProof/>
          <w:color w:val="1F4B78"/>
          <w:sz w:val="20"/>
          <w:szCs w:val="20"/>
        </w:rPr>
        <w:t>.</w:t>
      </w:r>
      <w:r w:rsidRPr="000950FE">
        <w:rPr>
          <w:rFonts w:ascii="Arial Narrow" w:hAnsi="Arial Narrow" w:cs="Calibri"/>
          <w:b/>
          <w:bCs/>
          <w:color w:val="7F7F7F"/>
          <w:sz w:val="20"/>
          <w:szCs w:val="20"/>
        </w:rPr>
        <w:t xml:space="preserve"> </w:t>
      </w:r>
      <w:r w:rsidRPr="00DD1CCC">
        <w:rPr>
          <w:rFonts w:ascii="Arial Narrow" w:hAnsi="Arial Narrow" w:cs="Arial"/>
          <w:bCs/>
          <w:color w:val="1F3864" w:themeColor="accent5" w:themeShade="80"/>
          <w:sz w:val="19"/>
          <w:szCs w:val="19"/>
        </w:rPr>
        <w:t>Anni 2017-2021</w:t>
      </w:r>
      <w:r w:rsidR="003E6D7A">
        <w:rPr>
          <w:rFonts w:ascii="Arial Narrow" w:hAnsi="Arial Narrow" w:cs="Arial"/>
          <w:bCs/>
          <w:color w:val="1F3864" w:themeColor="accent5" w:themeShade="80"/>
          <w:sz w:val="19"/>
          <w:szCs w:val="19"/>
        </w:rPr>
        <w:t xml:space="preserve">, </w:t>
      </w:r>
      <w:r w:rsidRPr="00DD1CCC">
        <w:rPr>
          <w:rFonts w:ascii="Arial Narrow" w:hAnsi="Arial Narrow" w:cs="Arial"/>
          <w:bCs/>
          <w:color w:val="1F3864" w:themeColor="accent5" w:themeShade="80"/>
          <w:sz w:val="19"/>
          <w:szCs w:val="19"/>
        </w:rPr>
        <w:t xml:space="preserve">per </w:t>
      </w:r>
      <w:r w:rsidR="00B940BD" w:rsidRPr="00DD1CCC">
        <w:rPr>
          <w:rFonts w:ascii="Arial Narrow" w:hAnsi="Arial Narrow" w:cs="Arial"/>
          <w:bCs/>
          <w:color w:val="1F3864" w:themeColor="accent5" w:themeShade="80"/>
          <w:sz w:val="19"/>
          <w:szCs w:val="19"/>
        </w:rPr>
        <w:t xml:space="preserve">100 </w:t>
      </w:r>
      <w:r w:rsidRPr="00DD1CCC">
        <w:rPr>
          <w:rFonts w:ascii="Arial Narrow" w:hAnsi="Arial Narrow" w:cs="Arial"/>
          <w:bCs/>
          <w:color w:val="1F3864" w:themeColor="accent5" w:themeShade="80"/>
          <w:sz w:val="19"/>
          <w:szCs w:val="19"/>
        </w:rPr>
        <w:t>accessi</w:t>
      </w:r>
      <w:r w:rsidR="003E6D7A">
        <w:rPr>
          <w:rFonts w:ascii="Arial Narrow" w:hAnsi="Arial Narrow" w:cs="Arial"/>
          <w:bCs/>
          <w:color w:val="1F3864" w:themeColor="accent5" w:themeShade="80"/>
          <w:sz w:val="19"/>
          <w:szCs w:val="19"/>
        </w:rPr>
        <w:t>.</w:t>
      </w:r>
    </w:p>
    <w:p w14:paraId="6527D849" w14:textId="045C549E" w:rsidR="00DA3BF8" w:rsidRPr="000950FE" w:rsidRDefault="006C737B" w:rsidP="00DD1CCC">
      <w:pPr>
        <w:spacing w:after="60" w:line="240" w:lineRule="auto"/>
        <w:rPr>
          <w:rFonts w:ascii="Arial" w:hAnsi="Arial" w:cs="Arial"/>
          <w:b/>
          <w:bCs/>
          <w:color w:val="44546A" w:themeColor="text2"/>
        </w:rPr>
      </w:pPr>
      <w:r>
        <w:rPr>
          <w:noProof/>
          <w:lang w:eastAsia="it-IT"/>
        </w:rPr>
        <w:drawing>
          <wp:inline distT="0" distB="0" distL="0" distR="0" wp14:anchorId="1333AE42" wp14:editId="11DF9889">
            <wp:extent cx="5976620" cy="2497455"/>
            <wp:effectExtent l="0" t="0" r="5080" b="17145"/>
            <wp:docPr id="26" name="Grafico 26">
              <a:extLst xmlns:a="http://schemas.openxmlformats.org/drawingml/2006/main">
                <a:ext uri="{FF2B5EF4-FFF2-40B4-BE49-F238E27FC236}">
                  <a16:creationId xmlns:a16="http://schemas.microsoft.com/office/drawing/2014/main" id="{1A8EC09F-2358-47E1-BD22-C0B8B6472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427" w:type="dxa"/>
        <w:tblCellMar>
          <w:left w:w="0" w:type="dxa"/>
          <w:right w:w="0" w:type="dxa"/>
        </w:tblCellMar>
        <w:tblLook w:val="04A0" w:firstRow="1" w:lastRow="0" w:firstColumn="1" w:lastColumn="0" w:noHBand="0" w:noVBand="1"/>
      </w:tblPr>
      <w:tblGrid>
        <w:gridCol w:w="9427"/>
      </w:tblGrid>
      <w:tr w:rsidR="00DA3BF8" w:rsidRPr="000950FE" w14:paraId="26AE0C1D" w14:textId="77777777" w:rsidTr="00DA3BF8">
        <w:trPr>
          <w:trHeight w:val="452"/>
        </w:trPr>
        <w:tc>
          <w:tcPr>
            <w:tcW w:w="9427" w:type="dxa"/>
            <w:tcBorders>
              <w:top w:val="nil"/>
              <w:left w:val="nil"/>
              <w:bottom w:val="nil"/>
              <w:right w:val="nil"/>
            </w:tcBorders>
            <w:shd w:val="clear" w:color="auto" w:fill="auto"/>
            <w:tcMar>
              <w:top w:w="15" w:type="dxa"/>
              <w:left w:w="15" w:type="dxa"/>
              <w:bottom w:w="0" w:type="dxa"/>
              <w:right w:w="15" w:type="dxa"/>
            </w:tcMar>
            <w:hideMark/>
          </w:tcPr>
          <w:p w14:paraId="3316B47F" w14:textId="530EDE33" w:rsidR="00FF2B38" w:rsidRPr="00DD1CCC" w:rsidRDefault="00FF2B38" w:rsidP="00FF2B38">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(a) Esclusi gli accessi per la regione Calabria.</w:t>
            </w:r>
          </w:p>
          <w:p w14:paraId="7A338CD0" w14:textId="7C6F3659" w:rsidR="000D0309" w:rsidRPr="000950FE" w:rsidRDefault="002E7725" w:rsidP="00DD1CCC">
            <w:pPr>
              <w:rPr>
                <w:rFonts w:ascii="Arial Narrow" w:eastAsia="Times New Roman" w:hAnsi="Arial Narrow" w:cs="Calibri"/>
                <w:i/>
                <w:iCs/>
                <w:color w:val="000000"/>
                <w:sz w:val="18"/>
                <w:szCs w:val="18"/>
                <w:lang w:eastAsia="it-IT"/>
              </w:rPr>
            </w:pPr>
            <w:r w:rsidRPr="00DD1CCC">
              <w:rPr>
                <w:rFonts w:ascii="Arial" w:hAnsi="Arial" w:cs="Arial"/>
                <w:color w:val="000000"/>
                <w:sz w:val="15"/>
                <w:szCs w:val="15"/>
              </w:rPr>
              <w:t>Fonte: Elaborazioni Ministero della Salute su dati Emergenza-urgenza (EMUR)</w:t>
            </w:r>
          </w:p>
        </w:tc>
      </w:tr>
    </w:tbl>
    <w:p w14:paraId="3D6453A3" w14:textId="5184DCC8" w:rsidR="00B03A0A" w:rsidRPr="000950FE" w:rsidRDefault="009C3D83" w:rsidP="00D92EDB">
      <w:pPr>
        <w:keepNext/>
        <w:jc w:val="both"/>
        <w:rPr>
          <w:rFonts w:ascii="Arial" w:hAnsi="Arial" w:cs="Arial"/>
          <w:b/>
          <w:bCs/>
          <w:color w:val="44546A" w:themeColor="text2"/>
        </w:rPr>
      </w:pPr>
      <w:r w:rsidRPr="000950FE">
        <w:rPr>
          <w:rFonts w:ascii="Arial" w:hAnsi="Arial" w:cs="Arial"/>
          <w:b/>
          <w:bCs/>
          <w:color w:val="44546A" w:themeColor="text2"/>
        </w:rPr>
        <w:lastRenderedPageBreak/>
        <w:t xml:space="preserve">Più codici </w:t>
      </w:r>
      <w:r w:rsidR="002364E8">
        <w:rPr>
          <w:rFonts w:ascii="Arial" w:hAnsi="Arial" w:cs="Arial"/>
          <w:b/>
          <w:bCs/>
          <w:color w:val="44546A" w:themeColor="text2"/>
        </w:rPr>
        <w:t>g</w:t>
      </w:r>
      <w:r w:rsidRPr="000950FE">
        <w:rPr>
          <w:rFonts w:ascii="Arial" w:hAnsi="Arial" w:cs="Arial"/>
          <w:b/>
          <w:bCs/>
          <w:color w:val="44546A" w:themeColor="text2"/>
        </w:rPr>
        <w:t>ialli tra gli accessi al Pronto Soccorso di donne per violenza</w:t>
      </w:r>
      <w:r w:rsidR="00B03A0A" w:rsidRPr="000950FE">
        <w:rPr>
          <w:rFonts w:ascii="Arial" w:hAnsi="Arial" w:cs="Arial"/>
          <w:b/>
          <w:bCs/>
          <w:color w:val="44546A" w:themeColor="text2"/>
        </w:rPr>
        <w:t xml:space="preserve"> </w:t>
      </w:r>
    </w:p>
    <w:p w14:paraId="7E137472" w14:textId="583CB7DC" w:rsidR="00D61CD0" w:rsidRDefault="002E0490" w:rsidP="00B20A9F">
      <w:pPr>
        <w:jc w:val="both"/>
        <w:rPr>
          <w:rFonts w:ascii="Arial" w:hAnsi="Arial" w:cs="Arial"/>
          <w:sz w:val="20"/>
          <w:szCs w:val="20"/>
        </w:rPr>
      </w:pPr>
      <w:r w:rsidRPr="000950FE">
        <w:rPr>
          <w:rFonts w:ascii="Arial" w:hAnsi="Arial" w:cs="Arial"/>
          <w:sz w:val="20"/>
          <w:szCs w:val="20"/>
        </w:rPr>
        <w:t xml:space="preserve">Nel periodo che precede la pandemia </w:t>
      </w:r>
      <w:r w:rsidR="00B03A0A" w:rsidRPr="000950FE">
        <w:rPr>
          <w:rFonts w:ascii="Arial" w:hAnsi="Arial" w:cs="Arial"/>
          <w:sz w:val="20"/>
          <w:szCs w:val="20"/>
        </w:rPr>
        <w:t xml:space="preserve">(2017-2019) </w:t>
      </w:r>
      <w:r w:rsidRPr="000950FE">
        <w:rPr>
          <w:rFonts w:ascii="Arial" w:hAnsi="Arial" w:cs="Arial"/>
          <w:sz w:val="20"/>
          <w:szCs w:val="20"/>
        </w:rPr>
        <w:t>i</w:t>
      </w:r>
      <w:r w:rsidR="00D61CD0" w:rsidRPr="000950FE">
        <w:rPr>
          <w:rFonts w:ascii="Arial" w:hAnsi="Arial" w:cs="Arial"/>
          <w:sz w:val="20"/>
          <w:szCs w:val="20"/>
        </w:rPr>
        <w:t xml:space="preserve">l codice </w:t>
      </w:r>
      <w:r w:rsidR="0024164A" w:rsidRPr="000950FE">
        <w:rPr>
          <w:rFonts w:ascii="Arial" w:hAnsi="Arial" w:cs="Arial"/>
          <w:sz w:val="20"/>
          <w:szCs w:val="20"/>
        </w:rPr>
        <w:t xml:space="preserve">triage </w:t>
      </w:r>
      <w:r w:rsidR="002364E8">
        <w:rPr>
          <w:rFonts w:ascii="Arial" w:hAnsi="Arial" w:cs="Arial"/>
          <w:sz w:val="20"/>
          <w:szCs w:val="20"/>
        </w:rPr>
        <w:t>v</w:t>
      </w:r>
      <w:r w:rsidR="00B03A0A" w:rsidRPr="000950FE">
        <w:rPr>
          <w:rFonts w:ascii="Arial" w:hAnsi="Arial" w:cs="Arial"/>
          <w:sz w:val="20"/>
          <w:szCs w:val="20"/>
        </w:rPr>
        <w:t xml:space="preserve">erde </w:t>
      </w:r>
      <w:r w:rsidR="004472A6" w:rsidRPr="000950FE">
        <w:rPr>
          <w:rFonts w:ascii="Arial" w:hAnsi="Arial" w:cs="Arial"/>
          <w:sz w:val="20"/>
          <w:szCs w:val="20"/>
        </w:rPr>
        <w:t xml:space="preserve">(urgenza minore) </w:t>
      </w:r>
      <w:r w:rsidR="00B03A0A" w:rsidRPr="000950FE">
        <w:rPr>
          <w:rFonts w:ascii="Arial" w:hAnsi="Arial" w:cs="Arial"/>
          <w:sz w:val="20"/>
          <w:szCs w:val="20"/>
        </w:rPr>
        <w:t xml:space="preserve">è </w:t>
      </w:r>
      <w:r w:rsidR="0024164A" w:rsidRPr="000950FE">
        <w:rPr>
          <w:rFonts w:ascii="Arial" w:hAnsi="Arial" w:cs="Arial"/>
          <w:sz w:val="20"/>
          <w:szCs w:val="20"/>
        </w:rPr>
        <w:t xml:space="preserve">attribuito </w:t>
      </w:r>
      <w:r w:rsidR="00B03A0A" w:rsidRPr="000950FE">
        <w:rPr>
          <w:rFonts w:ascii="Arial" w:hAnsi="Arial" w:cs="Arial"/>
          <w:sz w:val="20"/>
          <w:szCs w:val="20"/>
        </w:rPr>
        <w:t>post visita medica a circa 3 accessi su 4</w:t>
      </w:r>
      <w:r w:rsidR="0024164A" w:rsidRPr="000950FE">
        <w:rPr>
          <w:rFonts w:ascii="Arial" w:hAnsi="Arial" w:cs="Arial"/>
          <w:sz w:val="20"/>
          <w:szCs w:val="20"/>
        </w:rPr>
        <w:t xml:space="preserve"> con indicazione di violenza</w:t>
      </w:r>
      <w:r w:rsidR="0017331D">
        <w:rPr>
          <w:rFonts w:ascii="Arial" w:hAnsi="Arial" w:cs="Arial"/>
          <w:sz w:val="20"/>
          <w:szCs w:val="20"/>
        </w:rPr>
        <w:t>.</w:t>
      </w:r>
      <w:r w:rsidR="0024164A" w:rsidRPr="000950FE">
        <w:rPr>
          <w:rFonts w:ascii="Arial" w:hAnsi="Arial" w:cs="Arial"/>
          <w:sz w:val="20"/>
          <w:szCs w:val="20"/>
        </w:rPr>
        <w:t xml:space="preserve"> </w:t>
      </w:r>
      <w:r w:rsidR="00B03A0A" w:rsidRPr="000950FE">
        <w:rPr>
          <w:rFonts w:ascii="Arial" w:hAnsi="Arial" w:cs="Arial"/>
          <w:sz w:val="20"/>
          <w:szCs w:val="20"/>
        </w:rPr>
        <w:t>Nel</w:t>
      </w:r>
      <w:r w:rsidR="0024164A" w:rsidRPr="000950FE">
        <w:rPr>
          <w:rFonts w:ascii="Arial" w:hAnsi="Arial" w:cs="Arial"/>
          <w:sz w:val="20"/>
          <w:szCs w:val="20"/>
        </w:rPr>
        <w:t xml:space="preserve"> 2020 </w:t>
      </w:r>
      <w:r w:rsidR="00B03A0A" w:rsidRPr="000950FE">
        <w:rPr>
          <w:rFonts w:ascii="Arial" w:hAnsi="Arial" w:cs="Arial"/>
          <w:sz w:val="20"/>
          <w:szCs w:val="20"/>
        </w:rPr>
        <w:t xml:space="preserve">il codice </w:t>
      </w:r>
      <w:r w:rsidR="005B1EF5">
        <w:rPr>
          <w:rFonts w:ascii="Arial" w:hAnsi="Arial" w:cs="Arial"/>
          <w:sz w:val="20"/>
          <w:szCs w:val="20"/>
        </w:rPr>
        <w:t>v</w:t>
      </w:r>
      <w:r w:rsidR="00B03A0A" w:rsidRPr="000950FE">
        <w:rPr>
          <w:rFonts w:ascii="Arial" w:hAnsi="Arial" w:cs="Arial"/>
          <w:sz w:val="20"/>
          <w:szCs w:val="20"/>
        </w:rPr>
        <w:t xml:space="preserve">erde diminuisce al 65,9% e nel 2021 al 60,3%, mentre </w:t>
      </w:r>
      <w:r w:rsidR="0024164A" w:rsidRPr="000950FE">
        <w:rPr>
          <w:rFonts w:ascii="Arial" w:hAnsi="Arial" w:cs="Arial"/>
          <w:sz w:val="20"/>
          <w:szCs w:val="20"/>
        </w:rPr>
        <w:t>aumenta</w:t>
      </w:r>
      <w:r w:rsidR="003B4899" w:rsidRPr="000950FE">
        <w:rPr>
          <w:rFonts w:ascii="Arial" w:hAnsi="Arial" w:cs="Arial"/>
          <w:sz w:val="20"/>
          <w:szCs w:val="20"/>
        </w:rPr>
        <w:t xml:space="preserve"> </w:t>
      </w:r>
      <w:r w:rsidR="004472A6" w:rsidRPr="000950FE">
        <w:rPr>
          <w:rFonts w:ascii="Arial" w:hAnsi="Arial" w:cs="Arial"/>
          <w:sz w:val="20"/>
          <w:szCs w:val="20"/>
        </w:rPr>
        <w:t xml:space="preserve">sensibilmente </w:t>
      </w:r>
      <w:r w:rsidR="003B4899" w:rsidRPr="000950FE">
        <w:rPr>
          <w:rFonts w:ascii="Arial" w:hAnsi="Arial" w:cs="Arial"/>
          <w:sz w:val="20"/>
          <w:szCs w:val="20"/>
        </w:rPr>
        <w:t xml:space="preserve">la </w:t>
      </w:r>
      <w:r w:rsidR="009A0C35" w:rsidRPr="000950FE">
        <w:rPr>
          <w:rFonts w:ascii="Arial" w:hAnsi="Arial" w:cs="Arial"/>
          <w:sz w:val="20"/>
          <w:szCs w:val="20"/>
        </w:rPr>
        <w:t xml:space="preserve">quota di codici </w:t>
      </w:r>
      <w:r w:rsidR="005B1EF5">
        <w:rPr>
          <w:rFonts w:ascii="Arial" w:hAnsi="Arial" w:cs="Arial"/>
          <w:sz w:val="20"/>
          <w:szCs w:val="20"/>
        </w:rPr>
        <w:t>g</w:t>
      </w:r>
      <w:r w:rsidR="009A0C35" w:rsidRPr="000950FE">
        <w:rPr>
          <w:rFonts w:ascii="Arial" w:hAnsi="Arial" w:cs="Arial"/>
          <w:sz w:val="20"/>
          <w:szCs w:val="20"/>
        </w:rPr>
        <w:t>ialli</w:t>
      </w:r>
      <w:r w:rsidR="004472A6" w:rsidRPr="000950FE">
        <w:rPr>
          <w:rFonts w:ascii="Arial" w:hAnsi="Arial" w:cs="Arial"/>
          <w:sz w:val="20"/>
          <w:szCs w:val="20"/>
        </w:rPr>
        <w:t xml:space="preserve"> (urgenza e urgenza differibile)</w:t>
      </w:r>
      <w:r w:rsidR="009A0C35" w:rsidRPr="000950FE">
        <w:rPr>
          <w:rFonts w:ascii="Arial" w:hAnsi="Arial" w:cs="Arial"/>
          <w:sz w:val="20"/>
          <w:szCs w:val="20"/>
        </w:rPr>
        <w:t>: da 12,8% nel 2017 a 25,1% nel 2020 e 27,7% nel 2021</w:t>
      </w:r>
      <w:r w:rsidR="00C2351A" w:rsidRPr="000950FE">
        <w:rPr>
          <w:rFonts w:ascii="Arial" w:hAnsi="Arial" w:cs="Arial"/>
          <w:sz w:val="20"/>
          <w:szCs w:val="20"/>
        </w:rPr>
        <w:t xml:space="preserve"> (Figura 6)</w:t>
      </w:r>
      <w:r w:rsidR="009A0C35" w:rsidRPr="000950FE">
        <w:rPr>
          <w:rFonts w:ascii="Arial" w:hAnsi="Arial" w:cs="Arial"/>
          <w:sz w:val="20"/>
          <w:szCs w:val="20"/>
        </w:rPr>
        <w:t xml:space="preserve">. </w:t>
      </w:r>
      <w:r w:rsidR="004472A6" w:rsidRPr="000950FE">
        <w:rPr>
          <w:rFonts w:ascii="Arial" w:hAnsi="Arial" w:cs="Arial"/>
          <w:sz w:val="20"/>
          <w:szCs w:val="20"/>
        </w:rPr>
        <w:t xml:space="preserve">L’incremento </w:t>
      </w:r>
      <w:r w:rsidR="0074678A" w:rsidRPr="000950FE">
        <w:rPr>
          <w:rFonts w:ascii="Arial" w:hAnsi="Arial" w:cs="Arial"/>
          <w:sz w:val="20"/>
          <w:szCs w:val="20"/>
        </w:rPr>
        <w:t>n</w:t>
      </w:r>
      <w:r w:rsidR="004472A6" w:rsidRPr="000950FE">
        <w:rPr>
          <w:rFonts w:ascii="Arial" w:hAnsi="Arial" w:cs="Arial"/>
          <w:sz w:val="20"/>
          <w:szCs w:val="20"/>
        </w:rPr>
        <w:t>ell’utilizzo di codici di triage che indicano una maggiore</w:t>
      </w:r>
      <w:r w:rsidR="009A0C35" w:rsidRPr="000950FE">
        <w:rPr>
          <w:rFonts w:ascii="Arial" w:hAnsi="Arial" w:cs="Arial"/>
          <w:sz w:val="20"/>
          <w:szCs w:val="20"/>
        </w:rPr>
        <w:t xml:space="preserve"> </w:t>
      </w:r>
      <w:r w:rsidR="003B4899" w:rsidRPr="000950FE">
        <w:rPr>
          <w:rFonts w:ascii="Arial" w:hAnsi="Arial" w:cs="Arial"/>
          <w:sz w:val="20"/>
          <w:szCs w:val="20"/>
        </w:rPr>
        <w:t>gravità</w:t>
      </w:r>
      <w:r w:rsidR="0074678A" w:rsidRPr="000950FE">
        <w:rPr>
          <w:rFonts w:ascii="Arial" w:hAnsi="Arial" w:cs="Arial"/>
          <w:sz w:val="20"/>
          <w:szCs w:val="20"/>
        </w:rPr>
        <w:t xml:space="preserve"> per gli accessi in PS di donne con indicazione di violenza</w:t>
      </w:r>
      <w:r w:rsidR="00A0225E" w:rsidRPr="000950FE">
        <w:rPr>
          <w:rFonts w:ascii="Arial" w:hAnsi="Arial" w:cs="Arial"/>
          <w:sz w:val="20"/>
          <w:szCs w:val="20"/>
        </w:rPr>
        <w:t xml:space="preserve"> </w:t>
      </w:r>
      <w:r w:rsidR="004472A6" w:rsidRPr="000950FE">
        <w:rPr>
          <w:rFonts w:ascii="Arial" w:hAnsi="Arial" w:cs="Arial"/>
          <w:sz w:val="20"/>
          <w:szCs w:val="20"/>
        </w:rPr>
        <w:t xml:space="preserve">è </w:t>
      </w:r>
      <w:r w:rsidR="00A0225E" w:rsidRPr="000950FE">
        <w:rPr>
          <w:rFonts w:ascii="Arial" w:hAnsi="Arial" w:cs="Arial"/>
          <w:sz w:val="20"/>
          <w:szCs w:val="20"/>
        </w:rPr>
        <w:t>in coerenza con quanto previsto dalle “Linee guida nazionali per le aziende sanitarie e ospedaliere in tema di soccorso e assistenza socio-sanitaria alle donne che subiscono violenza”</w:t>
      </w:r>
      <w:r w:rsidR="0017331D">
        <w:rPr>
          <w:rFonts w:ascii="Arial" w:hAnsi="Arial" w:cs="Arial"/>
          <w:sz w:val="20"/>
          <w:szCs w:val="20"/>
        </w:rPr>
        <w:t xml:space="preserve"> (</w:t>
      </w:r>
      <w:r w:rsidR="0017331D" w:rsidRPr="000950FE">
        <w:rPr>
          <w:rFonts w:ascii="Arial" w:hAnsi="Arial" w:cs="Arial"/>
          <w:bCs/>
          <w:sz w:val="20"/>
          <w:szCs w:val="20"/>
        </w:rPr>
        <w:t>DPCM 24/11/2017</w:t>
      </w:r>
      <w:r w:rsidR="0017331D">
        <w:rPr>
          <w:rFonts w:ascii="Arial" w:hAnsi="Arial" w:cs="Arial"/>
          <w:bCs/>
          <w:sz w:val="20"/>
          <w:szCs w:val="20"/>
        </w:rPr>
        <w:t>)</w:t>
      </w:r>
      <w:r w:rsidR="0074678A" w:rsidRPr="000950FE">
        <w:rPr>
          <w:rFonts w:ascii="Arial" w:hAnsi="Arial" w:cs="Arial"/>
          <w:sz w:val="20"/>
          <w:szCs w:val="20"/>
        </w:rPr>
        <w:t>, secondo le quali,</w:t>
      </w:r>
      <w:r w:rsidR="00A0225E" w:rsidRPr="000950FE">
        <w:rPr>
          <w:rFonts w:ascii="Arial" w:hAnsi="Arial" w:cs="Arial"/>
          <w:sz w:val="20"/>
          <w:szCs w:val="20"/>
        </w:rPr>
        <w:t xml:space="preserve"> nei casi di violenza alla donna</w:t>
      </w:r>
      <w:r w:rsidR="0074678A" w:rsidRPr="000950FE">
        <w:rPr>
          <w:rFonts w:ascii="Arial" w:hAnsi="Arial" w:cs="Arial"/>
          <w:sz w:val="20"/>
          <w:szCs w:val="20"/>
        </w:rPr>
        <w:t>,</w:t>
      </w:r>
      <w:r w:rsidR="00A0225E" w:rsidRPr="000950FE">
        <w:rPr>
          <w:rFonts w:ascii="Arial" w:hAnsi="Arial" w:cs="Arial"/>
          <w:sz w:val="20"/>
          <w:szCs w:val="20"/>
        </w:rPr>
        <w:t xml:space="preserve"> deve essere riconosciuta almeno una codifica di urgenza relativa – codice giallo o equivalente - così da garantire una visita medica tempestiva (di solito tempo di attesa massimo 20 minuti) e ridurre al minimo il rischio di ripensamenti o allontanamenti volontari.</w:t>
      </w:r>
    </w:p>
    <w:p w14:paraId="35D3351F" w14:textId="77777777" w:rsidR="002C6405" w:rsidRPr="002C6405" w:rsidRDefault="002C6405" w:rsidP="00DD1CCC">
      <w:pPr>
        <w:pStyle w:val="Default"/>
        <w:keepNext/>
        <w:spacing w:after="120"/>
        <w:jc w:val="both"/>
        <w:rPr>
          <w:rFonts w:ascii="Arial Narrow" w:hAnsi="Arial Narrow" w:cs="Arial"/>
          <w:b/>
          <w:bCs/>
          <w:iCs/>
          <w:noProof/>
          <w:color w:val="1F4B78"/>
          <w:sz w:val="28"/>
          <w:szCs w:val="20"/>
        </w:rPr>
      </w:pPr>
    </w:p>
    <w:p w14:paraId="77C59D51" w14:textId="2E315694" w:rsidR="00D61CD0" w:rsidRPr="00DD1CCC" w:rsidRDefault="00DA4658" w:rsidP="00DD1CCC">
      <w:pPr>
        <w:pStyle w:val="Default"/>
        <w:keepNext/>
        <w:spacing w:after="120"/>
        <w:jc w:val="both"/>
        <w:rPr>
          <w:rFonts w:ascii="Arial Narrow" w:hAnsi="Arial Narrow" w:cs="Arial"/>
          <w:bCs/>
          <w:color w:val="1F3864" w:themeColor="accent5" w:themeShade="80"/>
          <w:sz w:val="19"/>
          <w:szCs w:val="19"/>
        </w:rPr>
      </w:pPr>
      <w:r w:rsidRPr="00DD1CCC">
        <w:rPr>
          <w:rFonts w:ascii="Arial Narrow" w:hAnsi="Arial Narrow" w:cs="Arial"/>
          <w:b/>
          <w:bCs/>
          <w:iCs/>
          <w:noProof/>
          <w:color w:val="1F4B78"/>
          <w:sz w:val="20"/>
          <w:szCs w:val="20"/>
        </w:rPr>
        <w:t xml:space="preserve">FIGURA </w:t>
      </w:r>
      <w:r w:rsidR="00C2351A" w:rsidRPr="00DD1CCC">
        <w:rPr>
          <w:rFonts w:ascii="Arial Narrow" w:hAnsi="Arial Narrow" w:cs="Arial"/>
          <w:b/>
          <w:bCs/>
          <w:iCs/>
          <w:noProof/>
          <w:color w:val="1F4B78"/>
          <w:sz w:val="20"/>
          <w:szCs w:val="20"/>
        </w:rPr>
        <w:t>6</w:t>
      </w:r>
      <w:r w:rsidRPr="00DD1CCC">
        <w:rPr>
          <w:rFonts w:ascii="Arial Narrow" w:hAnsi="Arial Narrow" w:cs="Arial"/>
          <w:b/>
          <w:bCs/>
          <w:iCs/>
          <w:noProof/>
          <w:color w:val="1F4B78"/>
          <w:sz w:val="20"/>
          <w:szCs w:val="20"/>
        </w:rPr>
        <w:t>. ACCESSI AL P</w:t>
      </w:r>
      <w:r w:rsidR="00C50674" w:rsidRPr="00DD1CCC">
        <w:rPr>
          <w:rFonts w:ascii="Arial Narrow" w:hAnsi="Arial Narrow" w:cs="Arial"/>
          <w:b/>
          <w:bCs/>
          <w:iCs/>
          <w:noProof/>
          <w:color w:val="1F4B78"/>
          <w:sz w:val="20"/>
          <w:szCs w:val="20"/>
        </w:rPr>
        <w:t xml:space="preserve">RONTO </w:t>
      </w:r>
      <w:r w:rsidRPr="00DD1CCC">
        <w:rPr>
          <w:rFonts w:ascii="Arial Narrow" w:hAnsi="Arial Narrow" w:cs="Arial"/>
          <w:b/>
          <w:bCs/>
          <w:iCs/>
          <w:noProof/>
          <w:color w:val="1F4B78"/>
          <w:sz w:val="20"/>
          <w:szCs w:val="20"/>
        </w:rPr>
        <w:t>S</w:t>
      </w:r>
      <w:r w:rsidR="00C50674" w:rsidRPr="00DD1CCC">
        <w:rPr>
          <w:rFonts w:ascii="Arial Narrow" w:hAnsi="Arial Narrow" w:cs="Arial"/>
          <w:b/>
          <w:bCs/>
          <w:iCs/>
          <w:noProof/>
          <w:color w:val="1F4B78"/>
          <w:sz w:val="20"/>
          <w:szCs w:val="20"/>
        </w:rPr>
        <w:t>OCCORSO</w:t>
      </w:r>
      <w:r w:rsidRPr="00DD1CCC">
        <w:rPr>
          <w:rFonts w:ascii="Arial Narrow" w:hAnsi="Arial Narrow" w:cs="Arial"/>
          <w:b/>
          <w:bCs/>
          <w:iCs/>
          <w:noProof/>
          <w:color w:val="1F4B78"/>
          <w:sz w:val="20"/>
          <w:szCs w:val="20"/>
        </w:rPr>
        <w:t xml:space="preserve"> DI DONNE CON INDICAZIONE DI VIOLENZA E </w:t>
      </w:r>
      <w:r w:rsidR="00C2351A" w:rsidRPr="00DD1CCC">
        <w:rPr>
          <w:rFonts w:ascii="Arial Narrow" w:hAnsi="Arial Narrow" w:cs="Arial"/>
          <w:b/>
          <w:bCs/>
          <w:iCs/>
          <w:noProof/>
          <w:color w:val="1F4B78"/>
          <w:sz w:val="20"/>
          <w:szCs w:val="20"/>
        </w:rPr>
        <w:t xml:space="preserve">ACCESSI </w:t>
      </w:r>
      <w:r w:rsidRPr="00DD1CCC">
        <w:rPr>
          <w:rFonts w:ascii="Arial Narrow" w:hAnsi="Arial Narrow" w:cs="Arial"/>
          <w:b/>
          <w:bCs/>
          <w:iCs/>
          <w:noProof/>
          <w:color w:val="1F4B78"/>
          <w:sz w:val="20"/>
          <w:szCs w:val="20"/>
        </w:rPr>
        <w:t xml:space="preserve">TOTALI PER </w:t>
      </w:r>
      <w:r w:rsidR="00C2351A" w:rsidRPr="00DD1CCC">
        <w:rPr>
          <w:rFonts w:ascii="Arial Narrow" w:hAnsi="Arial Narrow" w:cs="Arial"/>
          <w:b/>
          <w:bCs/>
          <w:iCs/>
          <w:noProof/>
          <w:color w:val="1F4B78"/>
          <w:sz w:val="20"/>
          <w:szCs w:val="20"/>
        </w:rPr>
        <w:t xml:space="preserve">CODICE </w:t>
      </w:r>
      <w:r w:rsidRPr="00DD1CCC">
        <w:rPr>
          <w:rFonts w:ascii="Arial Narrow" w:hAnsi="Arial Narrow" w:cs="Arial"/>
          <w:b/>
          <w:bCs/>
          <w:iCs/>
          <w:noProof/>
          <w:color w:val="1F4B78"/>
          <w:sz w:val="20"/>
          <w:szCs w:val="20"/>
        </w:rPr>
        <w:t>TRIAGE</w:t>
      </w:r>
      <w:r w:rsidR="00C2351A" w:rsidRPr="00DD1CCC">
        <w:rPr>
          <w:rFonts w:ascii="Arial Narrow" w:hAnsi="Arial Narrow" w:cs="Arial"/>
          <w:b/>
          <w:bCs/>
          <w:iCs/>
          <w:noProof/>
          <w:color w:val="1F4B78"/>
          <w:sz w:val="20"/>
          <w:szCs w:val="20"/>
        </w:rPr>
        <w:t xml:space="preserve"> DOPO LA VISITA MEDICA</w:t>
      </w:r>
      <w:r w:rsidR="00FF2B38" w:rsidRPr="00DD1CCC">
        <w:rPr>
          <w:rFonts w:ascii="Arial Narrow" w:hAnsi="Arial Narrow" w:cs="Arial"/>
          <w:b/>
          <w:bCs/>
          <w:iCs/>
          <w:noProof/>
          <w:color w:val="1F4B78"/>
          <w:sz w:val="20"/>
          <w:szCs w:val="20"/>
        </w:rPr>
        <w:t xml:space="preserve"> (a)</w:t>
      </w:r>
      <w:r w:rsidRPr="00DD1CCC">
        <w:rPr>
          <w:rFonts w:ascii="Arial Narrow" w:hAnsi="Arial Narrow" w:cs="Arial"/>
          <w:b/>
          <w:bCs/>
          <w:iCs/>
          <w:noProof/>
          <w:color w:val="1F4B78"/>
          <w:sz w:val="20"/>
          <w:szCs w:val="20"/>
        </w:rPr>
        <w:t>.</w:t>
      </w:r>
      <w:r w:rsidRPr="000950FE">
        <w:rPr>
          <w:rFonts w:ascii="Arial Narrow" w:hAnsi="Arial Narrow" w:cs="Calibri"/>
          <w:b/>
          <w:bCs/>
          <w:color w:val="7F7F7F"/>
          <w:sz w:val="20"/>
          <w:szCs w:val="20"/>
        </w:rPr>
        <w:t xml:space="preserve"> </w:t>
      </w:r>
      <w:r w:rsidRPr="00DD1CCC">
        <w:rPr>
          <w:rFonts w:ascii="Arial Narrow" w:hAnsi="Arial Narrow" w:cs="Arial"/>
          <w:bCs/>
          <w:color w:val="1F3864" w:themeColor="accent5" w:themeShade="80"/>
          <w:sz w:val="19"/>
          <w:szCs w:val="19"/>
        </w:rPr>
        <w:t>Anni 2017-2021</w:t>
      </w:r>
      <w:r w:rsidR="003E6D7A">
        <w:rPr>
          <w:rFonts w:ascii="Arial Narrow" w:hAnsi="Arial Narrow" w:cs="Arial"/>
          <w:bCs/>
          <w:color w:val="1F3864" w:themeColor="accent5" w:themeShade="80"/>
          <w:sz w:val="19"/>
          <w:szCs w:val="19"/>
        </w:rPr>
        <w:t xml:space="preserve">, </w:t>
      </w:r>
      <w:r w:rsidRPr="00DD1CCC">
        <w:rPr>
          <w:rFonts w:ascii="Arial Narrow" w:hAnsi="Arial Narrow" w:cs="Arial"/>
          <w:bCs/>
          <w:color w:val="1F3864" w:themeColor="accent5" w:themeShade="80"/>
          <w:sz w:val="19"/>
          <w:szCs w:val="19"/>
        </w:rPr>
        <w:t xml:space="preserve">per </w:t>
      </w:r>
      <w:r w:rsidR="00C50674" w:rsidRPr="00DD1CCC">
        <w:rPr>
          <w:rFonts w:ascii="Arial Narrow" w:hAnsi="Arial Narrow" w:cs="Arial"/>
          <w:bCs/>
          <w:color w:val="1F3864" w:themeColor="accent5" w:themeShade="80"/>
          <w:sz w:val="19"/>
          <w:szCs w:val="19"/>
        </w:rPr>
        <w:t>100</w:t>
      </w:r>
      <w:r w:rsidRPr="00DD1CCC">
        <w:rPr>
          <w:rFonts w:ascii="Arial Narrow" w:hAnsi="Arial Narrow" w:cs="Arial"/>
          <w:bCs/>
          <w:color w:val="1F3864" w:themeColor="accent5" w:themeShade="80"/>
          <w:sz w:val="19"/>
          <w:szCs w:val="19"/>
        </w:rPr>
        <w:t xml:space="preserve"> accessi</w:t>
      </w:r>
      <w:r w:rsidR="003E6D7A">
        <w:rPr>
          <w:rFonts w:ascii="Arial Narrow" w:hAnsi="Arial Narrow" w:cs="Arial"/>
          <w:bCs/>
          <w:color w:val="1F3864" w:themeColor="accent5" w:themeShade="80"/>
          <w:sz w:val="19"/>
          <w:szCs w:val="19"/>
        </w:rPr>
        <w:t>.</w:t>
      </w:r>
    </w:p>
    <w:p w14:paraId="73311566" w14:textId="77807854" w:rsidR="002404D1" w:rsidRPr="000950FE" w:rsidRDefault="006C737B" w:rsidP="008A56D7">
      <w:pPr>
        <w:spacing w:after="0" w:line="240" w:lineRule="auto"/>
        <w:rPr>
          <w:rFonts w:ascii="Arial Narrow" w:eastAsia="Times New Roman" w:hAnsi="Arial Narrow" w:cs="Calibri"/>
          <w:b/>
          <w:bCs/>
          <w:color w:val="7F7F7F"/>
          <w:sz w:val="20"/>
          <w:szCs w:val="20"/>
          <w:lang w:eastAsia="it-IT"/>
        </w:rPr>
      </w:pPr>
      <w:r>
        <w:rPr>
          <w:noProof/>
          <w:lang w:eastAsia="it-IT"/>
        </w:rPr>
        <w:drawing>
          <wp:inline distT="0" distB="0" distL="0" distR="0" wp14:anchorId="6D42CD95" wp14:editId="5FAF3F0E">
            <wp:extent cx="5976620" cy="2592705"/>
            <wp:effectExtent l="0" t="0" r="5080" b="17145"/>
            <wp:docPr id="27" name="Grafico 27">
              <a:extLst xmlns:a="http://schemas.openxmlformats.org/drawingml/2006/main">
                <a:ext uri="{FF2B5EF4-FFF2-40B4-BE49-F238E27FC236}">
                  <a16:creationId xmlns:a16="http://schemas.microsoft.com/office/drawing/2014/main" id="{CE4F1A92-36B7-415E-927E-3C286D754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747760" w14:textId="3158C461" w:rsidR="00FF2B38" w:rsidRPr="00DD1CCC" w:rsidRDefault="00FF2B38" w:rsidP="00DD1CCC">
      <w:pPr>
        <w:spacing w:before="60"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(a) Esclusi gli accessi per la regione Calabria.</w:t>
      </w:r>
    </w:p>
    <w:p w14:paraId="5A42D8B5" w14:textId="77777777" w:rsidR="002E7725" w:rsidRPr="00DD1CCC" w:rsidRDefault="002E7725" w:rsidP="002E7725">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0AD59627" w14:textId="7530E1CD" w:rsidR="002C6405" w:rsidRDefault="002C6405" w:rsidP="00DB4F7B">
      <w:pPr>
        <w:jc w:val="both"/>
        <w:rPr>
          <w:rFonts w:ascii="Arial" w:hAnsi="Arial" w:cs="Arial"/>
          <w:b/>
          <w:bCs/>
          <w:color w:val="44546A" w:themeColor="text2"/>
          <w:sz w:val="40"/>
        </w:rPr>
      </w:pPr>
      <w:r>
        <w:rPr>
          <w:rFonts w:ascii="Arial" w:hAnsi="Arial" w:cs="Arial"/>
          <w:b/>
          <w:bCs/>
          <w:color w:val="44546A" w:themeColor="text2"/>
          <w:sz w:val="40"/>
        </w:rPr>
        <w:br w:type="page"/>
      </w:r>
    </w:p>
    <w:p w14:paraId="23C2F360" w14:textId="16746865" w:rsidR="00DB4F7B" w:rsidRPr="000950FE" w:rsidRDefault="000C5C02" w:rsidP="00DD1CCC">
      <w:pPr>
        <w:spacing w:after="120" w:line="240" w:lineRule="auto"/>
        <w:jc w:val="both"/>
        <w:rPr>
          <w:rFonts w:ascii="Arial" w:hAnsi="Arial" w:cs="Arial"/>
          <w:b/>
          <w:bCs/>
          <w:color w:val="44546A" w:themeColor="text2"/>
        </w:rPr>
      </w:pPr>
      <w:r w:rsidRPr="000950FE">
        <w:rPr>
          <w:rFonts w:ascii="Arial" w:hAnsi="Arial" w:cs="Arial"/>
          <w:b/>
          <w:bCs/>
          <w:color w:val="44546A" w:themeColor="text2"/>
        </w:rPr>
        <w:lastRenderedPageBreak/>
        <w:t xml:space="preserve">Tre accessi su cento </w:t>
      </w:r>
      <w:r w:rsidR="00DB4F7B" w:rsidRPr="000950FE">
        <w:rPr>
          <w:rFonts w:ascii="Arial" w:hAnsi="Arial" w:cs="Arial"/>
          <w:b/>
          <w:bCs/>
          <w:color w:val="44546A" w:themeColor="text2"/>
        </w:rPr>
        <w:t xml:space="preserve">al Pronto Soccorso </w:t>
      </w:r>
      <w:r w:rsidRPr="000950FE">
        <w:rPr>
          <w:rFonts w:ascii="Arial" w:hAnsi="Arial" w:cs="Arial"/>
          <w:b/>
          <w:bCs/>
          <w:color w:val="44546A" w:themeColor="text2"/>
        </w:rPr>
        <w:t xml:space="preserve">finiscono con il ricovero e altrettanti con il rifiuto </w:t>
      </w:r>
      <w:r w:rsidR="00DB4F7B" w:rsidRPr="000950FE">
        <w:rPr>
          <w:rFonts w:ascii="Arial" w:hAnsi="Arial" w:cs="Arial"/>
          <w:b/>
          <w:bCs/>
          <w:color w:val="44546A" w:themeColor="text2"/>
        </w:rPr>
        <w:t xml:space="preserve"> </w:t>
      </w:r>
    </w:p>
    <w:p w14:paraId="1125D484" w14:textId="027467B7" w:rsidR="0012614F" w:rsidRPr="000950FE" w:rsidRDefault="00683841" w:rsidP="00DD1CCC">
      <w:pPr>
        <w:spacing w:after="120" w:line="240" w:lineRule="auto"/>
        <w:jc w:val="both"/>
        <w:rPr>
          <w:rFonts w:ascii="Arial" w:hAnsi="Arial" w:cs="Arial"/>
          <w:sz w:val="20"/>
          <w:szCs w:val="20"/>
        </w:rPr>
      </w:pPr>
      <w:r w:rsidRPr="000950FE">
        <w:rPr>
          <w:rFonts w:ascii="Arial" w:hAnsi="Arial" w:cs="Arial"/>
          <w:sz w:val="20"/>
          <w:szCs w:val="20"/>
        </w:rPr>
        <w:t>Nel 202</w:t>
      </w:r>
      <w:r w:rsidR="00CD00F2" w:rsidRPr="000950FE">
        <w:rPr>
          <w:rFonts w:ascii="Arial" w:hAnsi="Arial" w:cs="Arial"/>
          <w:sz w:val="20"/>
          <w:szCs w:val="20"/>
        </w:rPr>
        <w:t>1</w:t>
      </w:r>
      <w:r w:rsidR="005B1EF5">
        <w:rPr>
          <w:rFonts w:ascii="Arial" w:hAnsi="Arial" w:cs="Arial"/>
          <w:sz w:val="20"/>
          <w:szCs w:val="20"/>
        </w:rPr>
        <w:t>,</w:t>
      </w:r>
      <w:r w:rsidR="0012614F" w:rsidRPr="000950FE">
        <w:rPr>
          <w:rFonts w:ascii="Arial" w:hAnsi="Arial" w:cs="Arial"/>
          <w:sz w:val="20"/>
          <w:szCs w:val="20"/>
        </w:rPr>
        <w:t xml:space="preserve"> l’83,8% de</w:t>
      </w:r>
      <w:r w:rsidR="00CD00F2" w:rsidRPr="000950FE">
        <w:rPr>
          <w:rFonts w:ascii="Arial" w:hAnsi="Arial" w:cs="Arial"/>
          <w:sz w:val="20"/>
          <w:szCs w:val="20"/>
        </w:rPr>
        <w:t xml:space="preserve">gli accessi in </w:t>
      </w:r>
      <w:r w:rsidR="0012614F" w:rsidRPr="000950FE">
        <w:rPr>
          <w:rFonts w:ascii="Arial" w:hAnsi="Arial" w:cs="Arial"/>
          <w:sz w:val="20"/>
          <w:szCs w:val="20"/>
        </w:rPr>
        <w:t>PS</w:t>
      </w:r>
      <w:r w:rsidR="00CD00F2" w:rsidRPr="000950FE">
        <w:rPr>
          <w:rFonts w:ascii="Arial" w:hAnsi="Arial" w:cs="Arial"/>
          <w:sz w:val="20"/>
          <w:szCs w:val="20"/>
        </w:rPr>
        <w:t xml:space="preserve"> </w:t>
      </w:r>
      <w:r w:rsidR="003512EF" w:rsidRPr="000950FE">
        <w:rPr>
          <w:rFonts w:ascii="Arial" w:hAnsi="Arial" w:cs="Arial"/>
          <w:sz w:val="20"/>
          <w:szCs w:val="20"/>
        </w:rPr>
        <w:t>con indicazione di</w:t>
      </w:r>
      <w:r w:rsidR="00CD00F2" w:rsidRPr="000950FE">
        <w:rPr>
          <w:rFonts w:ascii="Arial" w:hAnsi="Arial" w:cs="Arial"/>
          <w:sz w:val="20"/>
          <w:szCs w:val="20"/>
        </w:rPr>
        <w:t xml:space="preserve"> violenza</w:t>
      </w:r>
      <w:r w:rsidR="00273B39" w:rsidRPr="000950FE">
        <w:rPr>
          <w:rFonts w:ascii="Arial" w:hAnsi="Arial" w:cs="Arial"/>
          <w:sz w:val="20"/>
          <w:szCs w:val="20"/>
        </w:rPr>
        <w:t xml:space="preserve"> termina con il ritorno a casa della donna</w:t>
      </w:r>
      <w:r w:rsidR="00CD00F2" w:rsidRPr="000950FE">
        <w:rPr>
          <w:rFonts w:ascii="Arial" w:hAnsi="Arial" w:cs="Arial"/>
          <w:sz w:val="20"/>
          <w:szCs w:val="20"/>
        </w:rPr>
        <w:t xml:space="preserve"> e il </w:t>
      </w:r>
      <w:r w:rsidR="0012614F" w:rsidRPr="000950FE">
        <w:rPr>
          <w:rFonts w:ascii="Arial" w:hAnsi="Arial" w:cs="Arial"/>
          <w:sz w:val="20"/>
          <w:szCs w:val="20"/>
        </w:rPr>
        <w:t>2,9</w:t>
      </w:r>
      <w:r w:rsidR="00CD00F2" w:rsidRPr="000950FE">
        <w:rPr>
          <w:rFonts w:ascii="Arial" w:hAnsi="Arial" w:cs="Arial"/>
          <w:sz w:val="20"/>
          <w:szCs w:val="20"/>
        </w:rPr>
        <w:t xml:space="preserve">% </w:t>
      </w:r>
      <w:r w:rsidR="0012614F" w:rsidRPr="000950FE">
        <w:rPr>
          <w:rFonts w:ascii="Arial" w:hAnsi="Arial" w:cs="Arial"/>
          <w:sz w:val="20"/>
          <w:szCs w:val="20"/>
        </w:rPr>
        <w:t>si conclude con il</w:t>
      </w:r>
      <w:r w:rsidR="00CD00F2" w:rsidRPr="000950FE">
        <w:rPr>
          <w:rFonts w:ascii="Arial" w:hAnsi="Arial" w:cs="Arial"/>
          <w:sz w:val="20"/>
          <w:szCs w:val="20"/>
        </w:rPr>
        <w:t xml:space="preserve"> ricovero. </w:t>
      </w:r>
      <w:r w:rsidR="0012614F" w:rsidRPr="000950FE">
        <w:rPr>
          <w:rFonts w:ascii="Arial" w:hAnsi="Arial" w:cs="Arial"/>
          <w:sz w:val="20"/>
          <w:szCs w:val="20"/>
        </w:rPr>
        <w:t>Nel totale degli</w:t>
      </w:r>
      <w:r w:rsidR="00CD00F2" w:rsidRPr="000950FE">
        <w:rPr>
          <w:rFonts w:ascii="Arial" w:hAnsi="Arial" w:cs="Arial"/>
          <w:sz w:val="20"/>
          <w:szCs w:val="20"/>
        </w:rPr>
        <w:t xml:space="preserve"> accessi di donne in </w:t>
      </w:r>
      <w:r w:rsidR="0012614F" w:rsidRPr="000950FE">
        <w:rPr>
          <w:rFonts w:ascii="Arial" w:hAnsi="Arial" w:cs="Arial"/>
          <w:sz w:val="20"/>
          <w:szCs w:val="20"/>
        </w:rPr>
        <w:t>PS le percentuali sono rispettivamente pari a 68,7</w:t>
      </w:r>
      <w:r w:rsidR="00CD00F2" w:rsidRPr="000950FE">
        <w:rPr>
          <w:rFonts w:ascii="Arial" w:hAnsi="Arial" w:cs="Arial"/>
          <w:sz w:val="20"/>
          <w:szCs w:val="20"/>
        </w:rPr>
        <w:t xml:space="preserve">% </w:t>
      </w:r>
      <w:r w:rsidR="0012614F" w:rsidRPr="000950FE">
        <w:rPr>
          <w:rFonts w:ascii="Arial" w:hAnsi="Arial" w:cs="Arial"/>
          <w:sz w:val="20"/>
          <w:szCs w:val="20"/>
        </w:rPr>
        <w:t>e</w:t>
      </w:r>
      <w:r w:rsidR="00C1782A" w:rsidRPr="000950FE">
        <w:rPr>
          <w:rFonts w:ascii="Arial" w:hAnsi="Arial" w:cs="Arial"/>
          <w:sz w:val="20"/>
          <w:szCs w:val="20"/>
        </w:rPr>
        <w:t xml:space="preserve"> 14,4%</w:t>
      </w:r>
      <w:r w:rsidR="00FD102E" w:rsidRPr="000950FE">
        <w:rPr>
          <w:rFonts w:ascii="Arial" w:hAnsi="Arial" w:cs="Arial"/>
          <w:sz w:val="20"/>
          <w:szCs w:val="20"/>
        </w:rPr>
        <w:t xml:space="preserve"> (Figura 7)</w:t>
      </w:r>
      <w:r w:rsidR="00CD00F2" w:rsidRPr="000950FE">
        <w:rPr>
          <w:rFonts w:ascii="Arial" w:hAnsi="Arial" w:cs="Arial"/>
          <w:sz w:val="20"/>
          <w:szCs w:val="20"/>
        </w:rPr>
        <w:t xml:space="preserve">. </w:t>
      </w:r>
    </w:p>
    <w:p w14:paraId="3972611E" w14:textId="69A4EC4F" w:rsidR="00877D7E" w:rsidRDefault="0012614F" w:rsidP="00DD1CCC">
      <w:pPr>
        <w:spacing w:after="120" w:line="240" w:lineRule="auto"/>
        <w:jc w:val="both"/>
        <w:rPr>
          <w:rFonts w:ascii="Arial" w:hAnsi="Arial" w:cs="Arial"/>
          <w:sz w:val="20"/>
          <w:szCs w:val="20"/>
        </w:rPr>
      </w:pPr>
      <w:r w:rsidRPr="000950FE">
        <w:rPr>
          <w:rFonts w:ascii="Arial" w:hAnsi="Arial" w:cs="Arial"/>
          <w:sz w:val="20"/>
          <w:szCs w:val="20"/>
        </w:rPr>
        <w:t xml:space="preserve">Una quota pari al </w:t>
      </w:r>
      <w:r w:rsidR="00E2125C" w:rsidRPr="000950FE">
        <w:rPr>
          <w:rFonts w:ascii="Arial" w:hAnsi="Arial" w:cs="Arial"/>
          <w:sz w:val="20"/>
          <w:szCs w:val="20"/>
        </w:rPr>
        <w:t>4,0</w:t>
      </w:r>
      <w:r w:rsidRPr="000950FE">
        <w:rPr>
          <w:rFonts w:ascii="Arial" w:hAnsi="Arial" w:cs="Arial"/>
          <w:sz w:val="20"/>
          <w:szCs w:val="20"/>
        </w:rPr>
        <w:t xml:space="preserve">% degli accessi con indicazione di violenza </w:t>
      </w:r>
      <w:r w:rsidR="000D1163" w:rsidRPr="000950FE">
        <w:rPr>
          <w:rFonts w:ascii="Arial" w:hAnsi="Arial" w:cs="Arial"/>
          <w:sz w:val="20"/>
          <w:szCs w:val="20"/>
        </w:rPr>
        <w:t xml:space="preserve">abbandona il </w:t>
      </w:r>
      <w:r w:rsidR="005B1EF5">
        <w:rPr>
          <w:rFonts w:ascii="Arial" w:hAnsi="Arial" w:cs="Arial"/>
          <w:sz w:val="20"/>
          <w:szCs w:val="20"/>
        </w:rPr>
        <w:t>P</w:t>
      </w:r>
      <w:r w:rsidR="000D1163" w:rsidRPr="000950FE">
        <w:rPr>
          <w:rFonts w:ascii="Arial" w:hAnsi="Arial" w:cs="Arial"/>
          <w:sz w:val="20"/>
          <w:szCs w:val="20"/>
        </w:rPr>
        <w:t xml:space="preserve">ronto </w:t>
      </w:r>
      <w:r w:rsidR="005B1EF5">
        <w:rPr>
          <w:rFonts w:ascii="Arial" w:hAnsi="Arial" w:cs="Arial"/>
          <w:sz w:val="20"/>
          <w:szCs w:val="20"/>
        </w:rPr>
        <w:t>S</w:t>
      </w:r>
      <w:r w:rsidR="000D1163" w:rsidRPr="000950FE">
        <w:rPr>
          <w:rFonts w:ascii="Arial" w:hAnsi="Arial" w:cs="Arial"/>
          <w:sz w:val="20"/>
          <w:szCs w:val="20"/>
        </w:rPr>
        <w:t>occorso prima della visita medica o durante gli accertamenti</w:t>
      </w:r>
      <w:r w:rsidRPr="000950FE">
        <w:rPr>
          <w:rFonts w:ascii="Arial" w:hAnsi="Arial" w:cs="Arial"/>
          <w:sz w:val="20"/>
          <w:szCs w:val="20"/>
        </w:rPr>
        <w:t xml:space="preserve"> (4,9% per il totale degli accessi) e il 3,0% lascia il PS</w:t>
      </w:r>
      <w:r w:rsidR="00C03621" w:rsidRPr="000950FE">
        <w:rPr>
          <w:rFonts w:ascii="Arial" w:hAnsi="Arial" w:cs="Arial"/>
          <w:sz w:val="20"/>
          <w:szCs w:val="20"/>
        </w:rPr>
        <w:t xml:space="preserve"> rifiutan</w:t>
      </w:r>
      <w:r w:rsidRPr="000950FE">
        <w:rPr>
          <w:rFonts w:ascii="Arial" w:hAnsi="Arial" w:cs="Arial"/>
          <w:sz w:val="20"/>
          <w:szCs w:val="20"/>
        </w:rPr>
        <w:t>d</w:t>
      </w:r>
      <w:r w:rsidR="00C03621" w:rsidRPr="000950FE">
        <w:rPr>
          <w:rFonts w:ascii="Arial" w:hAnsi="Arial" w:cs="Arial"/>
          <w:sz w:val="20"/>
          <w:szCs w:val="20"/>
        </w:rPr>
        <w:t>o il ricovero in ospedale</w:t>
      </w:r>
      <w:r w:rsidRPr="000950FE">
        <w:rPr>
          <w:rFonts w:ascii="Arial" w:hAnsi="Arial" w:cs="Arial"/>
          <w:sz w:val="20"/>
          <w:szCs w:val="20"/>
        </w:rPr>
        <w:t>, rispetto al 2,3% registrato per il complesso degli accessi in PS</w:t>
      </w:r>
      <w:r w:rsidR="00C03621" w:rsidRPr="000950FE">
        <w:rPr>
          <w:rFonts w:ascii="Arial" w:hAnsi="Arial" w:cs="Arial"/>
          <w:sz w:val="20"/>
          <w:szCs w:val="20"/>
        </w:rPr>
        <w:t>.</w:t>
      </w:r>
      <w:r w:rsidR="000D1163" w:rsidRPr="000950FE">
        <w:rPr>
          <w:rFonts w:ascii="Arial" w:hAnsi="Arial" w:cs="Arial"/>
          <w:sz w:val="20"/>
          <w:szCs w:val="20"/>
        </w:rPr>
        <w:t xml:space="preserve"> </w:t>
      </w:r>
      <w:r w:rsidRPr="000950FE">
        <w:rPr>
          <w:rFonts w:ascii="Arial" w:hAnsi="Arial" w:cs="Arial"/>
          <w:sz w:val="20"/>
          <w:szCs w:val="20"/>
        </w:rPr>
        <w:t>Il rifiuto del ricovero è relativo a donne arrivate</w:t>
      </w:r>
      <w:r w:rsidR="00C03621" w:rsidRPr="000950FE">
        <w:rPr>
          <w:rFonts w:ascii="Arial" w:hAnsi="Arial" w:cs="Arial"/>
          <w:sz w:val="20"/>
          <w:szCs w:val="20"/>
        </w:rPr>
        <w:t xml:space="preserve"> in </w:t>
      </w:r>
      <w:r w:rsidRPr="000950FE">
        <w:rPr>
          <w:rFonts w:ascii="Arial" w:hAnsi="Arial" w:cs="Arial"/>
          <w:sz w:val="20"/>
          <w:szCs w:val="20"/>
        </w:rPr>
        <w:t>PS</w:t>
      </w:r>
      <w:r w:rsidR="00C03621" w:rsidRPr="000950FE">
        <w:rPr>
          <w:rFonts w:ascii="Arial" w:hAnsi="Arial" w:cs="Arial"/>
          <w:sz w:val="20"/>
          <w:szCs w:val="20"/>
        </w:rPr>
        <w:t xml:space="preserve"> </w:t>
      </w:r>
      <w:r w:rsidRPr="000950FE">
        <w:rPr>
          <w:rFonts w:ascii="Arial" w:hAnsi="Arial" w:cs="Arial"/>
          <w:sz w:val="20"/>
          <w:szCs w:val="20"/>
        </w:rPr>
        <w:t xml:space="preserve">con mezzi propri, </w:t>
      </w:r>
      <w:r w:rsidR="00C03621" w:rsidRPr="000950FE">
        <w:rPr>
          <w:rFonts w:ascii="Arial" w:hAnsi="Arial" w:cs="Arial"/>
          <w:sz w:val="20"/>
          <w:szCs w:val="20"/>
        </w:rPr>
        <w:t xml:space="preserve">con una causa attribuibile alla violenza, che </w:t>
      </w:r>
      <w:r w:rsidRPr="000950FE">
        <w:rPr>
          <w:rFonts w:ascii="Arial" w:hAnsi="Arial" w:cs="Arial"/>
          <w:sz w:val="20"/>
          <w:szCs w:val="20"/>
        </w:rPr>
        <w:t>decidono di</w:t>
      </w:r>
      <w:r w:rsidR="00C03621" w:rsidRPr="000950FE">
        <w:rPr>
          <w:rFonts w:ascii="Arial" w:hAnsi="Arial" w:cs="Arial"/>
          <w:sz w:val="20"/>
          <w:szCs w:val="20"/>
        </w:rPr>
        <w:t xml:space="preserve"> torna</w:t>
      </w:r>
      <w:r w:rsidRPr="000950FE">
        <w:rPr>
          <w:rFonts w:ascii="Arial" w:hAnsi="Arial" w:cs="Arial"/>
          <w:sz w:val="20"/>
          <w:szCs w:val="20"/>
        </w:rPr>
        <w:t>re</w:t>
      </w:r>
      <w:r w:rsidR="00C03621" w:rsidRPr="000950FE">
        <w:rPr>
          <w:rFonts w:ascii="Arial" w:hAnsi="Arial" w:cs="Arial"/>
          <w:sz w:val="20"/>
          <w:szCs w:val="20"/>
        </w:rPr>
        <w:t xml:space="preserve"> a casa</w:t>
      </w:r>
      <w:r w:rsidRPr="000950FE">
        <w:rPr>
          <w:rFonts w:ascii="Arial" w:hAnsi="Arial" w:cs="Arial"/>
          <w:sz w:val="20"/>
          <w:szCs w:val="20"/>
        </w:rPr>
        <w:t xml:space="preserve"> nonostante i medici abbiano prescritto il ricovero</w:t>
      </w:r>
      <w:r w:rsidR="00C03621" w:rsidRPr="000950FE">
        <w:rPr>
          <w:rFonts w:ascii="Arial" w:hAnsi="Arial" w:cs="Arial"/>
          <w:sz w:val="20"/>
          <w:szCs w:val="20"/>
        </w:rPr>
        <w:t>.</w:t>
      </w:r>
    </w:p>
    <w:p w14:paraId="6027F4B9" w14:textId="77777777" w:rsidR="00B32122" w:rsidRPr="000950FE" w:rsidRDefault="00B32122" w:rsidP="0012614F">
      <w:pPr>
        <w:jc w:val="both"/>
        <w:rPr>
          <w:rFonts w:ascii="Arial" w:hAnsi="Arial" w:cs="Arial"/>
          <w:sz w:val="20"/>
          <w:szCs w:val="20"/>
        </w:rPr>
      </w:pPr>
    </w:p>
    <w:p w14:paraId="74049BBB" w14:textId="3BDDB2D2" w:rsidR="00032A6B" w:rsidRPr="00DD1CCC" w:rsidRDefault="00032A6B" w:rsidP="00DD1CCC">
      <w:pPr>
        <w:spacing w:after="120" w:line="240" w:lineRule="auto"/>
        <w:jc w:val="both"/>
        <w:rPr>
          <w:rFonts w:ascii="Arial Narrow" w:eastAsia="Times New Roman" w:hAnsi="Arial Narrow" w:cs="Arial"/>
          <w:bCs/>
          <w:color w:val="1F3864" w:themeColor="accent5" w:themeShade="80"/>
          <w:sz w:val="19"/>
          <w:szCs w:val="19"/>
          <w:lang w:eastAsia="it-IT"/>
        </w:rPr>
      </w:pPr>
      <w:r w:rsidRPr="00DD1CCC">
        <w:rPr>
          <w:rFonts w:ascii="Arial Narrow" w:eastAsia="Times New Roman" w:hAnsi="Arial Narrow" w:cs="Arial"/>
          <w:b/>
          <w:bCs/>
          <w:iCs/>
          <w:noProof/>
          <w:color w:val="1F4B78"/>
          <w:sz w:val="20"/>
          <w:szCs w:val="20"/>
          <w:lang w:eastAsia="it-IT"/>
        </w:rPr>
        <w:t xml:space="preserve">FIGURA </w:t>
      </w:r>
      <w:r w:rsidR="00FD102E" w:rsidRPr="00DD1CCC">
        <w:rPr>
          <w:rFonts w:ascii="Arial Narrow" w:eastAsia="Times New Roman" w:hAnsi="Arial Narrow" w:cs="Arial"/>
          <w:b/>
          <w:bCs/>
          <w:iCs/>
          <w:noProof/>
          <w:color w:val="1F4B78"/>
          <w:sz w:val="20"/>
          <w:szCs w:val="20"/>
          <w:lang w:eastAsia="it-IT"/>
        </w:rPr>
        <w:t>7</w:t>
      </w:r>
      <w:r w:rsidRPr="00DD1CCC">
        <w:rPr>
          <w:rFonts w:ascii="Arial Narrow" w:eastAsia="Times New Roman" w:hAnsi="Arial Narrow" w:cs="Arial"/>
          <w:b/>
          <w:bCs/>
          <w:iCs/>
          <w:noProof/>
          <w:color w:val="1F4B78"/>
          <w:sz w:val="20"/>
          <w:szCs w:val="20"/>
          <w:lang w:eastAsia="it-IT"/>
        </w:rPr>
        <w:t xml:space="preserve">. DISTRIBUZIONE DEGLI ACCESSI AL PS DI DONNE CON INDICAZIONE DI VIOLENZA E TOTALI PER ESITO </w:t>
      </w:r>
      <w:r w:rsidR="00823EC8">
        <w:rPr>
          <w:rFonts w:ascii="Arial Narrow" w:eastAsia="Times New Roman" w:hAnsi="Arial Narrow" w:cs="Arial"/>
          <w:b/>
          <w:bCs/>
          <w:iCs/>
          <w:noProof/>
          <w:color w:val="1F4B78"/>
          <w:sz w:val="20"/>
          <w:szCs w:val="20"/>
          <w:lang w:eastAsia="it-IT"/>
        </w:rPr>
        <w:t xml:space="preserve">DEL </w:t>
      </w:r>
      <w:r w:rsidRPr="00DD1CCC">
        <w:rPr>
          <w:rFonts w:ascii="Arial Narrow" w:eastAsia="Times New Roman" w:hAnsi="Arial Narrow" w:cs="Arial"/>
          <w:b/>
          <w:bCs/>
          <w:iCs/>
          <w:noProof/>
          <w:color w:val="1F4B78"/>
          <w:sz w:val="20"/>
          <w:szCs w:val="20"/>
          <w:lang w:eastAsia="it-IT"/>
        </w:rPr>
        <w:t>TRATTAMENTO</w:t>
      </w:r>
      <w:r w:rsidR="00FF2B38" w:rsidRPr="00DD1CCC">
        <w:rPr>
          <w:rFonts w:ascii="Arial Narrow" w:eastAsia="Times New Roman" w:hAnsi="Arial Narrow" w:cs="Arial"/>
          <w:b/>
          <w:bCs/>
          <w:iCs/>
          <w:noProof/>
          <w:color w:val="1F4B78"/>
          <w:sz w:val="20"/>
          <w:szCs w:val="20"/>
          <w:lang w:eastAsia="it-IT"/>
        </w:rPr>
        <w:t xml:space="preserve"> (a)</w:t>
      </w:r>
      <w:r w:rsidRPr="00DD1CCC">
        <w:rPr>
          <w:rFonts w:ascii="Arial Narrow" w:eastAsia="Times New Roman" w:hAnsi="Arial Narrow" w:cs="Arial"/>
          <w:b/>
          <w:bCs/>
          <w:iCs/>
          <w:noProof/>
          <w:color w:val="1F4B78"/>
          <w:sz w:val="20"/>
          <w:szCs w:val="20"/>
          <w:lang w:eastAsia="it-IT"/>
        </w:rPr>
        <w:t>.</w:t>
      </w:r>
      <w:r w:rsidRPr="000950FE">
        <w:rPr>
          <w:rFonts w:ascii="Arial Narrow" w:hAnsi="Arial Narrow" w:cs="Calibri"/>
          <w:b/>
          <w:bCs/>
          <w:color w:val="7F7F7F"/>
          <w:sz w:val="20"/>
          <w:szCs w:val="20"/>
        </w:rPr>
        <w:t xml:space="preserve"> </w:t>
      </w:r>
      <w:r w:rsidRPr="00DD1CCC">
        <w:rPr>
          <w:rFonts w:ascii="Arial Narrow" w:eastAsia="Times New Roman" w:hAnsi="Arial Narrow" w:cs="Arial"/>
          <w:bCs/>
          <w:color w:val="1F3864" w:themeColor="accent5" w:themeShade="80"/>
          <w:sz w:val="19"/>
          <w:szCs w:val="19"/>
          <w:lang w:eastAsia="it-IT"/>
        </w:rPr>
        <w:t>Ann</w:t>
      </w:r>
      <w:r w:rsidR="00FF2B38" w:rsidRPr="00DD1CCC">
        <w:rPr>
          <w:rFonts w:ascii="Arial Narrow" w:eastAsia="Times New Roman" w:hAnsi="Arial Narrow" w:cs="Arial"/>
          <w:bCs/>
          <w:color w:val="1F3864" w:themeColor="accent5" w:themeShade="80"/>
          <w:sz w:val="19"/>
          <w:szCs w:val="19"/>
          <w:lang w:eastAsia="it-IT"/>
        </w:rPr>
        <w:t>o</w:t>
      </w:r>
      <w:r w:rsidRPr="00DD1CCC">
        <w:rPr>
          <w:rFonts w:ascii="Arial Narrow" w:eastAsia="Times New Roman" w:hAnsi="Arial Narrow" w:cs="Arial"/>
          <w:bCs/>
          <w:color w:val="1F3864" w:themeColor="accent5" w:themeShade="80"/>
          <w:sz w:val="19"/>
          <w:szCs w:val="19"/>
          <w:lang w:eastAsia="it-IT"/>
        </w:rPr>
        <w:t xml:space="preserve"> 2021</w:t>
      </w:r>
      <w:r w:rsidR="003E6D7A">
        <w:rPr>
          <w:rFonts w:ascii="Arial Narrow" w:eastAsia="Times New Roman" w:hAnsi="Arial Narrow" w:cs="Arial"/>
          <w:bCs/>
          <w:color w:val="1F3864" w:themeColor="accent5" w:themeShade="80"/>
          <w:sz w:val="19"/>
          <w:szCs w:val="19"/>
          <w:lang w:eastAsia="it-IT"/>
        </w:rPr>
        <w:t xml:space="preserve">, </w:t>
      </w:r>
      <w:r w:rsidR="00E2125C" w:rsidRPr="00DD1CCC">
        <w:rPr>
          <w:rFonts w:ascii="Arial Narrow" w:eastAsia="Times New Roman" w:hAnsi="Arial Narrow" w:cs="Arial"/>
          <w:bCs/>
          <w:color w:val="1F3864" w:themeColor="accent5" w:themeShade="80"/>
          <w:sz w:val="19"/>
          <w:szCs w:val="19"/>
          <w:lang w:eastAsia="it-IT"/>
        </w:rPr>
        <w:t>per 100 accessi</w:t>
      </w:r>
      <w:r w:rsidR="003E6D7A">
        <w:rPr>
          <w:rFonts w:ascii="Arial Narrow" w:eastAsia="Times New Roman" w:hAnsi="Arial Narrow" w:cs="Arial"/>
          <w:bCs/>
          <w:color w:val="1F3864" w:themeColor="accent5" w:themeShade="80"/>
          <w:sz w:val="19"/>
          <w:szCs w:val="19"/>
          <w:lang w:eastAsia="it-IT"/>
        </w:rPr>
        <w:t>.</w:t>
      </w:r>
    </w:p>
    <w:p w14:paraId="0CBAABE3" w14:textId="296BC882" w:rsidR="002E7725" w:rsidRPr="000950FE" w:rsidRDefault="006C737B" w:rsidP="00825382">
      <w:pPr>
        <w:spacing w:after="0"/>
        <w:jc w:val="both"/>
        <w:rPr>
          <w:rFonts w:ascii="Arial Narrow" w:hAnsi="Arial Narrow" w:cs="Calibri"/>
          <w:b/>
          <w:bCs/>
          <w:color w:val="7F7F7F"/>
          <w:sz w:val="20"/>
          <w:szCs w:val="20"/>
        </w:rPr>
      </w:pPr>
      <w:r>
        <w:rPr>
          <w:noProof/>
          <w:lang w:eastAsia="it-IT"/>
        </w:rPr>
        <w:drawing>
          <wp:inline distT="0" distB="0" distL="0" distR="0" wp14:anchorId="13463611" wp14:editId="42676D0F">
            <wp:extent cx="5976620" cy="2510790"/>
            <wp:effectExtent l="0" t="0" r="5080" b="3810"/>
            <wp:docPr id="28" name="Gra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092295" w14:textId="4939AC2A" w:rsidR="00FF2B38" w:rsidRPr="00DD1CCC" w:rsidRDefault="00FF2B38" w:rsidP="00DD1CCC">
      <w:pPr>
        <w:spacing w:before="60"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(a) Esclusi gli accessi per la regione Calabria.</w:t>
      </w:r>
    </w:p>
    <w:p w14:paraId="3752B027" w14:textId="39685651" w:rsidR="001D2FE3" w:rsidRPr="00DD1CCC" w:rsidRDefault="001D2FE3" w:rsidP="001D2FE3">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(b) “Altro” comprende: trasferimento ad altro istituto, trasferimento a struttura territoriale, deceduto in PS, giunto cadavere.</w:t>
      </w:r>
    </w:p>
    <w:p w14:paraId="0D7EFD3B" w14:textId="77777777" w:rsidR="00044B64" w:rsidRPr="00DD1CCC" w:rsidRDefault="00044B64" w:rsidP="00044B64">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7565534B" w14:textId="681915AD" w:rsidR="00231905" w:rsidRDefault="00231905" w:rsidP="00FD279B">
      <w:pPr>
        <w:pStyle w:val="Default"/>
        <w:spacing w:after="120"/>
        <w:jc w:val="both"/>
        <w:rPr>
          <w:rFonts w:ascii="Arial" w:eastAsiaTheme="minorHAnsi" w:hAnsi="Arial" w:cs="Arial"/>
          <w:b/>
          <w:bCs/>
          <w:color w:val="44546A" w:themeColor="text2"/>
          <w:sz w:val="22"/>
          <w:szCs w:val="22"/>
          <w:lang w:eastAsia="en-US"/>
        </w:rPr>
      </w:pPr>
    </w:p>
    <w:p w14:paraId="26B6B8DB" w14:textId="65EAEECB" w:rsidR="00B32122" w:rsidRDefault="00B32122" w:rsidP="00FD279B">
      <w:pPr>
        <w:pStyle w:val="Default"/>
        <w:spacing w:after="120"/>
        <w:jc w:val="both"/>
        <w:rPr>
          <w:rFonts w:ascii="Arial" w:eastAsiaTheme="minorHAnsi" w:hAnsi="Arial" w:cs="Arial"/>
          <w:b/>
          <w:bCs/>
          <w:color w:val="44546A" w:themeColor="text2"/>
          <w:sz w:val="22"/>
          <w:szCs w:val="22"/>
          <w:lang w:eastAsia="en-US"/>
        </w:rPr>
      </w:pPr>
    </w:p>
    <w:p w14:paraId="00D7C0AF" w14:textId="5F41A8F8" w:rsidR="002C6405" w:rsidRDefault="002C6405" w:rsidP="00FD279B">
      <w:pPr>
        <w:pStyle w:val="Default"/>
        <w:spacing w:after="120"/>
        <w:jc w:val="both"/>
        <w:rPr>
          <w:rFonts w:ascii="Arial" w:eastAsiaTheme="minorHAnsi" w:hAnsi="Arial" w:cs="Arial"/>
          <w:b/>
          <w:bCs/>
          <w:color w:val="44546A" w:themeColor="text2"/>
          <w:sz w:val="22"/>
          <w:szCs w:val="22"/>
          <w:lang w:eastAsia="en-US"/>
        </w:rPr>
      </w:pPr>
      <w:r>
        <w:rPr>
          <w:rFonts w:ascii="Arial" w:eastAsiaTheme="minorHAnsi" w:hAnsi="Arial" w:cs="Arial"/>
          <w:b/>
          <w:bCs/>
          <w:color w:val="44546A" w:themeColor="text2"/>
          <w:sz w:val="22"/>
          <w:szCs w:val="22"/>
          <w:lang w:eastAsia="en-US"/>
        </w:rPr>
        <w:br w:type="page"/>
      </w:r>
    </w:p>
    <w:p w14:paraId="283002D1" w14:textId="45DAFF65" w:rsidR="00FD279B" w:rsidRPr="000950FE" w:rsidRDefault="00B070C3" w:rsidP="00FD279B">
      <w:pPr>
        <w:pStyle w:val="Defaul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lastRenderedPageBreak/>
        <w:t>Forte v</w:t>
      </w:r>
      <w:r w:rsidR="005D5065" w:rsidRPr="000950FE">
        <w:rPr>
          <w:rFonts w:ascii="Arial" w:eastAsiaTheme="minorHAnsi" w:hAnsi="Arial" w:cs="Arial"/>
          <w:b/>
          <w:bCs/>
          <w:color w:val="44546A" w:themeColor="text2"/>
          <w:sz w:val="22"/>
          <w:szCs w:val="22"/>
          <w:lang w:eastAsia="en-US"/>
        </w:rPr>
        <w:t>ariabilità regionale degli accessi i</w:t>
      </w:r>
      <w:r w:rsidR="00FD279B" w:rsidRPr="000950FE">
        <w:rPr>
          <w:rFonts w:ascii="Arial" w:eastAsiaTheme="minorHAnsi" w:hAnsi="Arial" w:cs="Arial"/>
          <w:b/>
          <w:bCs/>
          <w:color w:val="44546A" w:themeColor="text2"/>
          <w:sz w:val="22"/>
          <w:szCs w:val="22"/>
          <w:lang w:eastAsia="en-US"/>
        </w:rPr>
        <w:t xml:space="preserve">n </w:t>
      </w:r>
      <w:r w:rsidR="005B1EF5">
        <w:rPr>
          <w:rFonts w:ascii="Arial" w:eastAsiaTheme="minorHAnsi" w:hAnsi="Arial" w:cs="Arial"/>
          <w:b/>
          <w:bCs/>
          <w:color w:val="44546A" w:themeColor="text2"/>
          <w:sz w:val="22"/>
          <w:szCs w:val="22"/>
          <w:lang w:eastAsia="en-US"/>
        </w:rPr>
        <w:t>P</w:t>
      </w:r>
      <w:r w:rsidR="00FD279B" w:rsidRPr="000950FE">
        <w:rPr>
          <w:rFonts w:ascii="Arial" w:eastAsiaTheme="minorHAnsi" w:hAnsi="Arial" w:cs="Arial"/>
          <w:b/>
          <w:bCs/>
          <w:color w:val="44546A" w:themeColor="text2"/>
          <w:sz w:val="22"/>
          <w:szCs w:val="22"/>
          <w:lang w:eastAsia="en-US"/>
        </w:rPr>
        <w:t xml:space="preserve">ronto </w:t>
      </w:r>
      <w:r w:rsidR="005B1EF5">
        <w:rPr>
          <w:rFonts w:ascii="Arial" w:eastAsiaTheme="minorHAnsi" w:hAnsi="Arial" w:cs="Arial"/>
          <w:b/>
          <w:bCs/>
          <w:color w:val="44546A" w:themeColor="text2"/>
          <w:sz w:val="22"/>
          <w:szCs w:val="22"/>
          <w:lang w:eastAsia="en-US"/>
        </w:rPr>
        <w:t>S</w:t>
      </w:r>
      <w:r w:rsidR="00FD279B" w:rsidRPr="000950FE">
        <w:rPr>
          <w:rFonts w:ascii="Arial" w:eastAsiaTheme="minorHAnsi" w:hAnsi="Arial" w:cs="Arial"/>
          <w:b/>
          <w:bCs/>
          <w:color w:val="44546A" w:themeColor="text2"/>
          <w:sz w:val="22"/>
          <w:szCs w:val="22"/>
          <w:lang w:eastAsia="en-US"/>
        </w:rPr>
        <w:t xml:space="preserve">occorso </w:t>
      </w:r>
      <w:r w:rsidR="005D5065" w:rsidRPr="000950FE">
        <w:rPr>
          <w:rFonts w:ascii="Arial" w:eastAsiaTheme="minorHAnsi" w:hAnsi="Arial" w:cs="Arial"/>
          <w:b/>
          <w:bCs/>
          <w:color w:val="44546A" w:themeColor="text2"/>
          <w:sz w:val="22"/>
          <w:szCs w:val="22"/>
          <w:lang w:eastAsia="en-US"/>
        </w:rPr>
        <w:t>con indicazione di violenza</w:t>
      </w:r>
      <w:r w:rsidR="00FD279B" w:rsidRPr="000950FE">
        <w:rPr>
          <w:rFonts w:ascii="Arial" w:eastAsiaTheme="minorHAnsi" w:hAnsi="Arial" w:cs="Arial"/>
          <w:b/>
          <w:bCs/>
          <w:color w:val="44546A" w:themeColor="text2"/>
          <w:sz w:val="22"/>
          <w:szCs w:val="22"/>
          <w:lang w:eastAsia="en-US"/>
        </w:rPr>
        <w:t xml:space="preserve"> </w:t>
      </w:r>
    </w:p>
    <w:p w14:paraId="54E8E3AA" w14:textId="4CD1D2B8" w:rsidR="00E654B2" w:rsidRPr="000950FE" w:rsidRDefault="00E654B2" w:rsidP="00FD279B">
      <w:pPr>
        <w:pStyle w:val="Default"/>
        <w:spacing w:after="120"/>
        <w:jc w:val="both"/>
        <w:rPr>
          <w:rFonts w:ascii="Arial" w:hAnsi="Arial" w:cs="Arial"/>
          <w:sz w:val="20"/>
          <w:szCs w:val="20"/>
        </w:rPr>
      </w:pPr>
      <w:r w:rsidRPr="000950FE">
        <w:rPr>
          <w:rFonts w:ascii="Arial" w:hAnsi="Arial" w:cs="Arial"/>
          <w:sz w:val="20"/>
          <w:szCs w:val="20"/>
        </w:rPr>
        <w:t xml:space="preserve">Gli accessi in </w:t>
      </w:r>
      <w:r w:rsidR="00AC3B3C" w:rsidRPr="000950FE">
        <w:rPr>
          <w:rFonts w:ascii="Arial" w:hAnsi="Arial" w:cs="Arial"/>
          <w:sz w:val="20"/>
          <w:szCs w:val="20"/>
        </w:rPr>
        <w:t>PS</w:t>
      </w:r>
      <w:r w:rsidR="00FD279B" w:rsidRPr="000950FE">
        <w:rPr>
          <w:rFonts w:ascii="Arial" w:hAnsi="Arial" w:cs="Arial"/>
          <w:sz w:val="20"/>
          <w:szCs w:val="20"/>
        </w:rPr>
        <w:t xml:space="preserve"> con indicazione di violenza presentano </w:t>
      </w:r>
      <w:r w:rsidRPr="000950FE">
        <w:rPr>
          <w:rFonts w:ascii="Arial" w:hAnsi="Arial" w:cs="Arial"/>
          <w:sz w:val="20"/>
          <w:szCs w:val="20"/>
        </w:rPr>
        <w:t xml:space="preserve">un’elevata variabilità a livello regionale per entrambi i generi. Con riferimento alle donne, </w:t>
      </w:r>
      <w:r w:rsidR="006A2936" w:rsidRPr="000950FE">
        <w:rPr>
          <w:rFonts w:ascii="Arial" w:hAnsi="Arial" w:cs="Arial"/>
          <w:sz w:val="20"/>
          <w:szCs w:val="20"/>
        </w:rPr>
        <w:t>nel periodo pre</w:t>
      </w:r>
      <w:r w:rsidR="00AB0547">
        <w:rPr>
          <w:rFonts w:ascii="Arial" w:hAnsi="Arial" w:cs="Arial"/>
          <w:sz w:val="20"/>
          <w:szCs w:val="20"/>
        </w:rPr>
        <w:t xml:space="preserve">cedente </w:t>
      </w:r>
      <w:r w:rsidR="000D1163" w:rsidRPr="000950FE">
        <w:rPr>
          <w:rFonts w:ascii="Arial" w:hAnsi="Arial" w:cs="Arial"/>
          <w:sz w:val="20"/>
          <w:szCs w:val="20"/>
        </w:rPr>
        <w:t>la</w:t>
      </w:r>
      <w:r w:rsidR="006A2936" w:rsidRPr="000950FE">
        <w:rPr>
          <w:rFonts w:ascii="Arial" w:hAnsi="Arial" w:cs="Arial"/>
          <w:sz w:val="20"/>
          <w:szCs w:val="20"/>
        </w:rPr>
        <w:t xml:space="preserve"> pandemia </w:t>
      </w:r>
      <w:r w:rsidRPr="000950FE">
        <w:rPr>
          <w:rFonts w:ascii="Arial" w:hAnsi="Arial" w:cs="Arial"/>
          <w:sz w:val="20"/>
          <w:szCs w:val="20"/>
        </w:rPr>
        <w:t>l’incidenza degli accessi per 10.000 accessi totali varia da un valore pari a 3</w:t>
      </w:r>
      <w:r w:rsidR="00AC3B3C" w:rsidRPr="000950FE">
        <w:rPr>
          <w:rFonts w:ascii="Arial" w:hAnsi="Arial" w:cs="Arial"/>
          <w:sz w:val="20"/>
          <w:szCs w:val="20"/>
        </w:rPr>
        <w:t>,0</w:t>
      </w:r>
      <w:r w:rsidRPr="000950FE">
        <w:rPr>
          <w:rFonts w:ascii="Arial" w:hAnsi="Arial" w:cs="Arial"/>
          <w:sz w:val="20"/>
          <w:szCs w:val="20"/>
        </w:rPr>
        <w:t xml:space="preserve"> in Molise </w:t>
      </w:r>
      <w:r w:rsidR="005B1EF5">
        <w:rPr>
          <w:rFonts w:ascii="Arial" w:hAnsi="Arial" w:cs="Arial"/>
          <w:sz w:val="20"/>
          <w:szCs w:val="20"/>
        </w:rPr>
        <w:t>a</w:t>
      </w:r>
      <w:r w:rsidRPr="000950FE">
        <w:rPr>
          <w:rFonts w:ascii="Arial" w:hAnsi="Arial" w:cs="Arial"/>
          <w:sz w:val="20"/>
          <w:szCs w:val="20"/>
        </w:rPr>
        <w:t xml:space="preserve"> un valore pari a 23,3 in </w:t>
      </w:r>
      <w:r w:rsidR="00AC3B3C" w:rsidRPr="000950FE">
        <w:rPr>
          <w:rFonts w:ascii="Arial" w:hAnsi="Arial" w:cs="Arial"/>
          <w:sz w:val="20"/>
          <w:szCs w:val="20"/>
        </w:rPr>
        <w:t>Liguria</w:t>
      </w:r>
      <w:r w:rsidRPr="000950FE">
        <w:rPr>
          <w:rFonts w:ascii="Arial" w:hAnsi="Arial" w:cs="Arial"/>
          <w:sz w:val="20"/>
          <w:szCs w:val="20"/>
        </w:rPr>
        <w:t>, mentre nel periodo post pandemia l’incidenza varia da 2,6 in Molise a 27,6 in Abruzzo</w:t>
      </w:r>
      <w:r w:rsidR="00A5429A" w:rsidRPr="000950FE">
        <w:rPr>
          <w:rFonts w:ascii="Arial" w:hAnsi="Arial" w:cs="Arial"/>
          <w:sz w:val="20"/>
          <w:szCs w:val="20"/>
        </w:rPr>
        <w:t xml:space="preserve">. Anche i tassi </w:t>
      </w:r>
      <w:r w:rsidR="005E4D75" w:rsidRPr="000950FE">
        <w:rPr>
          <w:rFonts w:ascii="Arial" w:hAnsi="Arial" w:cs="Arial"/>
          <w:sz w:val="20"/>
          <w:szCs w:val="20"/>
        </w:rPr>
        <w:t>mostrano una spiccata variabilità territoriale</w:t>
      </w:r>
      <w:r w:rsidR="00812D4D" w:rsidRPr="000950FE">
        <w:rPr>
          <w:rFonts w:ascii="Arial" w:hAnsi="Arial" w:cs="Arial"/>
          <w:sz w:val="20"/>
          <w:szCs w:val="20"/>
        </w:rPr>
        <w:t xml:space="preserve"> (Tabella 2)</w:t>
      </w:r>
      <w:r w:rsidRPr="000950FE">
        <w:rPr>
          <w:rFonts w:ascii="Arial" w:hAnsi="Arial" w:cs="Arial"/>
          <w:sz w:val="20"/>
          <w:szCs w:val="20"/>
        </w:rPr>
        <w:t>.</w:t>
      </w:r>
    </w:p>
    <w:p w14:paraId="0572E580" w14:textId="0FF453DA" w:rsidR="00A0225E" w:rsidRDefault="005E4D75" w:rsidP="00A0225E">
      <w:pPr>
        <w:pStyle w:val="Default"/>
        <w:spacing w:after="120"/>
        <w:jc w:val="both"/>
        <w:rPr>
          <w:rFonts w:ascii="Arial" w:hAnsi="Arial" w:cs="Arial"/>
          <w:sz w:val="20"/>
          <w:szCs w:val="20"/>
        </w:rPr>
      </w:pPr>
      <w:r w:rsidRPr="000950FE">
        <w:rPr>
          <w:rFonts w:ascii="Arial" w:hAnsi="Arial" w:cs="Arial"/>
          <w:sz w:val="20"/>
          <w:szCs w:val="20"/>
        </w:rPr>
        <w:t xml:space="preserve">Sebbene una parte della variabilità dipenda dalla diversa diffusione del fenomeno nelle regioni, una parte potrebbe essere attribuibile alla differente </w:t>
      </w:r>
      <w:r w:rsidR="00A0225E" w:rsidRPr="000950FE">
        <w:rPr>
          <w:rFonts w:ascii="Arial" w:hAnsi="Arial" w:cs="Arial"/>
          <w:sz w:val="20"/>
          <w:szCs w:val="20"/>
        </w:rPr>
        <w:t xml:space="preserve">propensione a riconoscere il fenomeno. </w:t>
      </w:r>
      <w:r w:rsidRPr="000950FE">
        <w:rPr>
          <w:rFonts w:ascii="Arial" w:hAnsi="Arial" w:cs="Arial"/>
          <w:sz w:val="20"/>
          <w:szCs w:val="20"/>
        </w:rPr>
        <w:t xml:space="preserve">Alcune analisi dei trend nel periodo 2014-2021 effettuate dal Ministero della Salute hanno infatti evidenziato che le iniziative di formazione realizzate in questi anni in alcune realtà regionali hanno </w:t>
      </w:r>
      <w:r w:rsidR="00A0225E" w:rsidRPr="000950FE">
        <w:rPr>
          <w:rFonts w:ascii="Arial" w:hAnsi="Arial" w:cs="Arial"/>
          <w:sz w:val="20"/>
          <w:szCs w:val="20"/>
        </w:rPr>
        <w:t>migliora</w:t>
      </w:r>
      <w:r w:rsidRPr="000950FE">
        <w:rPr>
          <w:rFonts w:ascii="Arial" w:hAnsi="Arial" w:cs="Arial"/>
          <w:sz w:val="20"/>
          <w:szCs w:val="20"/>
        </w:rPr>
        <w:t>to</w:t>
      </w:r>
      <w:r w:rsidR="00A0225E" w:rsidRPr="000950FE">
        <w:rPr>
          <w:rFonts w:ascii="Arial" w:hAnsi="Arial" w:cs="Arial"/>
          <w:sz w:val="20"/>
          <w:szCs w:val="20"/>
        </w:rPr>
        <w:t xml:space="preserve"> la capacità di </w:t>
      </w:r>
      <w:r w:rsidRPr="000950FE">
        <w:rPr>
          <w:rFonts w:ascii="Arial" w:hAnsi="Arial" w:cs="Arial"/>
          <w:sz w:val="20"/>
          <w:szCs w:val="20"/>
        </w:rPr>
        <w:t xml:space="preserve">“riconoscere” </w:t>
      </w:r>
      <w:r w:rsidR="00A0225E" w:rsidRPr="000950FE">
        <w:rPr>
          <w:rFonts w:ascii="Arial" w:hAnsi="Arial" w:cs="Arial"/>
          <w:sz w:val="20"/>
          <w:szCs w:val="20"/>
        </w:rPr>
        <w:t>i casi di violenza</w:t>
      </w:r>
      <w:r w:rsidRPr="000950FE">
        <w:rPr>
          <w:rFonts w:ascii="Arial" w:hAnsi="Arial" w:cs="Arial"/>
          <w:sz w:val="20"/>
          <w:szCs w:val="20"/>
        </w:rPr>
        <w:t xml:space="preserve"> e, di conseguenza</w:t>
      </w:r>
      <w:r w:rsidR="00B070C3" w:rsidRPr="000950FE">
        <w:rPr>
          <w:rFonts w:ascii="Arial" w:hAnsi="Arial" w:cs="Arial"/>
          <w:sz w:val="20"/>
          <w:szCs w:val="20"/>
        </w:rPr>
        <w:t>,</w:t>
      </w:r>
      <w:r w:rsidR="00A0225E" w:rsidRPr="000950FE">
        <w:rPr>
          <w:rFonts w:ascii="Arial" w:hAnsi="Arial" w:cs="Arial"/>
          <w:sz w:val="20"/>
          <w:szCs w:val="20"/>
        </w:rPr>
        <w:t xml:space="preserve"> di </w:t>
      </w:r>
      <w:r w:rsidRPr="000950FE">
        <w:rPr>
          <w:rFonts w:ascii="Arial" w:hAnsi="Arial" w:cs="Arial"/>
          <w:sz w:val="20"/>
          <w:szCs w:val="20"/>
        </w:rPr>
        <w:t xml:space="preserve">intercettare </w:t>
      </w:r>
      <w:r w:rsidR="00A0225E" w:rsidRPr="000950FE">
        <w:rPr>
          <w:rFonts w:ascii="Arial" w:hAnsi="Arial" w:cs="Arial"/>
          <w:sz w:val="20"/>
          <w:szCs w:val="20"/>
        </w:rPr>
        <w:t>il fenomeno</w:t>
      </w:r>
      <w:r w:rsidRPr="000950FE">
        <w:rPr>
          <w:rFonts w:ascii="Arial" w:hAnsi="Arial" w:cs="Arial"/>
          <w:sz w:val="20"/>
          <w:szCs w:val="20"/>
        </w:rPr>
        <w:t xml:space="preserve"> nei dati amministrativi</w:t>
      </w:r>
      <w:r w:rsidR="00A0225E" w:rsidRPr="000950FE">
        <w:rPr>
          <w:rFonts w:ascii="Arial" w:hAnsi="Arial" w:cs="Arial"/>
          <w:sz w:val="20"/>
          <w:szCs w:val="20"/>
        </w:rPr>
        <w:t>.</w:t>
      </w:r>
    </w:p>
    <w:p w14:paraId="36658E7F" w14:textId="792B1573" w:rsidR="00B32122" w:rsidRDefault="00B32122" w:rsidP="00A0225E">
      <w:pPr>
        <w:pStyle w:val="Default"/>
        <w:spacing w:after="120"/>
        <w:jc w:val="both"/>
        <w:rPr>
          <w:rFonts w:ascii="Arial" w:hAnsi="Arial" w:cs="Arial"/>
          <w:sz w:val="20"/>
          <w:szCs w:val="20"/>
        </w:rPr>
      </w:pPr>
    </w:p>
    <w:p w14:paraId="446A2AAF" w14:textId="4A6697B3" w:rsidR="006C737B" w:rsidRPr="000950FE" w:rsidRDefault="004C11E7" w:rsidP="00DD1CCC">
      <w:pPr>
        <w:keepNext/>
        <w:tabs>
          <w:tab w:val="left" w:pos="2172"/>
        </w:tabs>
        <w:spacing w:after="120" w:line="240" w:lineRule="auto"/>
        <w:rPr>
          <w:rFonts w:ascii="Arial Narrow" w:hAnsi="Arial Narrow" w:cs="Arial"/>
          <w:bCs/>
          <w:sz w:val="19"/>
          <w:szCs w:val="19"/>
        </w:rPr>
      </w:pPr>
      <w:r w:rsidRPr="00DD1CCC">
        <w:rPr>
          <w:rFonts w:ascii="Arial Narrow" w:eastAsia="Times New Roman" w:hAnsi="Arial Narrow" w:cs="Arial"/>
          <w:b/>
          <w:bCs/>
          <w:iCs/>
          <w:noProof/>
          <w:color w:val="1F4B78"/>
          <w:sz w:val="20"/>
          <w:szCs w:val="20"/>
          <w:lang w:eastAsia="it-IT"/>
        </w:rPr>
        <w:t xml:space="preserve">TABELLA </w:t>
      </w:r>
      <w:r w:rsidR="00812D4D" w:rsidRPr="00DD1CCC">
        <w:rPr>
          <w:rFonts w:ascii="Arial Narrow" w:eastAsia="Times New Roman" w:hAnsi="Arial Narrow" w:cs="Arial"/>
          <w:b/>
          <w:bCs/>
          <w:iCs/>
          <w:noProof/>
          <w:color w:val="1F4B78"/>
          <w:sz w:val="20"/>
          <w:szCs w:val="20"/>
          <w:lang w:eastAsia="it-IT"/>
        </w:rPr>
        <w:t>2</w:t>
      </w:r>
      <w:r w:rsidRPr="00DD1CCC">
        <w:rPr>
          <w:rFonts w:ascii="Arial Narrow" w:eastAsia="Times New Roman" w:hAnsi="Arial Narrow" w:cs="Arial"/>
          <w:b/>
          <w:bCs/>
          <w:iCs/>
          <w:noProof/>
          <w:color w:val="1F4B78"/>
          <w:sz w:val="20"/>
          <w:szCs w:val="20"/>
          <w:lang w:eastAsia="it-IT"/>
        </w:rPr>
        <w:t>. ACCESSI IN P</w:t>
      </w:r>
      <w:r w:rsidR="00812D4D" w:rsidRPr="00DD1CCC">
        <w:rPr>
          <w:rFonts w:ascii="Arial Narrow" w:eastAsia="Times New Roman" w:hAnsi="Arial Narrow" w:cs="Arial"/>
          <w:b/>
          <w:bCs/>
          <w:iCs/>
          <w:noProof/>
          <w:color w:val="1F4B78"/>
          <w:sz w:val="20"/>
          <w:szCs w:val="20"/>
          <w:lang w:eastAsia="it-IT"/>
        </w:rPr>
        <w:t xml:space="preserve">RONTO SOCCORSO </w:t>
      </w:r>
      <w:r w:rsidRPr="00DD1CCC">
        <w:rPr>
          <w:rFonts w:ascii="Arial Narrow" w:eastAsia="Times New Roman" w:hAnsi="Arial Narrow" w:cs="Arial"/>
          <w:b/>
          <w:bCs/>
          <w:iCs/>
          <w:noProof/>
          <w:color w:val="1F4B78"/>
          <w:sz w:val="20"/>
          <w:szCs w:val="20"/>
          <w:lang w:eastAsia="it-IT"/>
        </w:rPr>
        <w:t>CON INDICAZIONE DI VIOLENZA PER SESSO E REGIONE</w:t>
      </w:r>
      <w:r w:rsidR="00FF2B38" w:rsidRPr="00DD1CCC">
        <w:rPr>
          <w:rFonts w:ascii="Arial Narrow" w:eastAsia="Times New Roman" w:hAnsi="Arial Narrow" w:cs="Arial"/>
          <w:b/>
          <w:bCs/>
          <w:iCs/>
          <w:noProof/>
          <w:color w:val="1F4B78"/>
          <w:sz w:val="20"/>
          <w:szCs w:val="20"/>
          <w:lang w:eastAsia="it-IT"/>
        </w:rPr>
        <w:t xml:space="preserve"> (a)</w:t>
      </w:r>
      <w:r w:rsidRPr="00DD1CCC">
        <w:rPr>
          <w:rFonts w:ascii="Arial Narrow" w:eastAsia="Times New Roman" w:hAnsi="Arial Narrow" w:cs="Arial"/>
          <w:b/>
          <w:bCs/>
          <w:iCs/>
          <w:noProof/>
          <w:color w:val="1F4B78"/>
          <w:sz w:val="20"/>
          <w:szCs w:val="20"/>
          <w:lang w:eastAsia="it-IT"/>
        </w:rPr>
        <w:t>.</w:t>
      </w:r>
      <w:r w:rsidRPr="000950FE">
        <w:rPr>
          <w:rFonts w:ascii="Arial Narrow" w:eastAsia="Times New Roman" w:hAnsi="Arial Narrow" w:cs="Calibri"/>
          <w:b/>
          <w:bCs/>
          <w:color w:val="7F7F7F"/>
          <w:sz w:val="20"/>
          <w:szCs w:val="20"/>
          <w:lang w:eastAsia="it-IT"/>
        </w:rPr>
        <w:t xml:space="preserve"> </w:t>
      </w:r>
      <w:r w:rsidRPr="00DD1CCC">
        <w:rPr>
          <w:rFonts w:ascii="Arial Narrow" w:eastAsia="Times New Roman" w:hAnsi="Arial Narrow" w:cs="Arial"/>
          <w:bCs/>
          <w:color w:val="1F3864" w:themeColor="accent5" w:themeShade="80"/>
          <w:sz w:val="19"/>
          <w:szCs w:val="19"/>
          <w:lang w:eastAsia="it-IT"/>
        </w:rPr>
        <w:t>Anni 2017-2019, 2020-2021</w:t>
      </w:r>
      <w:r w:rsidR="003E6D7A">
        <w:rPr>
          <w:rFonts w:ascii="Arial Narrow" w:eastAsia="Times New Roman" w:hAnsi="Arial Narrow" w:cs="Arial"/>
          <w:bCs/>
          <w:color w:val="1F3864" w:themeColor="accent5" w:themeShade="80"/>
          <w:sz w:val="19"/>
          <w:szCs w:val="19"/>
          <w:lang w:eastAsia="it-IT"/>
        </w:rPr>
        <w:t xml:space="preserve">, </w:t>
      </w:r>
      <w:r w:rsidRPr="00DD1CCC">
        <w:rPr>
          <w:rFonts w:ascii="Arial Narrow" w:eastAsia="Times New Roman" w:hAnsi="Arial Narrow" w:cs="Arial"/>
          <w:bCs/>
          <w:color w:val="1F3864" w:themeColor="accent5" w:themeShade="80"/>
          <w:sz w:val="19"/>
          <w:szCs w:val="19"/>
          <w:lang w:eastAsia="it-IT"/>
        </w:rPr>
        <w:t>valori per 10.000 accessi totali e tassi per 10.000 residenti</w:t>
      </w:r>
      <w:r w:rsidR="003E6D7A">
        <w:rPr>
          <w:rFonts w:ascii="Arial Narrow" w:eastAsia="Times New Roman" w:hAnsi="Arial Narrow" w:cs="Arial"/>
          <w:bCs/>
          <w:color w:val="1F3864" w:themeColor="accent5" w:themeShade="80"/>
          <w:sz w:val="19"/>
          <w:szCs w:val="19"/>
          <w:lang w:eastAsia="it-IT"/>
        </w:rPr>
        <w:t>.</w:t>
      </w:r>
    </w:p>
    <w:tbl>
      <w:tblPr>
        <w:tblW w:w="950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01"/>
        <w:gridCol w:w="993"/>
        <w:gridCol w:w="850"/>
        <w:gridCol w:w="851"/>
        <w:gridCol w:w="975"/>
        <w:gridCol w:w="160"/>
        <w:gridCol w:w="994"/>
        <w:gridCol w:w="992"/>
        <w:gridCol w:w="992"/>
        <w:gridCol w:w="993"/>
      </w:tblGrid>
      <w:tr w:rsidR="006C737B" w:rsidRPr="002720A8" w14:paraId="18F3EA36" w14:textId="77777777" w:rsidTr="00A42F0F">
        <w:trPr>
          <w:trHeight w:val="255"/>
        </w:trPr>
        <w:tc>
          <w:tcPr>
            <w:tcW w:w="1701" w:type="dxa"/>
            <w:vMerge w:val="restart"/>
            <w:tcBorders>
              <w:top w:val="single" w:sz="4" w:space="0" w:color="FFFFFF" w:themeColor="background1"/>
              <w:bottom w:val="single" w:sz="4" w:space="0" w:color="FFFFFF" w:themeColor="background1"/>
            </w:tcBorders>
            <w:shd w:val="clear" w:color="000000" w:fill="1F4E78"/>
            <w:vAlign w:val="center"/>
            <w:hideMark/>
          </w:tcPr>
          <w:p w14:paraId="37F4673F" w14:textId="77777777" w:rsidR="006C737B" w:rsidRPr="008D5765" w:rsidRDefault="006C737B" w:rsidP="006C737B">
            <w:pPr>
              <w:spacing w:before="40" w:after="20" w:line="240" w:lineRule="auto"/>
              <w:rPr>
                <w:rFonts w:ascii="Arial Narrow" w:eastAsia="Times New Roman" w:hAnsi="Arial Narrow" w:cs="Calibri"/>
                <w:b/>
                <w:bCs/>
                <w:color w:val="FFFFFF"/>
                <w:sz w:val="14"/>
                <w:szCs w:val="14"/>
                <w:lang w:eastAsia="it-IT"/>
              </w:rPr>
            </w:pPr>
            <w:r w:rsidRPr="008D5765">
              <w:rPr>
                <w:rFonts w:ascii="Arial Narrow" w:eastAsia="Times New Roman" w:hAnsi="Arial Narrow" w:cs="Calibri"/>
                <w:b/>
                <w:bCs/>
                <w:color w:val="FFFFFF"/>
                <w:sz w:val="14"/>
                <w:szCs w:val="14"/>
                <w:lang w:eastAsia="it-IT"/>
              </w:rPr>
              <w:t>REGIONI</w:t>
            </w:r>
          </w:p>
        </w:tc>
        <w:tc>
          <w:tcPr>
            <w:tcW w:w="3669" w:type="dxa"/>
            <w:gridSpan w:val="4"/>
            <w:tcBorders>
              <w:top w:val="single" w:sz="4" w:space="0" w:color="FFFFFF" w:themeColor="background1"/>
              <w:bottom w:val="single" w:sz="4" w:space="0" w:color="FFFFFF" w:themeColor="background1"/>
            </w:tcBorders>
            <w:shd w:val="clear" w:color="000000" w:fill="1F4E78"/>
            <w:vAlign w:val="center"/>
            <w:hideMark/>
          </w:tcPr>
          <w:p w14:paraId="3629B667" w14:textId="77777777" w:rsidR="006C737B" w:rsidRPr="002720A8" w:rsidRDefault="006C737B" w:rsidP="006C737B">
            <w:pPr>
              <w:spacing w:before="40" w:after="20" w:line="240" w:lineRule="auto"/>
              <w:jc w:val="center"/>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FEMMINE</w:t>
            </w:r>
          </w:p>
        </w:tc>
        <w:tc>
          <w:tcPr>
            <w:tcW w:w="160" w:type="dxa"/>
            <w:tcBorders>
              <w:top w:val="single" w:sz="4" w:space="0" w:color="FFFFFF" w:themeColor="background1"/>
              <w:bottom w:val="single" w:sz="4" w:space="0" w:color="FFFFFF" w:themeColor="background1"/>
            </w:tcBorders>
            <w:shd w:val="clear" w:color="auto" w:fill="auto"/>
            <w:noWrap/>
            <w:vAlign w:val="center"/>
            <w:hideMark/>
          </w:tcPr>
          <w:p w14:paraId="79475113" w14:textId="77777777" w:rsidR="006C737B" w:rsidRPr="002720A8" w:rsidRDefault="006C737B" w:rsidP="006C737B">
            <w:pPr>
              <w:spacing w:before="40" w:after="20" w:line="240" w:lineRule="auto"/>
              <w:jc w:val="center"/>
              <w:rPr>
                <w:rFonts w:ascii="Arial Narrow" w:eastAsia="Times New Roman" w:hAnsi="Arial Narrow" w:cs="Calibri"/>
                <w:bCs/>
                <w:color w:val="FFFFFF"/>
                <w:sz w:val="14"/>
                <w:szCs w:val="14"/>
                <w:lang w:eastAsia="it-IT"/>
              </w:rPr>
            </w:pPr>
          </w:p>
        </w:tc>
        <w:tc>
          <w:tcPr>
            <w:tcW w:w="3971" w:type="dxa"/>
            <w:gridSpan w:val="4"/>
            <w:tcBorders>
              <w:top w:val="single" w:sz="4" w:space="0" w:color="FFFFFF" w:themeColor="background1"/>
              <w:bottom w:val="single" w:sz="4" w:space="0" w:color="FFFFFF" w:themeColor="background1"/>
            </w:tcBorders>
            <w:shd w:val="clear" w:color="000000" w:fill="1F4E78"/>
            <w:vAlign w:val="center"/>
            <w:hideMark/>
          </w:tcPr>
          <w:p w14:paraId="3FFE46EE" w14:textId="77777777" w:rsidR="006C737B" w:rsidRPr="002720A8" w:rsidRDefault="006C737B" w:rsidP="006C737B">
            <w:pPr>
              <w:spacing w:before="40" w:after="20" w:line="240" w:lineRule="auto"/>
              <w:jc w:val="center"/>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MASCHI</w:t>
            </w:r>
          </w:p>
        </w:tc>
      </w:tr>
      <w:tr w:rsidR="00A42F0F" w:rsidRPr="002720A8" w14:paraId="1ADF1584" w14:textId="77777777" w:rsidTr="00A42F0F">
        <w:trPr>
          <w:trHeight w:val="255"/>
        </w:trPr>
        <w:tc>
          <w:tcPr>
            <w:tcW w:w="1701" w:type="dxa"/>
            <w:vMerge/>
            <w:tcBorders>
              <w:top w:val="single" w:sz="4" w:space="0" w:color="FFFFFF" w:themeColor="background1"/>
              <w:bottom w:val="single" w:sz="4" w:space="0" w:color="FFFFFF" w:themeColor="background1"/>
            </w:tcBorders>
            <w:vAlign w:val="center"/>
            <w:hideMark/>
          </w:tcPr>
          <w:p w14:paraId="606CD39C" w14:textId="77777777" w:rsidR="004B1EE6" w:rsidRPr="002720A8" w:rsidRDefault="004B1EE6" w:rsidP="006C737B">
            <w:pPr>
              <w:spacing w:before="40" w:after="20" w:line="240" w:lineRule="auto"/>
              <w:rPr>
                <w:rFonts w:ascii="Arial Narrow" w:eastAsia="Times New Roman" w:hAnsi="Arial Narrow" w:cs="Calibri"/>
                <w:bCs/>
                <w:color w:val="FFFFFF"/>
                <w:sz w:val="14"/>
                <w:szCs w:val="14"/>
                <w:lang w:eastAsia="it-IT"/>
              </w:rPr>
            </w:pPr>
          </w:p>
        </w:tc>
        <w:tc>
          <w:tcPr>
            <w:tcW w:w="1843" w:type="dxa"/>
            <w:gridSpan w:val="2"/>
            <w:tcBorders>
              <w:top w:val="single" w:sz="4" w:space="0" w:color="FFFFFF" w:themeColor="background1"/>
              <w:bottom w:val="single" w:sz="4" w:space="0" w:color="auto"/>
            </w:tcBorders>
            <w:shd w:val="clear" w:color="auto" w:fill="D9D9D9" w:themeFill="background1" w:themeFillShade="D9"/>
            <w:vAlign w:val="center"/>
          </w:tcPr>
          <w:p w14:paraId="55824934" w14:textId="77777777" w:rsidR="004B1EE6" w:rsidRPr="004B1EE6" w:rsidRDefault="004B1EE6" w:rsidP="006C737B">
            <w:pPr>
              <w:spacing w:before="40" w:after="20" w:line="240" w:lineRule="auto"/>
              <w:jc w:val="center"/>
              <w:rPr>
                <w:rFonts w:ascii="Arial Narrow" w:eastAsia="Times New Roman" w:hAnsi="Arial Narrow" w:cs="Calibri"/>
                <w:b/>
                <w:bCs/>
                <w:sz w:val="14"/>
                <w:szCs w:val="14"/>
                <w:lang w:eastAsia="it-IT"/>
              </w:rPr>
            </w:pPr>
            <w:r w:rsidRPr="004B1EE6">
              <w:rPr>
                <w:rFonts w:ascii="Arial Narrow" w:eastAsia="Times New Roman" w:hAnsi="Arial Narrow" w:cs="Calibri"/>
                <w:b/>
                <w:bCs/>
                <w:sz w:val="14"/>
                <w:szCs w:val="14"/>
                <w:lang w:eastAsia="it-IT"/>
              </w:rPr>
              <w:t>per 10.000 accessi totali</w:t>
            </w:r>
          </w:p>
        </w:tc>
        <w:tc>
          <w:tcPr>
            <w:tcW w:w="1826" w:type="dxa"/>
            <w:gridSpan w:val="2"/>
            <w:tcBorders>
              <w:top w:val="single" w:sz="4" w:space="0" w:color="FFFFFF" w:themeColor="background1"/>
              <w:bottom w:val="single" w:sz="4" w:space="0" w:color="auto"/>
            </w:tcBorders>
            <w:shd w:val="clear" w:color="auto" w:fill="1F4E79" w:themeFill="accent1" w:themeFillShade="80"/>
            <w:vAlign w:val="center"/>
            <w:hideMark/>
          </w:tcPr>
          <w:p w14:paraId="023F3EB7" w14:textId="23CD748B" w:rsidR="004B1EE6" w:rsidRPr="004B1EE6" w:rsidRDefault="004B1EE6" w:rsidP="006C737B">
            <w:pPr>
              <w:spacing w:before="40" w:after="20" w:line="240" w:lineRule="auto"/>
              <w:jc w:val="center"/>
              <w:rPr>
                <w:rFonts w:ascii="Arial Narrow" w:eastAsia="Times New Roman" w:hAnsi="Arial Narrow" w:cs="Calibri"/>
                <w:b/>
                <w:bCs/>
                <w:color w:val="FFFFFF" w:themeColor="background1"/>
                <w:sz w:val="14"/>
                <w:szCs w:val="14"/>
                <w:lang w:eastAsia="it-IT"/>
              </w:rPr>
            </w:pPr>
            <w:r w:rsidRPr="004B1EE6">
              <w:rPr>
                <w:rFonts w:ascii="Arial Narrow" w:eastAsia="Times New Roman" w:hAnsi="Arial Narrow" w:cs="Calibri"/>
                <w:b/>
                <w:bCs/>
                <w:color w:val="FFFFFF" w:themeColor="background1"/>
                <w:sz w:val="14"/>
                <w:szCs w:val="14"/>
                <w:lang w:eastAsia="it-IT"/>
              </w:rPr>
              <w:t>per 10.000 residenti (b)</w:t>
            </w:r>
          </w:p>
        </w:tc>
        <w:tc>
          <w:tcPr>
            <w:tcW w:w="160" w:type="dxa"/>
            <w:tcBorders>
              <w:top w:val="single" w:sz="4" w:space="0" w:color="FFFFFF" w:themeColor="background1"/>
              <w:bottom w:val="single" w:sz="4" w:space="0" w:color="auto"/>
            </w:tcBorders>
            <w:shd w:val="clear" w:color="auto" w:fill="auto"/>
            <w:noWrap/>
            <w:vAlign w:val="center"/>
            <w:hideMark/>
          </w:tcPr>
          <w:p w14:paraId="4F559865" w14:textId="77777777" w:rsidR="004B1EE6" w:rsidRPr="002720A8" w:rsidRDefault="004B1EE6" w:rsidP="006C737B">
            <w:pPr>
              <w:spacing w:before="40" w:after="20" w:line="240" w:lineRule="auto"/>
              <w:jc w:val="center"/>
              <w:rPr>
                <w:rFonts w:ascii="Arial Narrow" w:eastAsia="Times New Roman" w:hAnsi="Arial Narrow" w:cs="Calibri"/>
                <w:b/>
                <w:bCs/>
                <w:color w:val="FFFFFF"/>
                <w:sz w:val="14"/>
                <w:szCs w:val="14"/>
                <w:lang w:eastAsia="it-IT"/>
              </w:rPr>
            </w:pPr>
          </w:p>
        </w:tc>
        <w:tc>
          <w:tcPr>
            <w:tcW w:w="1986" w:type="dxa"/>
            <w:gridSpan w:val="2"/>
            <w:tcBorders>
              <w:top w:val="single" w:sz="4" w:space="0" w:color="FFFFFF" w:themeColor="background1"/>
              <w:bottom w:val="single" w:sz="4" w:space="0" w:color="auto"/>
            </w:tcBorders>
            <w:shd w:val="clear" w:color="auto" w:fill="D9D9D9" w:themeFill="background1" w:themeFillShade="D9"/>
            <w:vAlign w:val="center"/>
          </w:tcPr>
          <w:p w14:paraId="7E9BF407" w14:textId="77777777" w:rsidR="004B1EE6" w:rsidRPr="004B1EE6" w:rsidRDefault="004B1EE6" w:rsidP="006C737B">
            <w:pPr>
              <w:spacing w:before="40" w:after="20" w:line="240" w:lineRule="auto"/>
              <w:jc w:val="center"/>
              <w:rPr>
                <w:rFonts w:ascii="Arial Narrow" w:eastAsia="Times New Roman" w:hAnsi="Arial Narrow" w:cs="Calibri"/>
                <w:b/>
                <w:bCs/>
                <w:sz w:val="14"/>
                <w:szCs w:val="14"/>
                <w:lang w:eastAsia="it-IT"/>
              </w:rPr>
            </w:pPr>
            <w:r w:rsidRPr="004B1EE6">
              <w:rPr>
                <w:rFonts w:ascii="Arial Narrow" w:eastAsia="Times New Roman" w:hAnsi="Arial Narrow" w:cs="Calibri"/>
                <w:b/>
                <w:bCs/>
                <w:sz w:val="14"/>
                <w:szCs w:val="14"/>
                <w:lang w:eastAsia="it-IT"/>
              </w:rPr>
              <w:t>per 10.000 accessi totali</w:t>
            </w:r>
          </w:p>
        </w:tc>
        <w:tc>
          <w:tcPr>
            <w:tcW w:w="1985" w:type="dxa"/>
            <w:gridSpan w:val="2"/>
            <w:tcBorders>
              <w:top w:val="single" w:sz="4" w:space="0" w:color="FFFFFF" w:themeColor="background1"/>
              <w:bottom w:val="single" w:sz="4" w:space="0" w:color="auto"/>
            </w:tcBorders>
            <w:shd w:val="clear" w:color="auto" w:fill="1F4E79" w:themeFill="accent1" w:themeFillShade="80"/>
            <w:vAlign w:val="center"/>
            <w:hideMark/>
          </w:tcPr>
          <w:p w14:paraId="3FEDA4FB" w14:textId="77883265" w:rsidR="004B1EE6" w:rsidRPr="004B1EE6" w:rsidRDefault="004B1EE6" w:rsidP="006C737B">
            <w:pPr>
              <w:spacing w:before="40" w:after="20" w:line="240" w:lineRule="auto"/>
              <w:jc w:val="center"/>
              <w:rPr>
                <w:rFonts w:ascii="Arial Narrow" w:eastAsia="Times New Roman" w:hAnsi="Arial Narrow" w:cs="Calibri"/>
                <w:b/>
                <w:bCs/>
                <w:color w:val="FFFFFF" w:themeColor="background1"/>
                <w:sz w:val="14"/>
                <w:szCs w:val="14"/>
                <w:lang w:eastAsia="it-IT"/>
              </w:rPr>
            </w:pPr>
            <w:r w:rsidRPr="004B1EE6">
              <w:rPr>
                <w:rFonts w:ascii="Arial Narrow" w:eastAsia="Times New Roman" w:hAnsi="Arial Narrow" w:cs="Calibri"/>
                <w:b/>
                <w:bCs/>
                <w:color w:val="FFFFFF" w:themeColor="background1"/>
                <w:sz w:val="14"/>
                <w:szCs w:val="14"/>
                <w:lang w:eastAsia="it-IT"/>
              </w:rPr>
              <w:t>per 10.000 residenti (b)</w:t>
            </w:r>
          </w:p>
        </w:tc>
      </w:tr>
      <w:tr w:rsidR="004B1EE6" w:rsidRPr="002720A8" w14:paraId="74A9CAB3" w14:textId="77777777" w:rsidTr="00A42F0F">
        <w:trPr>
          <w:trHeight w:val="255"/>
        </w:trPr>
        <w:tc>
          <w:tcPr>
            <w:tcW w:w="1701" w:type="dxa"/>
            <w:vMerge/>
            <w:tcBorders>
              <w:top w:val="single" w:sz="4" w:space="0" w:color="FFFFFF" w:themeColor="background1"/>
            </w:tcBorders>
            <w:vAlign w:val="center"/>
            <w:hideMark/>
          </w:tcPr>
          <w:p w14:paraId="7B4924BE" w14:textId="77777777" w:rsidR="004B1EE6" w:rsidRPr="002720A8" w:rsidRDefault="004B1EE6" w:rsidP="006C737B">
            <w:pPr>
              <w:spacing w:before="40" w:after="20" w:line="240" w:lineRule="auto"/>
              <w:rPr>
                <w:rFonts w:ascii="Arial Narrow" w:eastAsia="Times New Roman" w:hAnsi="Arial Narrow" w:cs="Calibri"/>
                <w:bCs/>
                <w:color w:val="FFFFFF"/>
                <w:sz w:val="14"/>
                <w:szCs w:val="14"/>
                <w:lang w:eastAsia="it-IT"/>
              </w:rPr>
            </w:pPr>
          </w:p>
        </w:tc>
        <w:tc>
          <w:tcPr>
            <w:tcW w:w="993" w:type="dxa"/>
            <w:tcBorders>
              <w:top w:val="single" w:sz="4" w:space="0" w:color="auto"/>
            </w:tcBorders>
            <w:shd w:val="clear" w:color="auto" w:fill="auto"/>
            <w:vAlign w:val="center"/>
          </w:tcPr>
          <w:p w14:paraId="61946020"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2017-2019</w:t>
            </w:r>
          </w:p>
        </w:tc>
        <w:tc>
          <w:tcPr>
            <w:tcW w:w="850" w:type="dxa"/>
            <w:tcBorders>
              <w:top w:val="single" w:sz="4" w:space="0" w:color="auto"/>
            </w:tcBorders>
            <w:shd w:val="clear" w:color="auto" w:fill="auto"/>
            <w:vAlign w:val="center"/>
            <w:hideMark/>
          </w:tcPr>
          <w:p w14:paraId="1438925B"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2020-2021</w:t>
            </w:r>
          </w:p>
        </w:tc>
        <w:tc>
          <w:tcPr>
            <w:tcW w:w="851" w:type="dxa"/>
            <w:tcBorders>
              <w:top w:val="single" w:sz="4" w:space="0" w:color="auto"/>
            </w:tcBorders>
            <w:shd w:val="clear" w:color="auto" w:fill="auto"/>
            <w:vAlign w:val="center"/>
            <w:hideMark/>
          </w:tcPr>
          <w:p w14:paraId="595361A8"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2017-2019</w:t>
            </w:r>
          </w:p>
        </w:tc>
        <w:tc>
          <w:tcPr>
            <w:tcW w:w="975" w:type="dxa"/>
            <w:tcBorders>
              <w:top w:val="single" w:sz="4" w:space="0" w:color="auto"/>
            </w:tcBorders>
            <w:shd w:val="clear" w:color="auto" w:fill="auto"/>
            <w:vAlign w:val="center"/>
            <w:hideMark/>
          </w:tcPr>
          <w:p w14:paraId="6ED65780"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2020-2021</w:t>
            </w:r>
          </w:p>
        </w:tc>
        <w:tc>
          <w:tcPr>
            <w:tcW w:w="160" w:type="dxa"/>
            <w:tcBorders>
              <w:top w:val="single" w:sz="4" w:space="0" w:color="auto"/>
            </w:tcBorders>
            <w:shd w:val="clear" w:color="auto" w:fill="auto"/>
            <w:noWrap/>
            <w:vAlign w:val="center"/>
            <w:hideMark/>
          </w:tcPr>
          <w:p w14:paraId="2FE7B1CD"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p>
        </w:tc>
        <w:tc>
          <w:tcPr>
            <w:tcW w:w="994" w:type="dxa"/>
            <w:tcBorders>
              <w:top w:val="single" w:sz="4" w:space="0" w:color="auto"/>
            </w:tcBorders>
            <w:shd w:val="clear" w:color="auto" w:fill="auto"/>
            <w:vAlign w:val="center"/>
          </w:tcPr>
          <w:p w14:paraId="6E8CDB6E"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2017-2019</w:t>
            </w:r>
          </w:p>
        </w:tc>
        <w:tc>
          <w:tcPr>
            <w:tcW w:w="992" w:type="dxa"/>
            <w:tcBorders>
              <w:top w:val="single" w:sz="4" w:space="0" w:color="auto"/>
            </w:tcBorders>
            <w:shd w:val="clear" w:color="auto" w:fill="auto"/>
            <w:vAlign w:val="center"/>
            <w:hideMark/>
          </w:tcPr>
          <w:p w14:paraId="2CCB07F1"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2020-2021</w:t>
            </w:r>
          </w:p>
        </w:tc>
        <w:tc>
          <w:tcPr>
            <w:tcW w:w="992" w:type="dxa"/>
            <w:tcBorders>
              <w:top w:val="single" w:sz="4" w:space="0" w:color="auto"/>
            </w:tcBorders>
            <w:shd w:val="clear" w:color="auto" w:fill="auto"/>
            <w:vAlign w:val="center"/>
            <w:hideMark/>
          </w:tcPr>
          <w:p w14:paraId="03FC817F"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2017-2019</w:t>
            </w:r>
          </w:p>
        </w:tc>
        <w:tc>
          <w:tcPr>
            <w:tcW w:w="993" w:type="dxa"/>
            <w:tcBorders>
              <w:top w:val="single" w:sz="4" w:space="0" w:color="auto"/>
            </w:tcBorders>
            <w:shd w:val="clear" w:color="auto" w:fill="auto"/>
            <w:vAlign w:val="center"/>
            <w:hideMark/>
          </w:tcPr>
          <w:p w14:paraId="0900898E" w14:textId="77777777" w:rsidR="004B1EE6" w:rsidRPr="002720A8" w:rsidRDefault="004B1EE6" w:rsidP="006C737B">
            <w:pPr>
              <w:spacing w:before="40" w:after="20" w:line="240" w:lineRule="auto"/>
              <w:jc w:val="right"/>
              <w:rPr>
                <w:rFonts w:ascii="Arial Narrow" w:eastAsia="Times New Roman" w:hAnsi="Arial Narrow" w:cs="Calibri"/>
                <w:bCs/>
                <w:sz w:val="14"/>
                <w:szCs w:val="14"/>
                <w:lang w:eastAsia="it-IT"/>
              </w:rPr>
            </w:pPr>
            <w:r w:rsidRPr="002720A8">
              <w:rPr>
                <w:rFonts w:ascii="Arial Narrow" w:eastAsia="Times New Roman" w:hAnsi="Arial Narrow" w:cs="Calibri"/>
                <w:bCs/>
                <w:sz w:val="14"/>
                <w:szCs w:val="14"/>
                <w:lang w:eastAsia="it-IT"/>
              </w:rPr>
              <w:t>2020-2021</w:t>
            </w:r>
          </w:p>
        </w:tc>
      </w:tr>
      <w:tr w:rsidR="004B1EE6" w:rsidRPr="002720A8" w14:paraId="021F370B" w14:textId="77777777" w:rsidTr="00A42F0F">
        <w:trPr>
          <w:trHeight w:val="255"/>
        </w:trPr>
        <w:tc>
          <w:tcPr>
            <w:tcW w:w="1701" w:type="dxa"/>
            <w:shd w:val="clear" w:color="auto" w:fill="auto"/>
            <w:noWrap/>
            <w:vAlign w:val="center"/>
            <w:hideMark/>
          </w:tcPr>
          <w:p w14:paraId="30D2251F"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Piemonte</w:t>
            </w:r>
          </w:p>
        </w:tc>
        <w:tc>
          <w:tcPr>
            <w:tcW w:w="993" w:type="dxa"/>
            <w:shd w:val="clear" w:color="auto" w:fill="D9D9D9" w:themeFill="background1" w:themeFillShade="D9"/>
            <w:noWrap/>
            <w:vAlign w:val="center"/>
          </w:tcPr>
          <w:p w14:paraId="6268022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14,7</w:t>
            </w:r>
          </w:p>
        </w:tc>
        <w:tc>
          <w:tcPr>
            <w:tcW w:w="850" w:type="dxa"/>
            <w:shd w:val="clear" w:color="auto" w:fill="auto"/>
            <w:noWrap/>
            <w:vAlign w:val="center"/>
            <w:hideMark/>
          </w:tcPr>
          <w:p w14:paraId="4B27A08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16,8</w:t>
            </w:r>
          </w:p>
        </w:tc>
        <w:tc>
          <w:tcPr>
            <w:tcW w:w="851" w:type="dxa"/>
            <w:shd w:val="clear" w:color="auto" w:fill="D9D9D9" w:themeFill="background1" w:themeFillShade="D9"/>
            <w:noWrap/>
            <w:vAlign w:val="center"/>
            <w:hideMark/>
          </w:tcPr>
          <w:p w14:paraId="4A465FB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5,7</w:t>
            </w:r>
          </w:p>
        </w:tc>
        <w:tc>
          <w:tcPr>
            <w:tcW w:w="975" w:type="dxa"/>
            <w:shd w:val="clear" w:color="auto" w:fill="auto"/>
            <w:noWrap/>
            <w:vAlign w:val="center"/>
            <w:hideMark/>
          </w:tcPr>
          <w:p w14:paraId="08D3C9C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4,0</w:t>
            </w:r>
          </w:p>
        </w:tc>
        <w:tc>
          <w:tcPr>
            <w:tcW w:w="160" w:type="dxa"/>
            <w:shd w:val="clear" w:color="auto" w:fill="auto"/>
            <w:noWrap/>
            <w:vAlign w:val="center"/>
            <w:hideMark/>
          </w:tcPr>
          <w:p w14:paraId="3FF185C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474A60B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5,9</w:t>
            </w:r>
          </w:p>
        </w:tc>
        <w:tc>
          <w:tcPr>
            <w:tcW w:w="992" w:type="dxa"/>
            <w:shd w:val="clear" w:color="auto" w:fill="auto"/>
            <w:noWrap/>
            <w:vAlign w:val="center"/>
            <w:hideMark/>
          </w:tcPr>
          <w:p w14:paraId="0B6D2AA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6,7</w:t>
            </w:r>
          </w:p>
        </w:tc>
        <w:tc>
          <w:tcPr>
            <w:tcW w:w="992" w:type="dxa"/>
            <w:shd w:val="clear" w:color="auto" w:fill="D9D9D9" w:themeFill="background1" w:themeFillShade="D9"/>
            <w:noWrap/>
            <w:vAlign w:val="center"/>
            <w:hideMark/>
          </w:tcPr>
          <w:p w14:paraId="760AA1F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2,4</w:t>
            </w:r>
          </w:p>
        </w:tc>
        <w:tc>
          <w:tcPr>
            <w:tcW w:w="993" w:type="dxa"/>
            <w:shd w:val="clear" w:color="auto" w:fill="auto"/>
            <w:noWrap/>
            <w:vAlign w:val="center"/>
            <w:hideMark/>
          </w:tcPr>
          <w:p w14:paraId="10F42AE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1,8</w:t>
            </w:r>
          </w:p>
        </w:tc>
      </w:tr>
      <w:tr w:rsidR="004B1EE6" w:rsidRPr="002720A8" w14:paraId="6485470A" w14:textId="77777777" w:rsidTr="00A42F0F">
        <w:trPr>
          <w:trHeight w:val="255"/>
        </w:trPr>
        <w:tc>
          <w:tcPr>
            <w:tcW w:w="1701" w:type="dxa"/>
            <w:shd w:val="clear" w:color="auto" w:fill="auto"/>
            <w:noWrap/>
            <w:vAlign w:val="center"/>
            <w:hideMark/>
          </w:tcPr>
          <w:p w14:paraId="028F40EB"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Valle d'Aosta/Vallée d'Aoste</w:t>
            </w:r>
          </w:p>
        </w:tc>
        <w:tc>
          <w:tcPr>
            <w:tcW w:w="993" w:type="dxa"/>
            <w:shd w:val="clear" w:color="auto" w:fill="D9D9D9" w:themeFill="background1" w:themeFillShade="D9"/>
            <w:noWrap/>
            <w:vAlign w:val="center"/>
          </w:tcPr>
          <w:p w14:paraId="4F57EF5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6,5</w:t>
            </w:r>
          </w:p>
        </w:tc>
        <w:tc>
          <w:tcPr>
            <w:tcW w:w="850" w:type="dxa"/>
            <w:shd w:val="clear" w:color="auto" w:fill="auto"/>
            <w:noWrap/>
            <w:vAlign w:val="center"/>
            <w:hideMark/>
          </w:tcPr>
          <w:p w14:paraId="7B856D0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17,0</w:t>
            </w:r>
          </w:p>
        </w:tc>
        <w:tc>
          <w:tcPr>
            <w:tcW w:w="851" w:type="dxa"/>
            <w:shd w:val="clear" w:color="auto" w:fill="D9D9D9" w:themeFill="background1" w:themeFillShade="D9"/>
            <w:noWrap/>
            <w:vAlign w:val="center"/>
            <w:hideMark/>
          </w:tcPr>
          <w:p w14:paraId="48B403D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2,5</w:t>
            </w:r>
          </w:p>
        </w:tc>
        <w:tc>
          <w:tcPr>
            <w:tcW w:w="975" w:type="dxa"/>
            <w:shd w:val="clear" w:color="auto" w:fill="auto"/>
            <w:noWrap/>
            <w:vAlign w:val="center"/>
            <w:hideMark/>
          </w:tcPr>
          <w:p w14:paraId="3D0399A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5,0</w:t>
            </w:r>
          </w:p>
        </w:tc>
        <w:tc>
          <w:tcPr>
            <w:tcW w:w="160" w:type="dxa"/>
            <w:shd w:val="clear" w:color="auto" w:fill="auto"/>
            <w:noWrap/>
            <w:vAlign w:val="center"/>
            <w:hideMark/>
          </w:tcPr>
          <w:p w14:paraId="4E2B94D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32A90B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1,4</w:t>
            </w:r>
          </w:p>
        </w:tc>
        <w:tc>
          <w:tcPr>
            <w:tcW w:w="992" w:type="dxa"/>
            <w:shd w:val="clear" w:color="auto" w:fill="auto"/>
            <w:noWrap/>
            <w:vAlign w:val="center"/>
            <w:hideMark/>
          </w:tcPr>
          <w:p w14:paraId="72FFDFE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5,7</w:t>
            </w:r>
          </w:p>
        </w:tc>
        <w:tc>
          <w:tcPr>
            <w:tcW w:w="992" w:type="dxa"/>
            <w:shd w:val="clear" w:color="auto" w:fill="D9D9D9" w:themeFill="background1" w:themeFillShade="D9"/>
            <w:noWrap/>
            <w:vAlign w:val="center"/>
            <w:hideMark/>
          </w:tcPr>
          <w:p w14:paraId="5D3E808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0,5</w:t>
            </w:r>
          </w:p>
        </w:tc>
        <w:tc>
          <w:tcPr>
            <w:tcW w:w="993" w:type="dxa"/>
            <w:shd w:val="clear" w:color="auto" w:fill="auto"/>
            <w:noWrap/>
            <w:vAlign w:val="center"/>
            <w:hideMark/>
          </w:tcPr>
          <w:p w14:paraId="41D6B25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w:t>
            </w:r>
          </w:p>
        </w:tc>
      </w:tr>
      <w:tr w:rsidR="004B1EE6" w:rsidRPr="002720A8" w14:paraId="48EF8879" w14:textId="77777777" w:rsidTr="00A42F0F">
        <w:trPr>
          <w:trHeight w:val="255"/>
        </w:trPr>
        <w:tc>
          <w:tcPr>
            <w:tcW w:w="1701" w:type="dxa"/>
            <w:shd w:val="clear" w:color="auto" w:fill="auto"/>
            <w:noWrap/>
            <w:vAlign w:val="center"/>
            <w:hideMark/>
          </w:tcPr>
          <w:p w14:paraId="68033FBE"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Liguria</w:t>
            </w:r>
          </w:p>
        </w:tc>
        <w:tc>
          <w:tcPr>
            <w:tcW w:w="993" w:type="dxa"/>
            <w:shd w:val="clear" w:color="auto" w:fill="D9D9D9" w:themeFill="background1" w:themeFillShade="D9"/>
            <w:noWrap/>
            <w:vAlign w:val="center"/>
          </w:tcPr>
          <w:p w14:paraId="3EF883C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23,3</w:t>
            </w:r>
          </w:p>
        </w:tc>
        <w:tc>
          <w:tcPr>
            <w:tcW w:w="850" w:type="dxa"/>
            <w:shd w:val="clear" w:color="auto" w:fill="auto"/>
            <w:noWrap/>
            <w:vAlign w:val="center"/>
            <w:hideMark/>
          </w:tcPr>
          <w:p w14:paraId="5EE3FEC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27,2</w:t>
            </w:r>
          </w:p>
        </w:tc>
        <w:tc>
          <w:tcPr>
            <w:tcW w:w="851" w:type="dxa"/>
            <w:shd w:val="clear" w:color="auto" w:fill="D9D9D9" w:themeFill="background1" w:themeFillShade="D9"/>
            <w:noWrap/>
            <w:vAlign w:val="center"/>
            <w:hideMark/>
          </w:tcPr>
          <w:p w14:paraId="6BB2B6F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8,3</w:t>
            </w:r>
          </w:p>
        </w:tc>
        <w:tc>
          <w:tcPr>
            <w:tcW w:w="975" w:type="dxa"/>
            <w:shd w:val="clear" w:color="auto" w:fill="auto"/>
            <w:noWrap/>
            <w:vAlign w:val="center"/>
            <w:hideMark/>
          </w:tcPr>
          <w:p w14:paraId="4222204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6,4</w:t>
            </w:r>
          </w:p>
        </w:tc>
        <w:tc>
          <w:tcPr>
            <w:tcW w:w="160" w:type="dxa"/>
            <w:shd w:val="clear" w:color="auto" w:fill="auto"/>
            <w:noWrap/>
            <w:vAlign w:val="center"/>
            <w:hideMark/>
          </w:tcPr>
          <w:p w14:paraId="323D626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8B2F9F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21,2</w:t>
            </w:r>
          </w:p>
        </w:tc>
        <w:tc>
          <w:tcPr>
            <w:tcW w:w="992" w:type="dxa"/>
            <w:shd w:val="clear" w:color="auto" w:fill="auto"/>
            <w:noWrap/>
            <w:vAlign w:val="center"/>
            <w:hideMark/>
          </w:tcPr>
          <w:p w14:paraId="352CDA9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24,3</w:t>
            </w:r>
          </w:p>
        </w:tc>
        <w:tc>
          <w:tcPr>
            <w:tcW w:w="992" w:type="dxa"/>
            <w:shd w:val="clear" w:color="auto" w:fill="D9D9D9" w:themeFill="background1" w:themeFillShade="D9"/>
            <w:noWrap/>
            <w:vAlign w:val="center"/>
            <w:hideMark/>
          </w:tcPr>
          <w:p w14:paraId="14C9B1F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7,5</w:t>
            </w:r>
          </w:p>
        </w:tc>
        <w:tc>
          <w:tcPr>
            <w:tcW w:w="993" w:type="dxa"/>
            <w:shd w:val="clear" w:color="auto" w:fill="auto"/>
            <w:noWrap/>
            <w:vAlign w:val="center"/>
            <w:hideMark/>
          </w:tcPr>
          <w:p w14:paraId="18BDEB1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5,9</w:t>
            </w:r>
          </w:p>
        </w:tc>
      </w:tr>
      <w:tr w:rsidR="004B1EE6" w:rsidRPr="002720A8" w14:paraId="1B10EFC9" w14:textId="77777777" w:rsidTr="00A42F0F">
        <w:trPr>
          <w:trHeight w:val="255"/>
        </w:trPr>
        <w:tc>
          <w:tcPr>
            <w:tcW w:w="1701" w:type="dxa"/>
            <w:shd w:val="clear" w:color="auto" w:fill="auto"/>
            <w:noWrap/>
            <w:vAlign w:val="center"/>
            <w:hideMark/>
          </w:tcPr>
          <w:p w14:paraId="2853649F"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Lombardia</w:t>
            </w:r>
          </w:p>
        </w:tc>
        <w:tc>
          <w:tcPr>
            <w:tcW w:w="993" w:type="dxa"/>
            <w:shd w:val="clear" w:color="auto" w:fill="D9D9D9" w:themeFill="background1" w:themeFillShade="D9"/>
            <w:noWrap/>
            <w:vAlign w:val="center"/>
          </w:tcPr>
          <w:p w14:paraId="3B3100D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22,6</w:t>
            </w:r>
          </w:p>
        </w:tc>
        <w:tc>
          <w:tcPr>
            <w:tcW w:w="850" w:type="dxa"/>
            <w:shd w:val="clear" w:color="auto" w:fill="auto"/>
            <w:noWrap/>
            <w:vAlign w:val="center"/>
            <w:hideMark/>
          </w:tcPr>
          <w:p w14:paraId="61F91D4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24,4</w:t>
            </w:r>
          </w:p>
        </w:tc>
        <w:tc>
          <w:tcPr>
            <w:tcW w:w="851" w:type="dxa"/>
            <w:shd w:val="clear" w:color="auto" w:fill="D9D9D9" w:themeFill="background1" w:themeFillShade="D9"/>
            <w:noWrap/>
            <w:vAlign w:val="center"/>
            <w:hideMark/>
          </w:tcPr>
          <w:p w14:paraId="2CE608D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10,5</w:t>
            </w:r>
          </w:p>
        </w:tc>
        <w:tc>
          <w:tcPr>
            <w:tcW w:w="975" w:type="dxa"/>
            <w:shd w:val="clear" w:color="auto" w:fill="auto"/>
            <w:noWrap/>
            <w:vAlign w:val="center"/>
            <w:hideMark/>
          </w:tcPr>
          <w:p w14:paraId="0FEDC8D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8,8</w:t>
            </w:r>
          </w:p>
        </w:tc>
        <w:tc>
          <w:tcPr>
            <w:tcW w:w="160" w:type="dxa"/>
            <w:shd w:val="clear" w:color="auto" w:fill="auto"/>
            <w:noWrap/>
            <w:vAlign w:val="center"/>
            <w:hideMark/>
          </w:tcPr>
          <w:p w14:paraId="303FBF4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52E6B09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37,7</w:t>
            </w:r>
          </w:p>
        </w:tc>
        <w:tc>
          <w:tcPr>
            <w:tcW w:w="992" w:type="dxa"/>
            <w:shd w:val="clear" w:color="auto" w:fill="auto"/>
            <w:noWrap/>
            <w:vAlign w:val="center"/>
            <w:hideMark/>
          </w:tcPr>
          <w:p w14:paraId="7710E25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37,0</w:t>
            </w:r>
          </w:p>
        </w:tc>
        <w:tc>
          <w:tcPr>
            <w:tcW w:w="992" w:type="dxa"/>
            <w:shd w:val="clear" w:color="auto" w:fill="D9D9D9" w:themeFill="background1" w:themeFillShade="D9"/>
            <w:noWrap/>
            <w:vAlign w:val="center"/>
            <w:hideMark/>
          </w:tcPr>
          <w:p w14:paraId="5DC76BB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19,3</w:t>
            </w:r>
          </w:p>
        </w:tc>
        <w:tc>
          <w:tcPr>
            <w:tcW w:w="993" w:type="dxa"/>
            <w:shd w:val="clear" w:color="auto" w:fill="auto"/>
            <w:noWrap/>
            <w:vAlign w:val="center"/>
            <w:hideMark/>
          </w:tcPr>
          <w:p w14:paraId="467BEBC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14,8</w:t>
            </w:r>
          </w:p>
        </w:tc>
      </w:tr>
      <w:tr w:rsidR="004B1EE6" w:rsidRPr="002720A8" w14:paraId="0618AD4C" w14:textId="77777777" w:rsidTr="00A42F0F">
        <w:trPr>
          <w:trHeight w:val="255"/>
        </w:trPr>
        <w:tc>
          <w:tcPr>
            <w:tcW w:w="1701" w:type="dxa"/>
            <w:shd w:val="clear" w:color="auto" w:fill="auto"/>
            <w:noWrap/>
            <w:vAlign w:val="center"/>
            <w:hideMark/>
          </w:tcPr>
          <w:p w14:paraId="73CBB839"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Bolzano/Bozen</w:t>
            </w:r>
          </w:p>
        </w:tc>
        <w:tc>
          <w:tcPr>
            <w:tcW w:w="993" w:type="dxa"/>
            <w:shd w:val="clear" w:color="auto" w:fill="D9D9D9" w:themeFill="background1" w:themeFillShade="D9"/>
            <w:noWrap/>
            <w:vAlign w:val="center"/>
          </w:tcPr>
          <w:p w14:paraId="46A601C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0,7</w:t>
            </w:r>
          </w:p>
        </w:tc>
        <w:tc>
          <w:tcPr>
            <w:tcW w:w="850" w:type="dxa"/>
            <w:shd w:val="clear" w:color="auto" w:fill="auto"/>
            <w:noWrap/>
            <w:vAlign w:val="center"/>
            <w:hideMark/>
          </w:tcPr>
          <w:p w14:paraId="699ED6A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7,0</w:t>
            </w:r>
          </w:p>
        </w:tc>
        <w:tc>
          <w:tcPr>
            <w:tcW w:w="851" w:type="dxa"/>
            <w:shd w:val="clear" w:color="auto" w:fill="D9D9D9" w:themeFill="background1" w:themeFillShade="D9"/>
            <w:noWrap/>
            <w:vAlign w:val="center"/>
            <w:hideMark/>
          </w:tcPr>
          <w:p w14:paraId="0D9CC63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0,3</w:t>
            </w:r>
          </w:p>
        </w:tc>
        <w:tc>
          <w:tcPr>
            <w:tcW w:w="975" w:type="dxa"/>
            <w:shd w:val="clear" w:color="auto" w:fill="auto"/>
            <w:noWrap/>
            <w:vAlign w:val="center"/>
            <w:hideMark/>
          </w:tcPr>
          <w:p w14:paraId="526C084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1,6</w:t>
            </w:r>
          </w:p>
        </w:tc>
        <w:tc>
          <w:tcPr>
            <w:tcW w:w="160" w:type="dxa"/>
            <w:shd w:val="clear" w:color="auto" w:fill="auto"/>
            <w:noWrap/>
            <w:vAlign w:val="center"/>
            <w:hideMark/>
          </w:tcPr>
          <w:p w14:paraId="1585D09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7DCEA47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0,0</w:t>
            </w:r>
          </w:p>
        </w:tc>
        <w:tc>
          <w:tcPr>
            <w:tcW w:w="992" w:type="dxa"/>
            <w:shd w:val="clear" w:color="auto" w:fill="auto"/>
            <w:noWrap/>
            <w:vAlign w:val="center"/>
            <w:hideMark/>
          </w:tcPr>
          <w:p w14:paraId="7B88250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10,3</w:t>
            </w:r>
          </w:p>
        </w:tc>
        <w:tc>
          <w:tcPr>
            <w:tcW w:w="992" w:type="dxa"/>
            <w:shd w:val="clear" w:color="auto" w:fill="D9D9D9" w:themeFill="background1" w:themeFillShade="D9"/>
            <w:noWrap/>
            <w:vAlign w:val="center"/>
            <w:hideMark/>
          </w:tcPr>
          <w:p w14:paraId="31012F3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0,0</w:t>
            </w:r>
          </w:p>
        </w:tc>
        <w:tc>
          <w:tcPr>
            <w:tcW w:w="993" w:type="dxa"/>
            <w:shd w:val="clear" w:color="auto" w:fill="auto"/>
            <w:noWrap/>
            <w:vAlign w:val="center"/>
            <w:hideMark/>
          </w:tcPr>
          <w:p w14:paraId="157D61A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2,5</w:t>
            </w:r>
          </w:p>
        </w:tc>
      </w:tr>
      <w:tr w:rsidR="004B1EE6" w:rsidRPr="002720A8" w14:paraId="68CB6FCE" w14:textId="77777777" w:rsidTr="00A42F0F">
        <w:trPr>
          <w:trHeight w:val="255"/>
        </w:trPr>
        <w:tc>
          <w:tcPr>
            <w:tcW w:w="1701" w:type="dxa"/>
            <w:shd w:val="clear" w:color="auto" w:fill="auto"/>
            <w:noWrap/>
            <w:vAlign w:val="center"/>
            <w:hideMark/>
          </w:tcPr>
          <w:p w14:paraId="7BBCFDB8"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Trento</w:t>
            </w:r>
          </w:p>
        </w:tc>
        <w:tc>
          <w:tcPr>
            <w:tcW w:w="993" w:type="dxa"/>
            <w:shd w:val="clear" w:color="auto" w:fill="D9D9D9" w:themeFill="background1" w:themeFillShade="D9"/>
            <w:noWrap/>
            <w:vAlign w:val="center"/>
          </w:tcPr>
          <w:p w14:paraId="1ED220F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8,1</w:t>
            </w:r>
          </w:p>
        </w:tc>
        <w:tc>
          <w:tcPr>
            <w:tcW w:w="850" w:type="dxa"/>
            <w:shd w:val="clear" w:color="auto" w:fill="auto"/>
            <w:noWrap/>
            <w:vAlign w:val="center"/>
            <w:hideMark/>
          </w:tcPr>
          <w:p w14:paraId="7E4647F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8,5</w:t>
            </w:r>
          </w:p>
        </w:tc>
        <w:tc>
          <w:tcPr>
            <w:tcW w:w="851" w:type="dxa"/>
            <w:shd w:val="clear" w:color="auto" w:fill="D9D9D9" w:themeFill="background1" w:themeFillShade="D9"/>
            <w:noWrap/>
            <w:vAlign w:val="center"/>
            <w:hideMark/>
          </w:tcPr>
          <w:p w14:paraId="6943B21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2,9</w:t>
            </w:r>
          </w:p>
        </w:tc>
        <w:tc>
          <w:tcPr>
            <w:tcW w:w="975" w:type="dxa"/>
            <w:shd w:val="clear" w:color="auto" w:fill="auto"/>
            <w:noWrap/>
            <w:vAlign w:val="center"/>
            <w:hideMark/>
          </w:tcPr>
          <w:p w14:paraId="6513CA6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2,2</w:t>
            </w:r>
          </w:p>
        </w:tc>
        <w:tc>
          <w:tcPr>
            <w:tcW w:w="160" w:type="dxa"/>
            <w:shd w:val="clear" w:color="auto" w:fill="auto"/>
            <w:noWrap/>
            <w:vAlign w:val="center"/>
            <w:hideMark/>
          </w:tcPr>
          <w:p w14:paraId="4349F95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1E031C0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4,6</w:t>
            </w:r>
          </w:p>
        </w:tc>
        <w:tc>
          <w:tcPr>
            <w:tcW w:w="992" w:type="dxa"/>
            <w:shd w:val="clear" w:color="auto" w:fill="auto"/>
            <w:noWrap/>
            <w:vAlign w:val="center"/>
            <w:hideMark/>
          </w:tcPr>
          <w:p w14:paraId="7856F7E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2,7</w:t>
            </w:r>
          </w:p>
        </w:tc>
        <w:tc>
          <w:tcPr>
            <w:tcW w:w="992" w:type="dxa"/>
            <w:shd w:val="clear" w:color="auto" w:fill="D9D9D9" w:themeFill="background1" w:themeFillShade="D9"/>
            <w:noWrap/>
            <w:vAlign w:val="center"/>
            <w:hideMark/>
          </w:tcPr>
          <w:p w14:paraId="3B7258E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1,8</w:t>
            </w:r>
          </w:p>
        </w:tc>
        <w:tc>
          <w:tcPr>
            <w:tcW w:w="993" w:type="dxa"/>
            <w:shd w:val="clear" w:color="auto" w:fill="auto"/>
            <w:noWrap/>
            <w:vAlign w:val="center"/>
            <w:hideMark/>
          </w:tcPr>
          <w:p w14:paraId="2CCA527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0,7</w:t>
            </w:r>
          </w:p>
        </w:tc>
      </w:tr>
      <w:tr w:rsidR="004B1EE6" w:rsidRPr="002720A8" w14:paraId="135E9E2F" w14:textId="77777777" w:rsidTr="00A42F0F">
        <w:trPr>
          <w:trHeight w:val="255"/>
        </w:trPr>
        <w:tc>
          <w:tcPr>
            <w:tcW w:w="1701" w:type="dxa"/>
            <w:shd w:val="clear" w:color="auto" w:fill="auto"/>
            <w:noWrap/>
            <w:vAlign w:val="center"/>
            <w:hideMark/>
          </w:tcPr>
          <w:p w14:paraId="5F8D2F57"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Veneto</w:t>
            </w:r>
          </w:p>
        </w:tc>
        <w:tc>
          <w:tcPr>
            <w:tcW w:w="993" w:type="dxa"/>
            <w:shd w:val="clear" w:color="auto" w:fill="D9D9D9" w:themeFill="background1" w:themeFillShade="D9"/>
            <w:noWrap/>
            <w:vAlign w:val="center"/>
          </w:tcPr>
          <w:p w14:paraId="4289BE7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9,1</w:t>
            </w:r>
          </w:p>
        </w:tc>
        <w:tc>
          <w:tcPr>
            <w:tcW w:w="850" w:type="dxa"/>
            <w:shd w:val="clear" w:color="auto" w:fill="auto"/>
            <w:noWrap/>
            <w:vAlign w:val="center"/>
            <w:hideMark/>
          </w:tcPr>
          <w:p w14:paraId="395DE59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15,2</w:t>
            </w:r>
          </w:p>
        </w:tc>
        <w:tc>
          <w:tcPr>
            <w:tcW w:w="851" w:type="dxa"/>
            <w:shd w:val="clear" w:color="auto" w:fill="D9D9D9" w:themeFill="background1" w:themeFillShade="D9"/>
            <w:noWrap/>
            <w:vAlign w:val="center"/>
            <w:hideMark/>
          </w:tcPr>
          <w:p w14:paraId="623D37A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3,0</w:t>
            </w:r>
          </w:p>
        </w:tc>
        <w:tc>
          <w:tcPr>
            <w:tcW w:w="975" w:type="dxa"/>
            <w:shd w:val="clear" w:color="auto" w:fill="auto"/>
            <w:noWrap/>
            <w:vAlign w:val="center"/>
            <w:hideMark/>
          </w:tcPr>
          <w:p w14:paraId="618C05A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3,8</w:t>
            </w:r>
          </w:p>
        </w:tc>
        <w:tc>
          <w:tcPr>
            <w:tcW w:w="160" w:type="dxa"/>
            <w:shd w:val="clear" w:color="auto" w:fill="auto"/>
            <w:noWrap/>
            <w:vAlign w:val="center"/>
            <w:hideMark/>
          </w:tcPr>
          <w:p w14:paraId="53C20CF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CC3CAB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4,6</w:t>
            </w:r>
          </w:p>
        </w:tc>
        <w:tc>
          <w:tcPr>
            <w:tcW w:w="992" w:type="dxa"/>
            <w:shd w:val="clear" w:color="auto" w:fill="auto"/>
            <w:noWrap/>
            <w:vAlign w:val="center"/>
            <w:hideMark/>
          </w:tcPr>
          <w:p w14:paraId="2E44BD6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7,5</w:t>
            </w:r>
          </w:p>
        </w:tc>
        <w:tc>
          <w:tcPr>
            <w:tcW w:w="992" w:type="dxa"/>
            <w:shd w:val="clear" w:color="auto" w:fill="D9D9D9" w:themeFill="background1" w:themeFillShade="D9"/>
            <w:noWrap/>
            <w:vAlign w:val="center"/>
            <w:hideMark/>
          </w:tcPr>
          <w:p w14:paraId="1E21DF1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w:t>
            </w:r>
          </w:p>
        </w:tc>
        <w:tc>
          <w:tcPr>
            <w:tcW w:w="993" w:type="dxa"/>
            <w:shd w:val="clear" w:color="auto" w:fill="auto"/>
            <w:noWrap/>
            <w:vAlign w:val="center"/>
            <w:hideMark/>
          </w:tcPr>
          <w:p w14:paraId="14797A8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w:t>
            </w:r>
          </w:p>
        </w:tc>
      </w:tr>
      <w:tr w:rsidR="004B1EE6" w:rsidRPr="002720A8" w14:paraId="71ECAC8C" w14:textId="77777777" w:rsidTr="00A42F0F">
        <w:trPr>
          <w:trHeight w:val="255"/>
        </w:trPr>
        <w:tc>
          <w:tcPr>
            <w:tcW w:w="1701" w:type="dxa"/>
            <w:shd w:val="clear" w:color="auto" w:fill="auto"/>
            <w:noWrap/>
            <w:vAlign w:val="center"/>
            <w:hideMark/>
          </w:tcPr>
          <w:p w14:paraId="2FE71E55"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Friuli-Venezia Giulia</w:t>
            </w:r>
          </w:p>
        </w:tc>
        <w:tc>
          <w:tcPr>
            <w:tcW w:w="993" w:type="dxa"/>
            <w:shd w:val="clear" w:color="auto" w:fill="D9D9D9" w:themeFill="background1" w:themeFillShade="D9"/>
            <w:noWrap/>
            <w:vAlign w:val="center"/>
          </w:tcPr>
          <w:p w14:paraId="04B8198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10,5</w:t>
            </w:r>
          </w:p>
        </w:tc>
        <w:tc>
          <w:tcPr>
            <w:tcW w:w="850" w:type="dxa"/>
            <w:shd w:val="clear" w:color="auto" w:fill="auto"/>
            <w:noWrap/>
            <w:vAlign w:val="center"/>
            <w:hideMark/>
          </w:tcPr>
          <w:p w14:paraId="25B80D3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15,9</w:t>
            </w:r>
          </w:p>
        </w:tc>
        <w:tc>
          <w:tcPr>
            <w:tcW w:w="851" w:type="dxa"/>
            <w:shd w:val="clear" w:color="auto" w:fill="D9D9D9" w:themeFill="background1" w:themeFillShade="D9"/>
            <w:noWrap/>
            <w:vAlign w:val="center"/>
            <w:hideMark/>
          </w:tcPr>
          <w:p w14:paraId="20DEA64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4,1</w:t>
            </w:r>
          </w:p>
        </w:tc>
        <w:tc>
          <w:tcPr>
            <w:tcW w:w="975" w:type="dxa"/>
            <w:shd w:val="clear" w:color="auto" w:fill="auto"/>
            <w:noWrap/>
            <w:vAlign w:val="center"/>
            <w:hideMark/>
          </w:tcPr>
          <w:p w14:paraId="189EDD3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4,1</w:t>
            </w:r>
          </w:p>
        </w:tc>
        <w:tc>
          <w:tcPr>
            <w:tcW w:w="160" w:type="dxa"/>
            <w:shd w:val="clear" w:color="auto" w:fill="auto"/>
            <w:noWrap/>
            <w:vAlign w:val="center"/>
            <w:hideMark/>
          </w:tcPr>
          <w:p w14:paraId="21989F5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3335443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12,5</w:t>
            </w:r>
          </w:p>
        </w:tc>
        <w:tc>
          <w:tcPr>
            <w:tcW w:w="992" w:type="dxa"/>
            <w:shd w:val="clear" w:color="auto" w:fill="auto"/>
            <w:noWrap/>
            <w:vAlign w:val="center"/>
            <w:hideMark/>
          </w:tcPr>
          <w:p w14:paraId="1D87854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17,2</w:t>
            </w:r>
          </w:p>
        </w:tc>
        <w:tc>
          <w:tcPr>
            <w:tcW w:w="992" w:type="dxa"/>
            <w:shd w:val="clear" w:color="auto" w:fill="D9D9D9" w:themeFill="background1" w:themeFillShade="D9"/>
            <w:noWrap/>
            <w:vAlign w:val="center"/>
            <w:hideMark/>
          </w:tcPr>
          <w:p w14:paraId="731068E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5,4</w:t>
            </w:r>
          </w:p>
        </w:tc>
        <w:tc>
          <w:tcPr>
            <w:tcW w:w="993" w:type="dxa"/>
            <w:shd w:val="clear" w:color="auto" w:fill="auto"/>
            <w:noWrap/>
            <w:vAlign w:val="center"/>
            <w:hideMark/>
          </w:tcPr>
          <w:p w14:paraId="57945E2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5,1</w:t>
            </w:r>
          </w:p>
        </w:tc>
      </w:tr>
      <w:tr w:rsidR="004B1EE6" w:rsidRPr="002720A8" w14:paraId="362D5E56" w14:textId="77777777" w:rsidTr="00A42F0F">
        <w:trPr>
          <w:trHeight w:val="255"/>
        </w:trPr>
        <w:tc>
          <w:tcPr>
            <w:tcW w:w="1701" w:type="dxa"/>
            <w:shd w:val="clear" w:color="auto" w:fill="auto"/>
            <w:noWrap/>
            <w:vAlign w:val="center"/>
            <w:hideMark/>
          </w:tcPr>
          <w:p w14:paraId="1FA46169"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Emilia-Romagna</w:t>
            </w:r>
          </w:p>
        </w:tc>
        <w:tc>
          <w:tcPr>
            <w:tcW w:w="993" w:type="dxa"/>
            <w:shd w:val="clear" w:color="auto" w:fill="D9D9D9" w:themeFill="background1" w:themeFillShade="D9"/>
            <w:noWrap/>
            <w:vAlign w:val="center"/>
          </w:tcPr>
          <w:p w14:paraId="76FE581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16,9</w:t>
            </w:r>
          </w:p>
        </w:tc>
        <w:tc>
          <w:tcPr>
            <w:tcW w:w="850" w:type="dxa"/>
            <w:shd w:val="clear" w:color="auto" w:fill="auto"/>
            <w:noWrap/>
            <w:vAlign w:val="center"/>
            <w:hideMark/>
          </w:tcPr>
          <w:p w14:paraId="16867FE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23,6</w:t>
            </w:r>
          </w:p>
        </w:tc>
        <w:tc>
          <w:tcPr>
            <w:tcW w:w="851" w:type="dxa"/>
            <w:shd w:val="clear" w:color="auto" w:fill="D9D9D9" w:themeFill="background1" w:themeFillShade="D9"/>
            <w:noWrap/>
            <w:vAlign w:val="center"/>
            <w:hideMark/>
          </w:tcPr>
          <w:p w14:paraId="40E5FCC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6,9</w:t>
            </w:r>
          </w:p>
        </w:tc>
        <w:tc>
          <w:tcPr>
            <w:tcW w:w="975" w:type="dxa"/>
            <w:shd w:val="clear" w:color="auto" w:fill="auto"/>
            <w:noWrap/>
            <w:vAlign w:val="center"/>
            <w:hideMark/>
          </w:tcPr>
          <w:p w14:paraId="521EACF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6,5</w:t>
            </w:r>
          </w:p>
        </w:tc>
        <w:tc>
          <w:tcPr>
            <w:tcW w:w="160" w:type="dxa"/>
            <w:shd w:val="clear" w:color="auto" w:fill="auto"/>
            <w:noWrap/>
            <w:vAlign w:val="center"/>
            <w:hideMark/>
          </w:tcPr>
          <w:p w14:paraId="7DDF522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BEC8C4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16,3</w:t>
            </w:r>
          </w:p>
        </w:tc>
        <w:tc>
          <w:tcPr>
            <w:tcW w:w="992" w:type="dxa"/>
            <w:shd w:val="clear" w:color="auto" w:fill="auto"/>
            <w:noWrap/>
            <w:vAlign w:val="center"/>
            <w:hideMark/>
          </w:tcPr>
          <w:p w14:paraId="6CCF6F1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17,2</w:t>
            </w:r>
          </w:p>
        </w:tc>
        <w:tc>
          <w:tcPr>
            <w:tcW w:w="992" w:type="dxa"/>
            <w:shd w:val="clear" w:color="auto" w:fill="D9D9D9" w:themeFill="background1" w:themeFillShade="D9"/>
            <w:noWrap/>
            <w:vAlign w:val="center"/>
            <w:hideMark/>
          </w:tcPr>
          <w:p w14:paraId="6CE5AEC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6,9</w:t>
            </w:r>
          </w:p>
        </w:tc>
        <w:tc>
          <w:tcPr>
            <w:tcW w:w="993" w:type="dxa"/>
            <w:shd w:val="clear" w:color="auto" w:fill="auto"/>
            <w:noWrap/>
            <w:vAlign w:val="center"/>
            <w:hideMark/>
          </w:tcPr>
          <w:p w14:paraId="426EF80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5,1</w:t>
            </w:r>
          </w:p>
        </w:tc>
      </w:tr>
      <w:tr w:rsidR="004B1EE6" w:rsidRPr="002720A8" w14:paraId="11633C60" w14:textId="77777777" w:rsidTr="00A42F0F">
        <w:trPr>
          <w:trHeight w:val="255"/>
        </w:trPr>
        <w:tc>
          <w:tcPr>
            <w:tcW w:w="1701" w:type="dxa"/>
            <w:shd w:val="clear" w:color="auto" w:fill="auto"/>
            <w:noWrap/>
            <w:vAlign w:val="center"/>
            <w:hideMark/>
          </w:tcPr>
          <w:p w14:paraId="0588DB84"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Toscana</w:t>
            </w:r>
          </w:p>
        </w:tc>
        <w:tc>
          <w:tcPr>
            <w:tcW w:w="993" w:type="dxa"/>
            <w:shd w:val="clear" w:color="auto" w:fill="D9D9D9" w:themeFill="background1" w:themeFillShade="D9"/>
            <w:noWrap/>
            <w:vAlign w:val="center"/>
          </w:tcPr>
          <w:p w14:paraId="3C756E8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20,8</w:t>
            </w:r>
          </w:p>
        </w:tc>
        <w:tc>
          <w:tcPr>
            <w:tcW w:w="850" w:type="dxa"/>
            <w:shd w:val="clear" w:color="auto" w:fill="auto"/>
            <w:noWrap/>
            <w:vAlign w:val="center"/>
            <w:hideMark/>
          </w:tcPr>
          <w:p w14:paraId="001E2D9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23,2</w:t>
            </w:r>
          </w:p>
        </w:tc>
        <w:tc>
          <w:tcPr>
            <w:tcW w:w="851" w:type="dxa"/>
            <w:shd w:val="clear" w:color="auto" w:fill="D9D9D9" w:themeFill="background1" w:themeFillShade="D9"/>
            <w:noWrap/>
            <w:vAlign w:val="center"/>
            <w:hideMark/>
          </w:tcPr>
          <w:p w14:paraId="20C735E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7,6</w:t>
            </w:r>
          </w:p>
        </w:tc>
        <w:tc>
          <w:tcPr>
            <w:tcW w:w="975" w:type="dxa"/>
            <w:shd w:val="clear" w:color="auto" w:fill="auto"/>
            <w:noWrap/>
            <w:vAlign w:val="center"/>
            <w:hideMark/>
          </w:tcPr>
          <w:p w14:paraId="156B75B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6,3</w:t>
            </w:r>
          </w:p>
        </w:tc>
        <w:tc>
          <w:tcPr>
            <w:tcW w:w="160" w:type="dxa"/>
            <w:shd w:val="clear" w:color="auto" w:fill="auto"/>
            <w:noWrap/>
            <w:vAlign w:val="center"/>
            <w:hideMark/>
          </w:tcPr>
          <w:p w14:paraId="568F1E4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AC766C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11,7</w:t>
            </w:r>
          </w:p>
        </w:tc>
        <w:tc>
          <w:tcPr>
            <w:tcW w:w="992" w:type="dxa"/>
            <w:shd w:val="clear" w:color="auto" w:fill="auto"/>
            <w:noWrap/>
            <w:vAlign w:val="center"/>
            <w:hideMark/>
          </w:tcPr>
          <w:p w14:paraId="7EBE162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11,5</w:t>
            </w:r>
          </w:p>
        </w:tc>
        <w:tc>
          <w:tcPr>
            <w:tcW w:w="992" w:type="dxa"/>
            <w:shd w:val="clear" w:color="auto" w:fill="D9D9D9" w:themeFill="background1" w:themeFillShade="D9"/>
            <w:noWrap/>
            <w:vAlign w:val="center"/>
            <w:hideMark/>
          </w:tcPr>
          <w:p w14:paraId="5D66171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4,5</w:t>
            </w:r>
          </w:p>
        </w:tc>
        <w:tc>
          <w:tcPr>
            <w:tcW w:w="993" w:type="dxa"/>
            <w:shd w:val="clear" w:color="auto" w:fill="auto"/>
            <w:noWrap/>
            <w:vAlign w:val="center"/>
            <w:hideMark/>
          </w:tcPr>
          <w:p w14:paraId="308FA2B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3,3</w:t>
            </w:r>
          </w:p>
        </w:tc>
      </w:tr>
      <w:tr w:rsidR="004B1EE6" w:rsidRPr="002720A8" w14:paraId="55394D9A" w14:textId="77777777" w:rsidTr="00A42F0F">
        <w:trPr>
          <w:trHeight w:val="255"/>
        </w:trPr>
        <w:tc>
          <w:tcPr>
            <w:tcW w:w="1701" w:type="dxa"/>
            <w:shd w:val="clear" w:color="auto" w:fill="auto"/>
            <w:noWrap/>
            <w:vAlign w:val="center"/>
            <w:hideMark/>
          </w:tcPr>
          <w:p w14:paraId="270FF130"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Umbria</w:t>
            </w:r>
          </w:p>
        </w:tc>
        <w:tc>
          <w:tcPr>
            <w:tcW w:w="993" w:type="dxa"/>
            <w:shd w:val="clear" w:color="auto" w:fill="D9D9D9" w:themeFill="background1" w:themeFillShade="D9"/>
            <w:noWrap/>
            <w:vAlign w:val="center"/>
          </w:tcPr>
          <w:p w14:paraId="5786FF8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6,7</w:t>
            </w:r>
          </w:p>
        </w:tc>
        <w:tc>
          <w:tcPr>
            <w:tcW w:w="850" w:type="dxa"/>
            <w:shd w:val="clear" w:color="auto" w:fill="auto"/>
            <w:noWrap/>
            <w:vAlign w:val="center"/>
            <w:hideMark/>
          </w:tcPr>
          <w:p w14:paraId="7104E33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9,6</w:t>
            </w:r>
          </w:p>
        </w:tc>
        <w:tc>
          <w:tcPr>
            <w:tcW w:w="851" w:type="dxa"/>
            <w:shd w:val="clear" w:color="auto" w:fill="D9D9D9" w:themeFill="background1" w:themeFillShade="D9"/>
            <w:noWrap/>
            <w:vAlign w:val="center"/>
            <w:hideMark/>
          </w:tcPr>
          <w:p w14:paraId="638E59C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2,5</w:t>
            </w:r>
          </w:p>
        </w:tc>
        <w:tc>
          <w:tcPr>
            <w:tcW w:w="975" w:type="dxa"/>
            <w:shd w:val="clear" w:color="auto" w:fill="auto"/>
            <w:noWrap/>
            <w:vAlign w:val="center"/>
            <w:hideMark/>
          </w:tcPr>
          <w:p w14:paraId="6717E19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w:t>
            </w:r>
          </w:p>
        </w:tc>
        <w:tc>
          <w:tcPr>
            <w:tcW w:w="160" w:type="dxa"/>
            <w:shd w:val="clear" w:color="auto" w:fill="auto"/>
            <w:noWrap/>
            <w:vAlign w:val="center"/>
            <w:hideMark/>
          </w:tcPr>
          <w:p w14:paraId="1A37439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032966F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6,6</w:t>
            </w:r>
          </w:p>
        </w:tc>
        <w:tc>
          <w:tcPr>
            <w:tcW w:w="992" w:type="dxa"/>
            <w:shd w:val="clear" w:color="auto" w:fill="auto"/>
            <w:noWrap/>
            <w:vAlign w:val="center"/>
            <w:hideMark/>
          </w:tcPr>
          <w:p w14:paraId="665FFD4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8,0</w:t>
            </w:r>
          </w:p>
        </w:tc>
        <w:tc>
          <w:tcPr>
            <w:tcW w:w="992" w:type="dxa"/>
            <w:shd w:val="clear" w:color="auto" w:fill="D9D9D9" w:themeFill="background1" w:themeFillShade="D9"/>
            <w:noWrap/>
            <w:vAlign w:val="center"/>
            <w:hideMark/>
          </w:tcPr>
          <w:p w14:paraId="0B83733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2,7</w:t>
            </w:r>
          </w:p>
        </w:tc>
        <w:tc>
          <w:tcPr>
            <w:tcW w:w="993" w:type="dxa"/>
            <w:shd w:val="clear" w:color="auto" w:fill="auto"/>
            <w:noWrap/>
            <w:vAlign w:val="center"/>
            <w:hideMark/>
          </w:tcPr>
          <w:p w14:paraId="4CE701B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1,9</w:t>
            </w:r>
          </w:p>
        </w:tc>
      </w:tr>
      <w:tr w:rsidR="004B1EE6" w:rsidRPr="002720A8" w14:paraId="6C725A05" w14:textId="77777777" w:rsidTr="00A42F0F">
        <w:trPr>
          <w:trHeight w:val="255"/>
        </w:trPr>
        <w:tc>
          <w:tcPr>
            <w:tcW w:w="1701" w:type="dxa"/>
            <w:shd w:val="clear" w:color="auto" w:fill="auto"/>
            <w:noWrap/>
            <w:vAlign w:val="center"/>
            <w:hideMark/>
          </w:tcPr>
          <w:p w14:paraId="1262E66A"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Marche</w:t>
            </w:r>
          </w:p>
        </w:tc>
        <w:tc>
          <w:tcPr>
            <w:tcW w:w="993" w:type="dxa"/>
            <w:shd w:val="clear" w:color="auto" w:fill="D9D9D9" w:themeFill="background1" w:themeFillShade="D9"/>
            <w:noWrap/>
            <w:vAlign w:val="center"/>
          </w:tcPr>
          <w:p w14:paraId="0996348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14,1</w:t>
            </w:r>
          </w:p>
        </w:tc>
        <w:tc>
          <w:tcPr>
            <w:tcW w:w="850" w:type="dxa"/>
            <w:shd w:val="clear" w:color="auto" w:fill="auto"/>
            <w:noWrap/>
            <w:vAlign w:val="center"/>
            <w:hideMark/>
          </w:tcPr>
          <w:p w14:paraId="626962F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18,4</w:t>
            </w:r>
          </w:p>
        </w:tc>
        <w:tc>
          <w:tcPr>
            <w:tcW w:w="851" w:type="dxa"/>
            <w:shd w:val="clear" w:color="auto" w:fill="D9D9D9" w:themeFill="background1" w:themeFillShade="D9"/>
            <w:noWrap/>
            <w:vAlign w:val="center"/>
            <w:hideMark/>
          </w:tcPr>
          <w:p w14:paraId="0005EA8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4,6</w:t>
            </w:r>
          </w:p>
        </w:tc>
        <w:tc>
          <w:tcPr>
            <w:tcW w:w="975" w:type="dxa"/>
            <w:shd w:val="clear" w:color="auto" w:fill="auto"/>
            <w:noWrap/>
            <w:vAlign w:val="center"/>
            <w:hideMark/>
          </w:tcPr>
          <w:p w14:paraId="7E04211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4,3</w:t>
            </w:r>
          </w:p>
        </w:tc>
        <w:tc>
          <w:tcPr>
            <w:tcW w:w="160" w:type="dxa"/>
            <w:shd w:val="clear" w:color="auto" w:fill="auto"/>
            <w:noWrap/>
            <w:vAlign w:val="center"/>
            <w:hideMark/>
          </w:tcPr>
          <w:p w14:paraId="7F76C24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6B8166E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10,2</w:t>
            </w:r>
          </w:p>
        </w:tc>
        <w:tc>
          <w:tcPr>
            <w:tcW w:w="992" w:type="dxa"/>
            <w:shd w:val="clear" w:color="auto" w:fill="auto"/>
            <w:noWrap/>
            <w:vAlign w:val="center"/>
            <w:hideMark/>
          </w:tcPr>
          <w:p w14:paraId="5E55125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12,6</w:t>
            </w:r>
          </w:p>
        </w:tc>
        <w:tc>
          <w:tcPr>
            <w:tcW w:w="992" w:type="dxa"/>
            <w:shd w:val="clear" w:color="auto" w:fill="D9D9D9" w:themeFill="background1" w:themeFillShade="D9"/>
            <w:noWrap/>
            <w:vAlign w:val="center"/>
            <w:hideMark/>
          </w:tcPr>
          <w:p w14:paraId="00AE7C6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3,5</w:t>
            </w:r>
          </w:p>
        </w:tc>
        <w:tc>
          <w:tcPr>
            <w:tcW w:w="993" w:type="dxa"/>
            <w:shd w:val="clear" w:color="auto" w:fill="auto"/>
            <w:noWrap/>
            <w:vAlign w:val="center"/>
            <w:hideMark/>
          </w:tcPr>
          <w:p w14:paraId="40E6AC7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3,3</w:t>
            </w:r>
          </w:p>
        </w:tc>
      </w:tr>
      <w:tr w:rsidR="004B1EE6" w:rsidRPr="002720A8" w14:paraId="5E7BB443" w14:textId="77777777" w:rsidTr="00A42F0F">
        <w:trPr>
          <w:trHeight w:val="255"/>
        </w:trPr>
        <w:tc>
          <w:tcPr>
            <w:tcW w:w="1701" w:type="dxa"/>
            <w:shd w:val="clear" w:color="auto" w:fill="auto"/>
            <w:noWrap/>
            <w:vAlign w:val="center"/>
            <w:hideMark/>
          </w:tcPr>
          <w:p w14:paraId="79F4577E"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Lazio</w:t>
            </w:r>
          </w:p>
        </w:tc>
        <w:tc>
          <w:tcPr>
            <w:tcW w:w="993" w:type="dxa"/>
            <w:shd w:val="clear" w:color="auto" w:fill="D9D9D9" w:themeFill="background1" w:themeFillShade="D9"/>
            <w:noWrap/>
            <w:vAlign w:val="center"/>
          </w:tcPr>
          <w:p w14:paraId="45E8BFA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4,8</w:t>
            </w:r>
          </w:p>
        </w:tc>
        <w:tc>
          <w:tcPr>
            <w:tcW w:w="850" w:type="dxa"/>
            <w:shd w:val="clear" w:color="auto" w:fill="auto"/>
            <w:noWrap/>
            <w:vAlign w:val="center"/>
            <w:hideMark/>
          </w:tcPr>
          <w:p w14:paraId="0D0E514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7,8</w:t>
            </w:r>
          </w:p>
        </w:tc>
        <w:tc>
          <w:tcPr>
            <w:tcW w:w="851" w:type="dxa"/>
            <w:shd w:val="clear" w:color="auto" w:fill="D9D9D9" w:themeFill="background1" w:themeFillShade="D9"/>
            <w:noWrap/>
            <w:vAlign w:val="center"/>
            <w:hideMark/>
          </w:tcPr>
          <w:p w14:paraId="794FD25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1,6</w:t>
            </w:r>
          </w:p>
        </w:tc>
        <w:tc>
          <w:tcPr>
            <w:tcW w:w="975" w:type="dxa"/>
            <w:shd w:val="clear" w:color="auto" w:fill="auto"/>
            <w:noWrap/>
            <w:vAlign w:val="center"/>
            <w:hideMark/>
          </w:tcPr>
          <w:p w14:paraId="06449E5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w:t>
            </w:r>
          </w:p>
        </w:tc>
        <w:tc>
          <w:tcPr>
            <w:tcW w:w="160" w:type="dxa"/>
            <w:shd w:val="clear" w:color="auto" w:fill="auto"/>
            <w:noWrap/>
            <w:vAlign w:val="center"/>
            <w:hideMark/>
          </w:tcPr>
          <w:p w14:paraId="117AF72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3A9CBC3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1,2</w:t>
            </w:r>
          </w:p>
        </w:tc>
        <w:tc>
          <w:tcPr>
            <w:tcW w:w="992" w:type="dxa"/>
            <w:shd w:val="clear" w:color="auto" w:fill="auto"/>
            <w:noWrap/>
            <w:vAlign w:val="center"/>
            <w:hideMark/>
          </w:tcPr>
          <w:p w14:paraId="29EC679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w:t>
            </w:r>
          </w:p>
        </w:tc>
        <w:tc>
          <w:tcPr>
            <w:tcW w:w="992" w:type="dxa"/>
            <w:shd w:val="clear" w:color="auto" w:fill="D9D9D9" w:themeFill="background1" w:themeFillShade="D9"/>
            <w:noWrap/>
            <w:vAlign w:val="center"/>
            <w:hideMark/>
          </w:tcPr>
          <w:p w14:paraId="6D4FB44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0,4</w:t>
            </w:r>
          </w:p>
        </w:tc>
        <w:tc>
          <w:tcPr>
            <w:tcW w:w="993" w:type="dxa"/>
            <w:shd w:val="clear" w:color="auto" w:fill="auto"/>
            <w:noWrap/>
            <w:vAlign w:val="center"/>
            <w:hideMark/>
          </w:tcPr>
          <w:p w14:paraId="25C3AAC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0,4</w:t>
            </w:r>
          </w:p>
        </w:tc>
      </w:tr>
      <w:tr w:rsidR="004B1EE6" w:rsidRPr="002720A8" w14:paraId="3D4AB242" w14:textId="77777777" w:rsidTr="00A42F0F">
        <w:trPr>
          <w:trHeight w:val="255"/>
        </w:trPr>
        <w:tc>
          <w:tcPr>
            <w:tcW w:w="1701" w:type="dxa"/>
            <w:shd w:val="clear" w:color="auto" w:fill="auto"/>
            <w:noWrap/>
            <w:vAlign w:val="center"/>
            <w:hideMark/>
          </w:tcPr>
          <w:p w14:paraId="4ABF66F9"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Abruzzo</w:t>
            </w:r>
          </w:p>
        </w:tc>
        <w:tc>
          <w:tcPr>
            <w:tcW w:w="993" w:type="dxa"/>
            <w:shd w:val="clear" w:color="auto" w:fill="D9D9D9" w:themeFill="background1" w:themeFillShade="D9"/>
            <w:noWrap/>
            <w:vAlign w:val="center"/>
          </w:tcPr>
          <w:p w14:paraId="2DBC57D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17,9</w:t>
            </w:r>
          </w:p>
        </w:tc>
        <w:tc>
          <w:tcPr>
            <w:tcW w:w="850" w:type="dxa"/>
            <w:shd w:val="clear" w:color="auto" w:fill="auto"/>
            <w:noWrap/>
            <w:vAlign w:val="center"/>
            <w:hideMark/>
          </w:tcPr>
          <w:p w14:paraId="2D8282E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27,6</w:t>
            </w:r>
          </w:p>
        </w:tc>
        <w:tc>
          <w:tcPr>
            <w:tcW w:w="851" w:type="dxa"/>
            <w:shd w:val="clear" w:color="auto" w:fill="D9D9D9" w:themeFill="background1" w:themeFillShade="D9"/>
            <w:noWrap/>
            <w:vAlign w:val="center"/>
            <w:hideMark/>
          </w:tcPr>
          <w:p w14:paraId="02E4FA2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6,9</w:t>
            </w:r>
          </w:p>
        </w:tc>
        <w:tc>
          <w:tcPr>
            <w:tcW w:w="975" w:type="dxa"/>
            <w:shd w:val="clear" w:color="auto" w:fill="auto"/>
            <w:noWrap/>
            <w:vAlign w:val="center"/>
            <w:hideMark/>
          </w:tcPr>
          <w:p w14:paraId="255CF43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6,2</w:t>
            </w:r>
          </w:p>
        </w:tc>
        <w:tc>
          <w:tcPr>
            <w:tcW w:w="160" w:type="dxa"/>
            <w:shd w:val="clear" w:color="auto" w:fill="auto"/>
            <w:noWrap/>
            <w:vAlign w:val="center"/>
            <w:hideMark/>
          </w:tcPr>
          <w:p w14:paraId="7A11EA9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01CF518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19,0</w:t>
            </w:r>
          </w:p>
        </w:tc>
        <w:tc>
          <w:tcPr>
            <w:tcW w:w="992" w:type="dxa"/>
            <w:shd w:val="clear" w:color="auto" w:fill="auto"/>
            <w:noWrap/>
            <w:vAlign w:val="center"/>
            <w:hideMark/>
          </w:tcPr>
          <w:p w14:paraId="0977B18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21,9</w:t>
            </w:r>
          </w:p>
        </w:tc>
        <w:tc>
          <w:tcPr>
            <w:tcW w:w="992" w:type="dxa"/>
            <w:shd w:val="clear" w:color="auto" w:fill="D9D9D9" w:themeFill="background1" w:themeFillShade="D9"/>
            <w:noWrap/>
            <w:vAlign w:val="center"/>
            <w:hideMark/>
          </w:tcPr>
          <w:p w14:paraId="4FE2BA8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7,8</w:t>
            </w:r>
          </w:p>
        </w:tc>
        <w:tc>
          <w:tcPr>
            <w:tcW w:w="993" w:type="dxa"/>
            <w:shd w:val="clear" w:color="auto" w:fill="auto"/>
            <w:noWrap/>
            <w:vAlign w:val="center"/>
            <w:hideMark/>
          </w:tcPr>
          <w:p w14:paraId="481A8AC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5,3</w:t>
            </w:r>
          </w:p>
        </w:tc>
      </w:tr>
      <w:tr w:rsidR="004B1EE6" w:rsidRPr="002720A8" w14:paraId="68629887" w14:textId="77777777" w:rsidTr="00A42F0F">
        <w:trPr>
          <w:trHeight w:val="255"/>
        </w:trPr>
        <w:tc>
          <w:tcPr>
            <w:tcW w:w="1701" w:type="dxa"/>
            <w:shd w:val="clear" w:color="auto" w:fill="auto"/>
            <w:noWrap/>
            <w:vAlign w:val="center"/>
            <w:hideMark/>
          </w:tcPr>
          <w:p w14:paraId="75A57021"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Molise</w:t>
            </w:r>
          </w:p>
        </w:tc>
        <w:tc>
          <w:tcPr>
            <w:tcW w:w="993" w:type="dxa"/>
            <w:shd w:val="clear" w:color="auto" w:fill="D9D9D9" w:themeFill="background1" w:themeFillShade="D9"/>
            <w:noWrap/>
            <w:vAlign w:val="center"/>
          </w:tcPr>
          <w:p w14:paraId="26E0311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3,0</w:t>
            </w:r>
          </w:p>
        </w:tc>
        <w:tc>
          <w:tcPr>
            <w:tcW w:w="850" w:type="dxa"/>
            <w:shd w:val="clear" w:color="auto" w:fill="auto"/>
            <w:noWrap/>
            <w:vAlign w:val="center"/>
            <w:hideMark/>
          </w:tcPr>
          <w:p w14:paraId="01C6F32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2,6</w:t>
            </w:r>
          </w:p>
        </w:tc>
        <w:tc>
          <w:tcPr>
            <w:tcW w:w="851" w:type="dxa"/>
            <w:shd w:val="clear" w:color="auto" w:fill="D9D9D9" w:themeFill="background1" w:themeFillShade="D9"/>
            <w:noWrap/>
            <w:vAlign w:val="center"/>
            <w:hideMark/>
          </w:tcPr>
          <w:p w14:paraId="486BE04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0,8</w:t>
            </w:r>
          </w:p>
        </w:tc>
        <w:tc>
          <w:tcPr>
            <w:tcW w:w="975" w:type="dxa"/>
            <w:shd w:val="clear" w:color="auto" w:fill="auto"/>
            <w:noWrap/>
            <w:vAlign w:val="center"/>
            <w:hideMark/>
          </w:tcPr>
          <w:p w14:paraId="6D89242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0,5</w:t>
            </w:r>
          </w:p>
        </w:tc>
        <w:tc>
          <w:tcPr>
            <w:tcW w:w="160" w:type="dxa"/>
            <w:shd w:val="clear" w:color="auto" w:fill="auto"/>
            <w:noWrap/>
            <w:vAlign w:val="center"/>
            <w:hideMark/>
          </w:tcPr>
          <w:p w14:paraId="413D84E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2489585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2,6</w:t>
            </w:r>
          </w:p>
        </w:tc>
        <w:tc>
          <w:tcPr>
            <w:tcW w:w="992" w:type="dxa"/>
            <w:shd w:val="clear" w:color="auto" w:fill="auto"/>
            <w:noWrap/>
            <w:vAlign w:val="center"/>
            <w:hideMark/>
          </w:tcPr>
          <w:p w14:paraId="440E6C7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1,5</w:t>
            </w:r>
          </w:p>
        </w:tc>
        <w:tc>
          <w:tcPr>
            <w:tcW w:w="992" w:type="dxa"/>
            <w:shd w:val="clear" w:color="auto" w:fill="D9D9D9" w:themeFill="background1" w:themeFillShade="D9"/>
            <w:noWrap/>
            <w:vAlign w:val="center"/>
            <w:hideMark/>
          </w:tcPr>
          <w:p w14:paraId="7864559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0,8</w:t>
            </w:r>
          </w:p>
        </w:tc>
        <w:tc>
          <w:tcPr>
            <w:tcW w:w="993" w:type="dxa"/>
            <w:shd w:val="clear" w:color="auto" w:fill="auto"/>
            <w:noWrap/>
            <w:vAlign w:val="center"/>
            <w:hideMark/>
          </w:tcPr>
          <w:p w14:paraId="3C356B4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0,3</w:t>
            </w:r>
          </w:p>
        </w:tc>
      </w:tr>
      <w:tr w:rsidR="004B1EE6" w:rsidRPr="002720A8" w14:paraId="4356810C" w14:textId="77777777" w:rsidTr="00A42F0F">
        <w:trPr>
          <w:trHeight w:val="255"/>
        </w:trPr>
        <w:tc>
          <w:tcPr>
            <w:tcW w:w="1701" w:type="dxa"/>
            <w:shd w:val="clear" w:color="auto" w:fill="auto"/>
            <w:noWrap/>
            <w:vAlign w:val="center"/>
            <w:hideMark/>
          </w:tcPr>
          <w:p w14:paraId="2982634A"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Campania</w:t>
            </w:r>
          </w:p>
        </w:tc>
        <w:tc>
          <w:tcPr>
            <w:tcW w:w="993" w:type="dxa"/>
            <w:shd w:val="clear" w:color="auto" w:fill="D9D9D9" w:themeFill="background1" w:themeFillShade="D9"/>
            <w:noWrap/>
            <w:vAlign w:val="center"/>
          </w:tcPr>
          <w:p w14:paraId="4230F8A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11,3</w:t>
            </w:r>
          </w:p>
        </w:tc>
        <w:tc>
          <w:tcPr>
            <w:tcW w:w="850" w:type="dxa"/>
            <w:shd w:val="clear" w:color="auto" w:fill="auto"/>
            <w:noWrap/>
            <w:vAlign w:val="center"/>
            <w:hideMark/>
          </w:tcPr>
          <w:p w14:paraId="6BBF8C8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13,2</w:t>
            </w:r>
          </w:p>
        </w:tc>
        <w:tc>
          <w:tcPr>
            <w:tcW w:w="851" w:type="dxa"/>
            <w:shd w:val="clear" w:color="auto" w:fill="D9D9D9" w:themeFill="background1" w:themeFillShade="D9"/>
            <w:noWrap/>
            <w:vAlign w:val="center"/>
            <w:hideMark/>
          </w:tcPr>
          <w:p w14:paraId="2E7F3F4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3,0</w:t>
            </w:r>
          </w:p>
        </w:tc>
        <w:tc>
          <w:tcPr>
            <w:tcW w:w="975" w:type="dxa"/>
            <w:shd w:val="clear" w:color="auto" w:fill="auto"/>
            <w:noWrap/>
            <w:vAlign w:val="center"/>
            <w:hideMark/>
          </w:tcPr>
          <w:p w14:paraId="62AA989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w:t>
            </w:r>
          </w:p>
        </w:tc>
        <w:tc>
          <w:tcPr>
            <w:tcW w:w="160" w:type="dxa"/>
            <w:shd w:val="clear" w:color="auto" w:fill="auto"/>
            <w:noWrap/>
            <w:vAlign w:val="center"/>
            <w:hideMark/>
          </w:tcPr>
          <w:p w14:paraId="45AC11D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15D925E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10,7</w:t>
            </w:r>
          </w:p>
        </w:tc>
        <w:tc>
          <w:tcPr>
            <w:tcW w:w="992" w:type="dxa"/>
            <w:shd w:val="clear" w:color="auto" w:fill="auto"/>
            <w:noWrap/>
            <w:vAlign w:val="center"/>
            <w:hideMark/>
          </w:tcPr>
          <w:p w14:paraId="468F529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13,3</w:t>
            </w:r>
          </w:p>
        </w:tc>
        <w:tc>
          <w:tcPr>
            <w:tcW w:w="992" w:type="dxa"/>
            <w:shd w:val="clear" w:color="auto" w:fill="D9D9D9" w:themeFill="background1" w:themeFillShade="D9"/>
            <w:noWrap/>
            <w:vAlign w:val="center"/>
            <w:hideMark/>
          </w:tcPr>
          <w:p w14:paraId="0360AF5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3,2</w:t>
            </w:r>
          </w:p>
        </w:tc>
        <w:tc>
          <w:tcPr>
            <w:tcW w:w="993" w:type="dxa"/>
            <w:shd w:val="clear" w:color="auto" w:fill="auto"/>
            <w:noWrap/>
            <w:vAlign w:val="center"/>
            <w:hideMark/>
          </w:tcPr>
          <w:p w14:paraId="2F329A4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2,4</w:t>
            </w:r>
          </w:p>
        </w:tc>
      </w:tr>
      <w:tr w:rsidR="004B1EE6" w:rsidRPr="002720A8" w14:paraId="2046F12D" w14:textId="77777777" w:rsidTr="00A42F0F">
        <w:trPr>
          <w:trHeight w:val="255"/>
        </w:trPr>
        <w:tc>
          <w:tcPr>
            <w:tcW w:w="1701" w:type="dxa"/>
            <w:shd w:val="clear" w:color="auto" w:fill="auto"/>
            <w:noWrap/>
            <w:vAlign w:val="center"/>
            <w:hideMark/>
          </w:tcPr>
          <w:p w14:paraId="68A1739C"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Puglia</w:t>
            </w:r>
          </w:p>
        </w:tc>
        <w:tc>
          <w:tcPr>
            <w:tcW w:w="993" w:type="dxa"/>
            <w:shd w:val="clear" w:color="auto" w:fill="D9D9D9" w:themeFill="background1" w:themeFillShade="D9"/>
            <w:noWrap/>
            <w:vAlign w:val="center"/>
          </w:tcPr>
          <w:p w14:paraId="68DC796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20,6</w:t>
            </w:r>
          </w:p>
        </w:tc>
        <w:tc>
          <w:tcPr>
            <w:tcW w:w="850" w:type="dxa"/>
            <w:shd w:val="clear" w:color="auto" w:fill="auto"/>
            <w:noWrap/>
            <w:vAlign w:val="center"/>
            <w:hideMark/>
          </w:tcPr>
          <w:p w14:paraId="6D2AF39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17,9</w:t>
            </w:r>
          </w:p>
        </w:tc>
        <w:tc>
          <w:tcPr>
            <w:tcW w:w="851" w:type="dxa"/>
            <w:shd w:val="clear" w:color="auto" w:fill="D9D9D9" w:themeFill="background1" w:themeFillShade="D9"/>
            <w:noWrap/>
            <w:vAlign w:val="center"/>
            <w:hideMark/>
          </w:tcPr>
          <w:p w14:paraId="23CF82A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6,2</w:t>
            </w:r>
          </w:p>
        </w:tc>
        <w:tc>
          <w:tcPr>
            <w:tcW w:w="975" w:type="dxa"/>
            <w:shd w:val="clear" w:color="auto" w:fill="auto"/>
            <w:noWrap/>
            <w:vAlign w:val="center"/>
            <w:hideMark/>
          </w:tcPr>
          <w:p w14:paraId="6AD5283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3,6</w:t>
            </w:r>
          </w:p>
        </w:tc>
        <w:tc>
          <w:tcPr>
            <w:tcW w:w="160" w:type="dxa"/>
            <w:shd w:val="clear" w:color="auto" w:fill="auto"/>
            <w:noWrap/>
            <w:vAlign w:val="center"/>
            <w:hideMark/>
          </w:tcPr>
          <w:p w14:paraId="0E75ED5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01C9B50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20,4</w:t>
            </w:r>
          </w:p>
        </w:tc>
        <w:tc>
          <w:tcPr>
            <w:tcW w:w="992" w:type="dxa"/>
            <w:shd w:val="clear" w:color="auto" w:fill="auto"/>
            <w:noWrap/>
            <w:vAlign w:val="center"/>
            <w:hideMark/>
          </w:tcPr>
          <w:p w14:paraId="3231770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19,5</w:t>
            </w:r>
          </w:p>
        </w:tc>
        <w:tc>
          <w:tcPr>
            <w:tcW w:w="992" w:type="dxa"/>
            <w:shd w:val="clear" w:color="auto" w:fill="D9D9D9" w:themeFill="background1" w:themeFillShade="D9"/>
            <w:noWrap/>
            <w:vAlign w:val="center"/>
            <w:hideMark/>
          </w:tcPr>
          <w:p w14:paraId="2EAFF99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6,4</w:t>
            </w:r>
          </w:p>
        </w:tc>
        <w:tc>
          <w:tcPr>
            <w:tcW w:w="993" w:type="dxa"/>
            <w:shd w:val="clear" w:color="auto" w:fill="auto"/>
            <w:noWrap/>
            <w:vAlign w:val="center"/>
            <w:hideMark/>
          </w:tcPr>
          <w:p w14:paraId="300739F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4,2</w:t>
            </w:r>
          </w:p>
        </w:tc>
      </w:tr>
      <w:tr w:rsidR="004B1EE6" w:rsidRPr="002720A8" w14:paraId="58EB33EF" w14:textId="77777777" w:rsidTr="00A42F0F">
        <w:trPr>
          <w:trHeight w:val="255"/>
        </w:trPr>
        <w:tc>
          <w:tcPr>
            <w:tcW w:w="1701" w:type="dxa"/>
            <w:shd w:val="clear" w:color="auto" w:fill="auto"/>
            <w:noWrap/>
            <w:vAlign w:val="center"/>
            <w:hideMark/>
          </w:tcPr>
          <w:p w14:paraId="5C9F1347"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Basilicata</w:t>
            </w:r>
          </w:p>
        </w:tc>
        <w:tc>
          <w:tcPr>
            <w:tcW w:w="993" w:type="dxa"/>
            <w:shd w:val="clear" w:color="auto" w:fill="D9D9D9" w:themeFill="background1" w:themeFillShade="D9"/>
            <w:noWrap/>
            <w:vAlign w:val="center"/>
          </w:tcPr>
          <w:p w14:paraId="4CA79513"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12,5</w:t>
            </w:r>
          </w:p>
        </w:tc>
        <w:tc>
          <w:tcPr>
            <w:tcW w:w="850" w:type="dxa"/>
            <w:shd w:val="clear" w:color="auto" w:fill="auto"/>
            <w:noWrap/>
            <w:vAlign w:val="center"/>
            <w:hideMark/>
          </w:tcPr>
          <w:p w14:paraId="540EE9B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12,2</w:t>
            </w:r>
          </w:p>
        </w:tc>
        <w:tc>
          <w:tcPr>
            <w:tcW w:w="851" w:type="dxa"/>
            <w:shd w:val="clear" w:color="auto" w:fill="D9D9D9" w:themeFill="background1" w:themeFillShade="D9"/>
            <w:noWrap/>
            <w:vAlign w:val="center"/>
            <w:hideMark/>
          </w:tcPr>
          <w:p w14:paraId="5B282BC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3,7</w:t>
            </w:r>
          </w:p>
        </w:tc>
        <w:tc>
          <w:tcPr>
            <w:tcW w:w="975" w:type="dxa"/>
            <w:shd w:val="clear" w:color="auto" w:fill="auto"/>
            <w:noWrap/>
            <w:vAlign w:val="center"/>
            <w:hideMark/>
          </w:tcPr>
          <w:p w14:paraId="2F25450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2,6</w:t>
            </w:r>
          </w:p>
        </w:tc>
        <w:tc>
          <w:tcPr>
            <w:tcW w:w="160" w:type="dxa"/>
            <w:shd w:val="clear" w:color="auto" w:fill="auto"/>
            <w:noWrap/>
            <w:vAlign w:val="center"/>
            <w:hideMark/>
          </w:tcPr>
          <w:p w14:paraId="43D599B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35C6032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20,7</w:t>
            </w:r>
          </w:p>
        </w:tc>
        <w:tc>
          <w:tcPr>
            <w:tcW w:w="992" w:type="dxa"/>
            <w:shd w:val="clear" w:color="auto" w:fill="auto"/>
            <w:noWrap/>
            <w:vAlign w:val="center"/>
            <w:hideMark/>
          </w:tcPr>
          <w:p w14:paraId="0872F85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17,3</w:t>
            </w:r>
          </w:p>
        </w:tc>
        <w:tc>
          <w:tcPr>
            <w:tcW w:w="992" w:type="dxa"/>
            <w:shd w:val="clear" w:color="auto" w:fill="D9D9D9" w:themeFill="background1" w:themeFillShade="D9"/>
            <w:noWrap/>
            <w:vAlign w:val="center"/>
            <w:hideMark/>
          </w:tcPr>
          <w:p w14:paraId="3DADAB9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6,5</w:t>
            </w:r>
          </w:p>
        </w:tc>
        <w:tc>
          <w:tcPr>
            <w:tcW w:w="993" w:type="dxa"/>
            <w:shd w:val="clear" w:color="auto" w:fill="auto"/>
            <w:noWrap/>
            <w:vAlign w:val="center"/>
            <w:hideMark/>
          </w:tcPr>
          <w:p w14:paraId="4A9BDFF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4,0</w:t>
            </w:r>
          </w:p>
        </w:tc>
      </w:tr>
      <w:tr w:rsidR="004B1EE6" w:rsidRPr="002720A8" w14:paraId="52305496" w14:textId="77777777" w:rsidTr="00A42F0F">
        <w:trPr>
          <w:trHeight w:val="255"/>
        </w:trPr>
        <w:tc>
          <w:tcPr>
            <w:tcW w:w="1701" w:type="dxa"/>
            <w:shd w:val="clear" w:color="auto" w:fill="auto"/>
            <w:noWrap/>
            <w:vAlign w:val="center"/>
            <w:hideMark/>
          </w:tcPr>
          <w:p w14:paraId="52343CAD"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Calabria</w:t>
            </w:r>
          </w:p>
        </w:tc>
        <w:tc>
          <w:tcPr>
            <w:tcW w:w="993" w:type="dxa"/>
            <w:shd w:val="clear" w:color="auto" w:fill="D9D9D9" w:themeFill="background1" w:themeFillShade="D9"/>
            <w:noWrap/>
            <w:vAlign w:val="center"/>
          </w:tcPr>
          <w:p w14:paraId="03EF11BB"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1,8</w:t>
            </w:r>
          </w:p>
        </w:tc>
        <w:tc>
          <w:tcPr>
            <w:tcW w:w="850" w:type="dxa"/>
            <w:shd w:val="clear" w:color="auto" w:fill="auto"/>
            <w:noWrap/>
            <w:vAlign w:val="center"/>
            <w:hideMark/>
          </w:tcPr>
          <w:p w14:paraId="0587EBB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2,3</w:t>
            </w:r>
          </w:p>
        </w:tc>
        <w:tc>
          <w:tcPr>
            <w:tcW w:w="851" w:type="dxa"/>
            <w:shd w:val="clear" w:color="auto" w:fill="D9D9D9" w:themeFill="background1" w:themeFillShade="D9"/>
            <w:noWrap/>
            <w:vAlign w:val="center"/>
            <w:hideMark/>
          </w:tcPr>
          <w:p w14:paraId="4A6B32A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0,4</w:t>
            </w:r>
          </w:p>
        </w:tc>
        <w:tc>
          <w:tcPr>
            <w:tcW w:w="975" w:type="dxa"/>
            <w:shd w:val="clear" w:color="auto" w:fill="auto"/>
            <w:noWrap/>
            <w:vAlign w:val="center"/>
            <w:hideMark/>
          </w:tcPr>
          <w:p w14:paraId="0D82588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0,3</w:t>
            </w:r>
          </w:p>
        </w:tc>
        <w:tc>
          <w:tcPr>
            <w:tcW w:w="160" w:type="dxa"/>
            <w:shd w:val="clear" w:color="auto" w:fill="auto"/>
            <w:noWrap/>
            <w:vAlign w:val="center"/>
            <w:hideMark/>
          </w:tcPr>
          <w:p w14:paraId="5C8C020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249C237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1,3</w:t>
            </w:r>
          </w:p>
        </w:tc>
        <w:tc>
          <w:tcPr>
            <w:tcW w:w="992" w:type="dxa"/>
            <w:shd w:val="clear" w:color="auto" w:fill="auto"/>
            <w:noWrap/>
            <w:vAlign w:val="center"/>
            <w:hideMark/>
          </w:tcPr>
          <w:p w14:paraId="15098791"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w:t>
            </w:r>
          </w:p>
        </w:tc>
        <w:tc>
          <w:tcPr>
            <w:tcW w:w="992" w:type="dxa"/>
            <w:shd w:val="clear" w:color="auto" w:fill="D9D9D9" w:themeFill="background1" w:themeFillShade="D9"/>
            <w:noWrap/>
            <w:vAlign w:val="center"/>
            <w:hideMark/>
          </w:tcPr>
          <w:p w14:paraId="29A2786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0,3</w:t>
            </w:r>
          </w:p>
        </w:tc>
        <w:tc>
          <w:tcPr>
            <w:tcW w:w="993" w:type="dxa"/>
            <w:shd w:val="clear" w:color="auto" w:fill="auto"/>
            <w:noWrap/>
            <w:vAlign w:val="center"/>
            <w:hideMark/>
          </w:tcPr>
          <w:p w14:paraId="58F1E02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0,3</w:t>
            </w:r>
          </w:p>
        </w:tc>
      </w:tr>
      <w:tr w:rsidR="004B1EE6" w:rsidRPr="002720A8" w14:paraId="5E50D22E" w14:textId="77777777" w:rsidTr="00A42F0F">
        <w:trPr>
          <w:trHeight w:val="255"/>
        </w:trPr>
        <w:tc>
          <w:tcPr>
            <w:tcW w:w="1701" w:type="dxa"/>
            <w:shd w:val="clear" w:color="auto" w:fill="auto"/>
            <w:noWrap/>
            <w:vAlign w:val="center"/>
            <w:hideMark/>
          </w:tcPr>
          <w:p w14:paraId="2329EF56"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Sicilia</w:t>
            </w:r>
          </w:p>
        </w:tc>
        <w:tc>
          <w:tcPr>
            <w:tcW w:w="993" w:type="dxa"/>
            <w:shd w:val="clear" w:color="auto" w:fill="D9D9D9" w:themeFill="background1" w:themeFillShade="D9"/>
            <w:noWrap/>
            <w:vAlign w:val="center"/>
          </w:tcPr>
          <w:p w14:paraId="75940B82"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14,4</w:t>
            </w:r>
          </w:p>
        </w:tc>
        <w:tc>
          <w:tcPr>
            <w:tcW w:w="850" w:type="dxa"/>
            <w:shd w:val="clear" w:color="auto" w:fill="auto"/>
            <w:noWrap/>
            <w:vAlign w:val="center"/>
            <w:hideMark/>
          </w:tcPr>
          <w:p w14:paraId="4B8A656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21,9</w:t>
            </w:r>
          </w:p>
        </w:tc>
        <w:tc>
          <w:tcPr>
            <w:tcW w:w="851" w:type="dxa"/>
            <w:shd w:val="clear" w:color="auto" w:fill="D9D9D9" w:themeFill="background1" w:themeFillShade="D9"/>
            <w:noWrap/>
            <w:vAlign w:val="center"/>
            <w:hideMark/>
          </w:tcPr>
          <w:p w14:paraId="175FE420"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4,9</w:t>
            </w:r>
          </w:p>
        </w:tc>
        <w:tc>
          <w:tcPr>
            <w:tcW w:w="975" w:type="dxa"/>
            <w:shd w:val="clear" w:color="auto" w:fill="auto"/>
            <w:noWrap/>
            <w:vAlign w:val="center"/>
            <w:hideMark/>
          </w:tcPr>
          <w:p w14:paraId="54BF67B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4,8</w:t>
            </w:r>
          </w:p>
        </w:tc>
        <w:tc>
          <w:tcPr>
            <w:tcW w:w="160" w:type="dxa"/>
            <w:shd w:val="clear" w:color="auto" w:fill="auto"/>
            <w:noWrap/>
            <w:vAlign w:val="center"/>
            <w:hideMark/>
          </w:tcPr>
          <w:p w14:paraId="4DFA5A8D"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49FDF766"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17,0</w:t>
            </w:r>
          </w:p>
        </w:tc>
        <w:tc>
          <w:tcPr>
            <w:tcW w:w="992" w:type="dxa"/>
            <w:shd w:val="clear" w:color="auto" w:fill="auto"/>
            <w:noWrap/>
            <w:vAlign w:val="center"/>
            <w:hideMark/>
          </w:tcPr>
          <w:p w14:paraId="2F08DB59"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27,5</w:t>
            </w:r>
          </w:p>
        </w:tc>
        <w:tc>
          <w:tcPr>
            <w:tcW w:w="992" w:type="dxa"/>
            <w:shd w:val="clear" w:color="auto" w:fill="D9D9D9" w:themeFill="background1" w:themeFillShade="D9"/>
            <w:noWrap/>
            <w:vAlign w:val="center"/>
            <w:hideMark/>
          </w:tcPr>
          <w:p w14:paraId="01D3B044"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6,0</w:t>
            </w:r>
          </w:p>
        </w:tc>
        <w:tc>
          <w:tcPr>
            <w:tcW w:w="993" w:type="dxa"/>
            <w:shd w:val="clear" w:color="auto" w:fill="auto"/>
            <w:noWrap/>
            <w:vAlign w:val="center"/>
            <w:hideMark/>
          </w:tcPr>
          <w:p w14:paraId="311DC665"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6,5</w:t>
            </w:r>
          </w:p>
        </w:tc>
      </w:tr>
      <w:tr w:rsidR="004B1EE6" w:rsidRPr="002720A8" w14:paraId="75BA1EFD" w14:textId="77777777" w:rsidTr="00A42F0F">
        <w:trPr>
          <w:trHeight w:val="255"/>
        </w:trPr>
        <w:tc>
          <w:tcPr>
            <w:tcW w:w="1701" w:type="dxa"/>
            <w:shd w:val="clear" w:color="auto" w:fill="auto"/>
            <w:noWrap/>
            <w:vAlign w:val="center"/>
            <w:hideMark/>
          </w:tcPr>
          <w:p w14:paraId="5D9C161C" w14:textId="77777777" w:rsidR="004B1EE6" w:rsidRPr="002720A8" w:rsidRDefault="004B1EE6" w:rsidP="006C737B">
            <w:pPr>
              <w:spacing w:before="40" w:after="20" w:line="240" w:lineRule="auto"/>
              <w:rPr>
                <w:rFonts w:ascii="Arial Narrow" w:eastAsia="Times New Roman" w:hAnsi="Arial Narrow" w:cs="Calibri"/>
                <w:bCs/>
                <w:color w:val="1F4E78"/>
                <w:sz w:val="14"/>
                <w:szCs w:val="14"/>
                <w:lang w:eastAsia="it-IT"/>
              </w:rPr>
            </w:pPr>
            <w:r w:rsidRPr="002720A8">
              <w:rPr>
                <w:rFonts w:ascii="Arial Narrow" w:eastAsia="Times New Roman" w:hAnsi="Arial Narrow" w:cs="Calibri"/>
                <w:bCs/>
                <w:color w:val="1F4E78"/>
                <w:sz w:val="14"/>
                <w:szCs w:val="14"/>
                <w:lang w:eastAsia="it-IT"/>
              </w:rPr>
              <w:t>Sardegna</w:t>
            </w:r>
          </w:p>
        </w:tc>
        <w:tc>
          <w:tcPr>
            <w:tcW w:w="993" w:type="dxa"/>
            <w:shd w:val="clear" w:color="auto" w:fill="D9D9D9" w:themeFill="background1" w:themeFillShade="D9"/>
            <w:noWrap/>
            <w:vAlign w:val="center"/>
          </w:tcPr>
          <w:p w14:paraId="0E13430F"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19,8</w:t>
            </w:r>
          </w:p>
        </w:tc>
        <w:tc>
          <w:tcPr>
            <w:tcW w:w="850" w:type="dxa"/>
            <w:shd w:val="clear" w:color="auto" w:fill="auto"/>
            <w:noWrap/>
            <w:vAlign w:val="center"/>
            <w:hideMark/>
          </w:tcPr>
          <w:p w14:paraId="14004A9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26,4</w:t>
            </w:r>
          </w:p>
        </w:tc>
        <w:tc>
          <w:tcPr>
            <w:tcW w:w="851" w:type="dxa"/>
            <w:shd w:val="clear" w:color="auto" w:fill="D9D9D9" w:themeFill="background1" w:themeFillShade="D9"/>
            <w:noWrap/>
            <w:vAlign w:val="center"/>
            <w:hideMark/>
          </w:tcPr>
          <w:p w14:paraId="6A3AB99A"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5,5</w:t>
            </w:r>
          </w:p>
        </w:tc>
        <w:tc>
          <w:tcPr>
            <w:tcW w:w="975" w:type="dxa"/>
            <w:shd w:val="clear" w:color="auto" w:fill="auto"/>
            <w:noWrap/>
            <w:vAlign w:val="center"/>
            <w:hideMark/>
          </w:tcPr>
          <w:p w14:paraId="69EF49F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2,1</w:t>
            </w:r>
          </w:p>
        </w:tc>
        <w:tc>
          <w:tcPr>
            <w:tcW w:w="160" w:type="dxa"/>
            <w:shd w:val="clear" w:color="auto" w:fill="auto"/>
            <w:noWrap/>
            <w:vAlign w:val="center"/>
            <w:hideMark/>
          </w:tcPr>
          <w:p w14:paraId="1BF5A70E"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p>
        </w:tc>
        <w:tc>
          <w:tcPr>
            <w:tcW w:w="994" w:type="dxa"/>
            <w:shd w:val="clear" w:color="auto" w:fill="D9D9D9" w:themeFill="background1" w:themeFillShade="D9"/>
            <w:noWrap/>
            <w:vAlign w:val="center"/>
          </w:tcPr>
          <w:p w14:paraId="73C691C7"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23,5</w:t>
            </w:r>
          </w:p>
        </w:tc>
        <w:tc>
          <w:tcPr>
            <w:tcW w:w="992" w:type="dxa"/>
            <w:shd w:val="clear" w:color="auto" w:fill="auto"/>
            <w:noWrap/>
            <w:vAlign w:val="center"/>
            <w:hideMark/>
          </w:tcPr>
          <w:p w14:paraId="23D37528"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38,4</w:t>
            </w:r>
          </w:p>
        </w:tc>
        <w:tc>
          <w:tcPr>
            <w:tcW w:w="992" w:type="dxa"/>
            <w:shd w:val="clear" w:color="auto" w:fill="D9D9D9" w:themeFill="background1" w:themeFillShade="D9"/>
            <w:noWrap/>
            <w:vAlign w:val="center"/>
            <w:hideMark/>
          </w:tcPr>
          <w:p w14:paraId="02424EB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6,6</w:t>
            </w:r>
          </w:p>
        </w:tc>
        <w:tc>
          <w:tcPr>
            <w:tcW w:w="993" w:type="dxa"/>
            <w:shd w:val="clear" w:color="auto" w:fill="auto"/>
            <w:noWrap/>
            <w:vAlign w:val="center"/>
            <w:hideMark/>
          </w:tcPr>
          <w:p w14:paraId="44D3358C" w14:textId="77777777" w:rsidR="004B1EE6" w:rsidRPr="002720A8" w:rsidRDefault="004B1EE6" w:rsidP="006C737B">
            <w:pPr>
              <w:spacing w:before="40" w:after="20" w:line="240" w:lineRule="auto"/>
              <w:jc w:val="right"/>
              <w:rPr>
                <w:rFonts w:ascii="Arial Narrow" w:eastAsia="Times New Roman" w:hAnsi="Arial Narrow" w:cs="Calibri"/>
                <w:bCs/>
                <w:color w:val="000000"/>
                <w:sz w:val="14"/>
                <w:szCs w:val="14"/>
                <w:lang w:eastAsia="it-IT"/>
              </w:rPr>
            </w:pPr>
            <w:r w:rsidRPr="002720A8">
              <w:rPr>
                <w:rFonts w:ascii="Arial Narrow" w:eastAsia="Times New Roman" w:hAnsi="Arial Narrow" w:cs="Calibri"/>
                <w:bCs/>
                <w:color w:val="000000"/>
                <w:sz w:val="14"/>
                <w:szCs w:val="14"/>
                <w:lang w:eastAsia="it-IT"/>
              </w:rPr>
              <w:t>3,3</w:t>
            </w:r>
          </w:p>
        </w:tc>
      </w:tr>
      <w:tr w:rsidR="004B1EE6" w:rsidRPr="002720A8" w14:paraId="7CE2CE59" w14:textId="77777777" w:rsidTr="00A42F0F">
        <w:trPr>
          <w:trHeight w:val="255"/>
        </w:trPr>
        <w:tc>
          <w:tcPr>
            <w:tcW w:w="1701" w:type="dxa"/>
            <w:shd w:val="clear" w:color="000000" w:fill="1F4E78"/>
            <w:noWrap/>
            <w:vAlign w:val="center"/>
            <w:hideMark/>
          </w:tcPr>
          <w:p w14:paraId="0043CCAC" w14:textId="77777777" w:rsidR="004B1EE6" w:rsidRPr="002720A8" w:rsidRDefault="004B1EE6" w:rsidP="006C737B">
            <w:pPr>
              <w:spacing w:before="40" w:after="20" w:line="240" w:lineRule="auto"/>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ITALIA</w:t>
            </w:r>
          </w:p>
        </w:tc>
        <w:tc>
          <w:tcPr>
            <w:tcW w:w="993" w:type="dxa"/>
            <w:shd w:val="clear" w:color="000000" w:fill="1F4E78"/>
            <w:vAlign w:val="center"/>
          </w:tcPr>
          <w:p w14:paraId="0C8E031F"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14,8</w:t>
            </w:r>
          </w:p>
        </w:tc>
        <w:tc>
          <w:tcPr>
            <w:tcW w:w="850" w:type="dxa"/>
            <w:shd w:val="clear" w:color="000000" w:fill="1F4E78"/>
            <w:vAlign w:val="center"/>
            <w:hideMark/>
          </w:tcPr>
          <w:p w14:paraId="3F1A65C6"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18,2</w:t>
            </w:r>
          </w:p>
        </w:tc>
        <w:tc>
          <w:tcPr>
            <w:tcW w:w="851" w:type="dxa"/>
            <w:shd w:val="clear" w:color="000000" w:fill="1F4E78"/>
            <w:vAlign w:val="center"/>
            <w:hideMark/>
          </w:tcPr>
          <w:p w14:paraId="72BF2888"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5,0</w:t>
            </w:r>
          </w:p>
        </w:tc>
        <w:tc>
          <w:tcPr>
            <w:tcW w:w="975" w:type="dxa"/>
            <w:shd w:val="clear" w:color="000000" w:fill="1F4E78"/>
            <w:vAlign w:val="center"/>
            <w:hideMark/>
          </w:tcPr>
          <w:p w14:paraId="2A82CDD0"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4,1</w:t>
            </w:r>
          </w:p>
        </w:tc>
        <w:tc>
          <w:tcPr>
            <w:tcW w:w="160" w:type="dxa"/>
            <w:shd w:val="clear" w:color="auto" w:fill="1F4E78"/>
            <w:noWrap/>
            <w:vAlign w:val="center"/>
            <w:hideMark/>
          </w:tcPr>
          <w:p w14:paraId="771E6752"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p>
        </w:tc>
        <w:tc>
          <w:tcPr>
            <w:tcW w:w="994" w:type="dxa"/>
            <w:shd w:val="clear" w:color="000000" w:fill="1F4E78"/>
            <w:vAlign w:val="center"/>
          </w:tcPr>
          <w:p w14:paraId="07A06CE8"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12,7</w:t>
            </w:r>
          </w:p>
        </w:tc>
        <w:tc>
          <w:tcPr>
            <w:tcW w:w="992" w:type="dxa"/>
            <w:shd w:val="clear" w:color="000000" w:fill="1F4E78"/>
            <w:vAlign w:val="center"/>
            <w:hideMark/>
          </w:tcPr>
          <w:p w14:paraId="307EA7EB"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14,7</w:t>
            </w:r>
          </w:p>
        </w:tc>
        <w:tc>
          <w:tcPr>
            <w:tcW w:w="992" w:type="dxa"/>
            <w:shd w:val="clear" w:color="000000" w:fill="1F4E78"/>
            <w:vAlign w:val="center"/>
            <w:hideMark/>
          </w:tcPr>
          <w:p w14:paraId="05FCBF96"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4,5</w:t>
            </w:r>
          </w:p>
        </w:tc>
        <w:tc>
          <w:tcPr>
            <w:tcW w:w="993" w:type="dxa"/>
            <w:shd w:val="clear" w:color="000000" w:fill="1F4E78"/>
            <w:vAlign w:val="center"/>
            <w:hideMark/>
          </w:tcPr>
          <w:p w14:paraId="4C4E8F78" w14:textId="77777777" w:rsidR="004B1EE6" w:rsidRPr="002720A8" w:rsidRDefault="004B1EE6" w:rsidP="006C737B">
            <w:pPr>
              <w:spacing w:before="40" w:after="20" w:line="240" w:lineRule="auto"/>
              <w:jc w:val="right"/>
              <w:rPr>
                <w:rFonts w:ascii="Arial Narrow" w:eastAsia="Times New Roman" w:hAnsi="Arial Narrow" w:cs="Calibri"/>
                <w:b/>
                <w:bCs/>
                <w:color w:val="FFFFFF"/>
                <w:sz w:val="14"/>
                <w:szCs w:val="14"/>
                <w:lang w:eastAsia="it-IT"/>
              </w:rPr>
            </w:pPr>
            <w:r w:rsidRPr="002720A8">
              <w:rPr>
                <w:rFonts w:ascii="Arial Narrow" w:eastAsia="Times New Roman" w:hAnsi="Arial Narrow" w:cs="Calibri"/>
                <w:b/>
                <w:bCs/>
                <w:color w:val="FFFFFF"/>
                <w:sz w:val="14"/>
                <w:szCs w:val="14"/>
                <w:lang w:eastAsia="it-IT"/>
              </w:rPr>
              <w:t>3,6</w:t>
            </w:r>
          </w:p>
        </w:tc>
      </w:tr>
    </w:tbl>
    <w:p w14:paraId="57CDEA64" w14:textId="23DE575F" w:rsidR="0001405A" w:rsidRPr="00DD1CCC" w:rsidRDefault="0001405A" w:rsidP="004B1EE6">
      <w:pPr>
        <w:spacing w:before="60"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Ministero della Salute su dati Emergenza-urgenza (EMUR)</w:t>
      </w:r>
    </w:p>
    <w:p w14:paraId="6117C6B9" w14:textId="3CAF1F79" w:rsidR="00FF2B38" w:rsidRDefault="00FF2B38" w:rsidP="0001405A">
      <w:pPr>
        <w:spacing w:after="0" w:line="240" w:lineRule="auto"/>
        <w:jc w:val="both"/>
        <w:rPr>
          <w:rFonts w:ascii="Arial" w:eastAsia="Times New Roman" w:hAnsi="Arial" w:cs="Arial"/>
          <w:color w:val="000000"/>
          <w:sz w:val="16"/>
          <w:szCs w:val="16"/>
          <w:lang w:eastAsia="it-IT"/>
        </w:rPr>
      </w:pPr>
    </w:p>
    <w:p w14:paraId="25573B20" w14:textId="77777777" w:rsidR="00B32122" w:rsidRPr="000950FE" w:rsidRDefault="00B32122" w:rsidP="00DD1CCC">
      <w:pPr>
        <w:spacing w:after="120" w:line="240" w:lineRule="auto"/>
        <w:jc w:val="both"/>
        <w:rPr>
          <w:rFonts w:ascii="Arial" w:eastAsia="Times New Roman" w:hAnsi="Arial" w:cs="Arial"/>
          <w:color w:val="000000"/>
          <w:sz w:val="16"/>
          <w:szCs w:val="16"/>
          <w:lang w:eastAsia="it-IT"/>
        </w:rPr>
      </w:pPr>
    </w:p>
    <w:p w14:paraId="75B797F1" w14:textId="0210118D" w:rsidR="00F437C7" w:rsidRPr="000950FE" w:rsidRDefault="00F437C7" w:rsidP="00DD1CCC">
      <w:pPr>
        <w:spacing w:after="120" w:line="240" w:lineRule="auto"/>
        <w:rPr>
          <w:rFonts w:ascii="Arial" w:hAnsi="Arial" w:cs="Arial"/>
          <w:b/>
          <w:bCs/>
          <w:color w:val="44546A" w:themeColor="text2"/>
        </w:rPr>
      </w:pPr>
      <w:r w:rsidRPr="000950FE">
        <w:rPr>
          <w:rFonts w:ascii="Arial" w:hAnsi="Arial" w:cs="Arial"/>
          <w:b/>
          <w:bCs/>
          <w:color w:val="44546A" w:themeColor="text2"/>
        </w:rPr>
        <w:t xml:space="preserve">Accessi alle cure ospedaliere per violenza più frequenti </w:t>
      </w:r>
      <w:r w:rsidR="003222CE" w:rsidRPr="000950FE">
        <w:rPr>
          <w:rFonts w:ascii="Arial" w:hAnsi="Arial" w:cs="Arial"/>
          <w:b/>
          <w:bCs/>
          <w:color w:val="44546A" w:themeColor="text2"/>
        </w:rPr>
        <w:t xml:space="preserve">tra le </w:t>
      </w:r>
      <w:r w:rsidRPr="000950FE">
        <w:rPr>
          <w:rFonts w:ascii="Arial" w:hAnsi="Arial" w:cs="Arial"/>
          <w:b/>
          <w:bCs/>
          <w:color w:val="44546A" w:themeColor="text2"/>
        </w:rPr>
        <w:t>donne minorenni e giovani</w:t>
      </w:r>
    </w:p>
    <w:p w14:paraId="1F4CE25A" w14:textId="0B873C11" w:rsidR="003F26EE" w:rsidRPr="000950FE" w:rsidRDefault="003F26EE">
      <w:pPr>
        <w:pStyle w:val="Default"/>
        <w:spacing w:after="120"/>
        <w:jc w:val="both"/>
        <w:rPr>
          <w:rFonts w:ascii="Arial" w:hAnsi="Arial" w:cs="Arial"/>
          <w:sz w:val="20"/>
          <w:szCs w:val="20"/>
        </w:rPr>
      </w:pPr>
      <w:r w:rsidRPr="000950FE">
        <w:rPr>
          <w:rFonts w:ascii="Arial" w:hAnsi="Arial" w:cs="Arial"/>
          <w:sz w:val="20"/>
          <w:szCs w:val="20"/>
        </w:rPr>
        <w:t>Nel 2021</w:t>
      </w:r>
      <w:r w:rsidR="00410615" w:rsidRPr="000950FE">
        <w:rPr>
          <w:rFonts w:ascii="Arial" w:hAnsi="Arial" w:cs="Arial"/>
          <w:sz w:val="20"/>
          <w:szCs w:val="20"/>
        </w:rPr>
        <w:t>, a fronte di 1.083 donne con almeno un ricovero ordinario per violenza, si sono registrati 1.171</w:t>
      </w:r>
      <w:r w:rsidRPr="000950FE">
        <w:rPr>
          <w:rFonts w:ascii="Arial" w:hAnsi="Arial" w:cs="Arial"/>
          <w:sz w:val="20"/>
          <w:szCs w:val="20"/>
        </w:rPr>
        <w:t xml:space="preserve"> ricoveri</w:t>
      </w:r>
      <w:r w:rsidR="00410615" w:rsidRPr="000950FE">
        <w:rPr>
          <w:rFonts w:ascii="Arial" w:hAnsi="Arial" w:cs="Arial"/>
          <w:sz w:val="20"/>
          <w:szCs w:val="20"/>
        </w:rPr>
        <w:t xml:space="preserve">. </w:t>
      </w:r>
      <w:r w:rsidR="00AB0547">
        <w:rPr>
          <w:rFonts w:ascii="Arial" w:hAnsi="Arial" w:cs="Arial"/>
          <w:sz w:val="20"/>
          <w:szCs w:val="20"/>
        </w:rPr>
        <w:t xml:space="preserve">Tra gli uomini </w:t>
      </w:r>
      <w:r w:rsidR="00F437C7" w:rsidRPr="000950FE">
        <w:rPr>
          <w:rFonts w:ascii="Arial" w:hAnsi="Arial" w:cs="Arial"/>
          <w:sz w:val="20"/>
          <w:szCs w:val="20"/>
        </w:rPr>
        <w:t>i</w:t>
      </w:r>
      <w:r w:rsidRPr="000950FE">
        <w:rPr>
          <w:rFonts w:ascii="Arial" w:hAnsi="Arial" w:cs="Arial"/>
          <w:sz w:val="20"/>
          <w:szCs w:val="20"/>
        </w:rPr>
        <w:t xml:space="preserve"> valor</w:t>
      </w:r>
      <w:r w:rsidR="00410615" w:rsidRPr="000950FE">
        <w:rPr>
          <w:rFonts w:ascii="Arial" w:hAnsi="Arial" w:cs="Arial"/>
          <w:sz w:val="20"/>
          <w:szCs w:val="20"/>
        </w:rPr>
        <w:t>i</w:t>
      </w:r>
      <w:r w:rsidRPr="000950FE">
        <w:rPr>
          <w:rFonts w:ascii="Arial" w:hAnsi="Arial" w:cs="Arial"/>
          <w:sz w:val="20"/>
          <w:szCs w:val="20"/>
        </w:rPr>
        <w:t xml:space="preserve"> </w:t>
      </w:r>
      <w:r w:rsidR="00410615" w:rsidRPr="000950FE">
        <w:rPr>
          <w:rFonts w:ascii="Arial" w:hAnsi="Arial" w:cs="Arial"/>
          <w:sz w:val="20"/>
          <w:szCs w:val="20"/>
        </w:rPr>
        <w:t xml:space="preserve">sono </w:t>
      </w:r>
      <w:r w:rsidRPr="000950FE">
        <w:rPr>
          <w:rFonts w:ascii="Arial" w:hAnsi="Arial" w:cs="Arial"/>
          <w:sz w:val="20"/>
          <w:szCs w:val="20"/>
        </w:rPr>
        <w:t xml:space="preserve">quasi tre volte più </w:t>
      </w:r>
      <w:r w:rsidR="00F437C7" w:rsidRPr="000950FE">
        <w:rPr>
          <w:rFonts w:ascii="Arial" w:hAnsi="Arial" w:cs="Arial"/>
          <w:sz w:val="20"/>
          <w:szCs w:val="20"/>
        </w:rPr>
        <w:t>elevati: 3.197 uomini per un totale di</w:t>
      </w:r>
      <w:r w:rsidRPr="000950FE">
        <w:rPr>
          <w:rFonts w:ascii="Arial" w:hAnsi="Arial" w:cs="Arial"/>
          <w:sz w:val="20"/>
          <w:szCs w:val="20"/>
        </w:rPr>
        <w:t xml:space="preserve"> 3.459</w:t>
      </w:r>
      <w:r w:rsidR="00F437C7" w:rsidRPr="000950FE">
        <w:rPr>
          <w:rFonts w:ascii="Arial" w:hAnsi="Arial" w:cs="Arial"/>
          <w:sz w:val="20"/>
          <w:szCs w:val="20"/>
        </w:rPr>
        <w:t xml:space="preserve"> ricoveri</w:t>
      </w:r>
      <w:r w:rsidRPr="000950FE">
        <w:rPr>
          <w:rFonts w:ascii="Arial" w:hAnsi="Arial" w:cs="Arial"/>
          <w:sz w:val="20"/>
          <w:szCs w:val="20"/>
        </w:rPr>
        <w:t>. Anche in riferimento alla popolazione residente</w:t>
      </w:r>
      <w:r w:rsidR="00AB0547">
        <w:rPr>
          <w:rFonts w:ascii="Arial" w:hAnsi="Arial" w:cs="Arial"/>
          <w:sz w:val="20"/>
          <w:szCs w:val="20"/>
        </w:rPr>
        <w:t>,</w:t>
      </w:r>
      <w:r w:rsidRPr="000950FE">
        <w:rPr>
          <w:rFonts w:ascii="Arial" w:hAnsi="Arial" w:cs="Arial"/>
          <w:sz w:val="20"/>
          <w:szCs w:val="20"/>
        </w:rPr>
        <w:t xml:space="preserve"> il tasso femminile, pari a 0,39 </w:t>
      </w:r>
      <w:r w:rsidR="00410615" w:rsidRPr="000950FE">
        <w:rPr>
          <w:rFonts w:ascii="Arial" w:hAnsi="Arial" w:cs="Arial"/>
          <w:sz w:val="20"/>
          <w:szCs w:val="20"/>
        </w:rPr>
        <w:t xml:space="preserve">ricoveri </w:t>
      </w:r>
      <w:r w:rsidRPr="000950FE">
        <w:rPr>
          <w:rFonts w:ascii="Arial" w:hAnsi="Arial" w:cs="Arial"/>
          <w:sz w:val="20"/>
          <w:szCs w:val="20"/>
        </w:rPr>
        <w:t>per 10.000 residenti nel 2021, è circa un terzo di quello maschile (1,20).</w:t>
      </w:r>
    </w:p>
    <w:p w14:paraId="63945C74" w14:textId="3961E52F" w:rsidR="00751641" w:rsidRPr="000950FE" w:rsidRDefault="003F26EE">
      <w:pPr>
        <w:pStyle w:val="Default"/>
        <w:spacing w:after="120"/>
        <w:jc w:val="both"/>
        <w:rPr>
          <w:rFonts w:ascii="Arial" w:hAnsi="Arial" w:cs="Arial"/>
          <w:bCs/>
          <w:sz w:val="16"/>
          <w:szCs w:val="16"/>
        </w:rPr>
      </w:pPr>
      <w:r w:rsidRPr="000950FE">
        <w:rPr>
          <w:rFonts w:ascii="Arial" w:hAnsi="Arial" w:cs="Arial"/>
          <w:sz w:val="20"/>
          <w:szCs w:val="20"/>
        </w:rPr>
        <w:t xml:space="preserve">I ricoveri </w:t>
      </w:r>
      <w:r w:rsidR="00F437C7" w:rsidRPr="000950FE">
        <w:rPr>
          <w:rFonts w:ascii="Arial" w:hAnsi="Arial" w:cs="Arial"/>
          <w:sz w:val="20"/>
          <w:szCs w:val="20"/>
        </w:rPr>
        <w:t xml:space="preserve">femminili </w:t>
      </w:r>
      <w:r w:rsidRPr="000950FE">
        <w:rPr>
          <w:rFonts w:ascii="Arial" w:hAnsi="Arial" w:cs="Arial"/>
          <w:sz w:val="20"/>
          <w:szCs w:val="20"/>
        </w:rPr>
        <w:t xml:space="preserve">con indicazione di violenza risultano mediamente </w:t>
      </w:r>
      <w:r w:rsidR="00F437C7" w:rsidRPr="000950FE">
        <w:rPr>
          <w:rFonts w:ascii="Arial" w:hAnsi="Arial" w:cs="Arial"/>
          <w:sz w:val="20"/>
          <w:szCs w:val="20"/>
        </w:rPr>
        <w:t>meno</w:t>
      </w:r>
      <w:r w:rsidRPr="000950FE">
        <w:rPr>
          <w:rFonts w:ascii="Arial" w:hAnsi="Arial" w:cs="Arial"/>
          <w:sz w:val="20"/>
          <w:szCs w:val="20"/>
        </w:rPr>
        <w:t xml:space="preserve"> complessi </w:t>
      </w:r>
      <w:r w:rsidR="00F437C7" w:rsidRPr="000950FE">
        <w:rPr>
          <w:rFonts w:ascii="Arial" w:hAnsi="Arial" w:cs="Arial"/>
          <w:sz w:val="20"/>
          <w:szCs w:val="20"/>
        </w:rPr>
        <w:t xml:space="preserve">di quelli maschili </w:t>
      </w:r>
      <w:r w:rsidRPr="000950FE">
        <w:rPr>
          <w:rFonts w:ascii="Arial" w:hAnsi="Arial" w:cs="Arial"/>
          <w:sz w:val="20"/>
          <w:szCs w:val="20"/>
        </w:rPr>
        <w:t>in termini di carico assistenziale per l’ospedale</w:t>
      </w:r>
      <w:r w:rsidR="00F437C7" w:rsidRPr="000950FE">
        <w:rPr>
          <w:rFonts w:ascii="Arial" w:hAnsi="Arial" w:cs="Arial"/>
          <w:sz w:val="20"/>
          <w:szCs w:val="20"/>
        </w:rPr>
        <w:t>, ma hanno una durata media della degenza più elevata</w:t>
      </w:r>
      <w:r w:rsidRPr="000950FE">
        <w:rPr>
          <w:rFonts w:ascii="Arial" w:hAnsi="Arial" w:cs="Arial"/>
          <w:sz w:val="20"/>
          <w:szCs w:val="20"/>
        </w:rPr>
        <w:t xml:space="preserve">: </w:t>
      </w:r>
      <w:r w:rsidR="00F437C7" w:rsidRPr="000950FE">
        <w:rPr>
          <w:rFonts w:ascii="Arial" w:hAnsi="Arial" w:cs="Arial"/>
          <w:sz w:val="20"/>
          <w:szCs w:val="20"/>
        </w:rPr>
        <w:t xml:space="preserve">nel 2021 </w:t>
      </w:r>
      <w:r w:rsidRPr="000950FE">
        <w:rPr>
          <w:rFonts w:ascii="Arial" w:hAnsi="Arial" w:cs="Arial"/>
          <w:sz w:val="20"/>
          <w:szCs w:val="20"/>
        </w:rPr>
        <w:t>il peso medio relativo</w:t>
      </w:r>
      <w:r w:rsidR="00823EC8">
        <w:rPr>
          <w:rStyle w:val="Rimandonotaapidipagina"/>
          <w:rFonts w:ascii="Arial" w:hAnsi="Arial" w:cs="Arial"/>
          <w:sz w:val="20"/>
          <w:szCs w:val="20"/>
        </w:rPr>
        <w:footnoteReference w:id="4"/>
      </w:r>
      <w:r w:rsidRPr="000950FE">
        <w:rPr>
          <w:rFonts w:ascii="Arial" w:hAnsi="Arial" w:cs="Arial"/>
          <w:sz w:val="20"/>
          <w:szCs w:val="20"/>
        </w:rPr>
        <w:t xml:space="preserve"> </w:t>
      </w:r>
      <w:r w:rsidR="00F437C7" w:rsidRPr="000950FE">
        <w:rPr>
          <w:rFonts w:ascii="Arial" w:hAnsi="Arial" w:cs="Arial"/>
          <w:sz w:val="20"/>
          <w:szCs w:val="20"/>
        </w:rPr>
        <w:t>è 0,95 per le prime e</w:t>
      </w:r>
      <w:r w:rsidRPr="000950FE">
        <w:rPr>
          <w:rFonts w:ascii="Arial" w:hAnsi="Arial" w:cs="Arial"/>
          <w:sz w:val="20"/>
          <w:szCs w:val="20"/>
        </w:rPr>
        <w:t xml:space="preserve"> 1,29</w:t>
      </w:r>
      <w:r w:rsidR="00F437C7" w:rsidRPr="000950FE">
        <w:rPr>
          <w:rFonts w:ascii="Arial" w:hAnsi="Arial" w:cs="Arial"/>
          <w:sz w:val="20"/>
          <w:szCs w:val="20"/>
        </w:rPr>
        <w:t xml:space="preserve"> per i secondi, mentre le donne rimangono mediamente 6,3 giorni in ospedale, rispetto ai 5,8 g</w:t>
      </w:r>
      <w:r w:rsidRPr="000950FE">
        <w:rPr>
          <w:rFonts w:ascii="Arial" w:hAnsi="Arial" w:cs="Arial"/>
          <w:sz w:val="20"/>
          <w:szCs w:val="20"/>
        </w:rPr>
        <w:t>iorni degli uomini.</w:t>
      </w:r>
    </w:p>
    <w:p w14:paraId="4DABAC1A" w14:textId="7F0162AB" w:rsidR="00630495" w:rsidRPr="000950FE" w:rsidRDefault="004B1BE0">
      <w:pPr>
        <w:pStyle w:val="Default"/>
        <w:spacing w:after="120"/>
        <w:jc w:val="both"/>
        <w:rPr>
          <w:rFonts w:ascii="Arial" w:hAnsi="Arial" w:cs="Arial"/>
          <w:sz w:val="20"/>
          <w:szCs w:val="20"/>
        </w:rPr>
      </w:pPr>
      <w:r w:rsidRPr="000950FE">
        <w:rPr>
          <w:rFonts w:ascii="Arial" w:hAnsi="Arial" w:cs="Arial"/>
          <w:sz w:val="20"/>
          <w:szCs w:val="20"/>
        </w:rPr>
        <w:lastRenderedPageBreak/>
        <w:t>I t</w:t>
      </w:r>
      <w:r w:rsidR="00630495" w:rsidRPr="000950FE">
        <w:rPr>
          <w:rFonts w:ascii="Arial" w:hAnsi="Arial" w:cs="Arial"/>
          <w:sz w:val="20"/>
          <w:szCs w:val="20"/>
        </w:rPr>
        <w:t xml:space="preserve">assi </w:t>
      </w:r>
      <w:r w:rsidRPr="000950FE">
        <w:rPr>
          <w:rFonts w:ascii="Arial" w:hAnsi="Arial" w:cs="Arial"/>
          <w:sz w:val="20"/>
          <w:szCs w:val="20"/>
        </w:rPr>
        <w:t>di ricovero di donne con indicazione di violenza sono p</w:t>
      </w:r>
      <w:r w:rsidR="00630495" w:rsidRPr="000950FE">
        <w:rPr>
          <w:rFonts w:ascii="Arial" w:hAnsi="Arial" w:cs="Arial"/>
          <w:sz w:val="20"/>
          <w:szCs w:val="20"/>
        </w:rPr>
        <w:t xml:space="preserve">iù elevati per le minorenni </w:t>
      </w:r>
      <w:r w:rsidRPr="000950FE">
        <w:rPr>
          <w:rFonts w:ascii="Arial" w:hAnsi="Arial" w:cs="Arial"/>
          <w:sz w:val="20"/>
          <w:szCs w:val="20"/>
        </w:rPr>
        <w:t xml:space="preserve">(0,66 per 10.000 </w:t>
      </w:r>
      <w:r w:rsidR="00630495" w:rsidRPr="000950FE">
        <w:rPr>
          <w:rFonts w:ascii="Arial" w:hAnsi="Arial" w:cs="Arial"/>
          <w:sz w:val="20"/>
          <w:szCs w:val="20"/>
        </w:rPr>
        <w:t>nel 2021</w:t>
      </w:r>
      <w:r w:rsidR="00425A6A" w:rsidRPr="000950FE">
        <w:rPr>
          <w:rFonts w:ascii="Arial" w:hAnsi="Arial" w:cs="Arial"/>
          <w:sz w:val="20"/>
          <w:szCs w:val="20"/>
        </w:rPr>
        <w:t xml:space="preserve">), seguite dalle </w:t>
      </w:r>
      <w:r w:rsidRPr="000950FE">
        <w:rPr>
          <w:rFonts w:ascii="Arial" w:hAnsi="Arial" w:cs="Arial"/>
          <w:sz w:val="20"/>
          <w:szCs w:val="20"/>
        </w:rPr>
        <w:t>giovani di</w:t>
      </w:r>
      <w:r w:rsidR="00630495" w:rsidRPr="000950FE">
        <w:rPr>
          <w:rFonts w:ascii="Arial" w:hAnsi="Arial" w:cs="Arial"/>
          <w:sz w:val="20"/>
          <w:szCs w:val="20"/>
        </w:rPr>
        <w:t xml:space="preserve"> 18-34</w:t>
      </w:r>
      <w:r w:rsidRPr="000950FE">
        <w:rPr>
          <w:rFonts w:ascii="Arial" w:hAnsi="Arial" w:cs="Arial"/>
          <w:sz w:val="20"/>
          <w:szCs w:val="20"/>
        </w:rPr>
        <w:t xml:space="preserve"> anni </w:t>
      </w:r>
      <w:r w:rsidR="00425A6A" w:rsidRPr="000950FE">
        <w:rPr>
          <w:rFonts w:ascii="Arial" w:hAnsi="Arial" w:cs="Arial"/>
          <w:sz w:val="20"/>
          <w:szCs w:val="20"/>
        </w:rPr>
        <w:t>(</w:t>
      </w:r>
      <w:r w:rsidRPr="000950FE">
        <w:rPr>
          <w:rFonts w:ascii="Arial" w:hAnsi="Arial" w:cs="Arial"/>
          <w:sz w:val="20"/>
          <w:szCs w:val="20"/>
        </w:rPr>
        <w:t>0,57)</w:t>
      </w:r>
      <w:r w:rsidR="00630495" w:rsidRPr="000950FE">
        <w:rPr>
          <w:rFonts w:ascii="Arial" w:hAnsi="Arial" w:cs="Arial"/>
          <w:sz w:val="20"/>
          <w:szCs w:val="20"/>
        </w:rPr>
        <w:t xml:space="preserve">, </w:t>
      </w:r>
      <w:r w:rsidR="00425A6A" w:rsidRPr="000950FE">
        <w:rPr>
          <w:rFonts w:ascii="Arial" w:hAnsi="Arial" w:cs="Arial"/>
          <w:sz w:val="20"/>
          <w:szCs w:val="20"/>
        </w:rPr>
        <w:t xml:space="preserve">sono </w:t>
      </w:r>
      <w:r w:rsidRPr="000950FE">
        <w:rPr>
          <w:rFonts w:ascii="Arial" w:hAnsi="Arial" w:cs="Arial"/>
          <w:sz w:val="20"/>
          <w:szCs w:val="20"/>
        </w:rPr>
        <w:t>prossimi alla</w:t>
      </w:r>
      <w:r w:rsidR="00630495" w:rsidRPr="000950FE">
        <w:rPr>
          <w:rFonts w:ascii="Arial" w:hAnsi="Arial" w:cs="Arial"/>
          <w:sz w:val="20"/>
          <w:szCs w:val="20"/>
        </w:rPr>
        <w:t xml:space="preserve"> media </w:t>
      </w:r>
      <w:r w:rsidRPr="000950FE">
        <w:rPr>
          <w:rFonts w:ascii="Arial" w:hAnsi="Arial" w:cs="Arial"/>
          <w:sz w:val="20"/>
          <w:szCs w:val="20"/>
        </w:rPr>
        <w:t xml:space="preserve">per le donne adulte di </w:t>
      </w:r>
      <w:r w:rsidR="00630495" w:rsidRPr="000950FE">
        <w:rPr>
          <w:rFonts w:ascii="Arial" w:hAnsi="Arial" w:cs="Arial"/>
          <w:sz w:val="20"/>
          <w:szCs w:val="20"/>
        </w:rPr>
        <w:t>35-49 anni, più bassi dopo i 50</w:t>
      </w:r>
      <w:r w:rsidRPr="000950FE">
        <w:rPr>
          <w:rFonts w:ascii="Arial" w:hAnsi="Arial" w:cs="Arial"/>
          <w:sz w:val="20"/>
          <w:szCs w:val="20"/>
        </w:rPr>
        <w:t xml:space="preserve"> anni di età (Figura </w:t>
      </w:r>
      <w:r w:rsidR="00FD102E" w:rsidRPr="000950FE">
        <w:rPr>
          <w:rFonts w:ascii="Arial" w:hAnsi="Arial" w:cs="Arial"/>
          <w:sz w:val="20"/>
          <w:szCs w:val="20"/>
        </w:rPr>
        <w:t>8</w:t>
      </w:r>
      <w:r w:rsidRPr="000950FE">
        <w:rPr>
          <w:rFonts w:ascii="Arial" w:hAnsi="Arial" w:cs="Arial"/>
          <w:sz w:val="20"/>
          <w:szCs w:val="20"/>
        </w:rPr>
        <w:t>)</w:t>
      </w:r>
      <w:r w:rsidR="00630495" w:rsidRPr="000950FE">
        <w:rPr>
          <w:rFonts w:ascii="Arial" w:hAnsi="Arial" w:cs="Arial"/>
          <w:sz w:val="20"/>
          <w:szCs w:val="20"/>
        </w:rPr>
        <w:t>.</w:t>
      </w:r>
    </w:p>
    <w:p w14:paraId="4DF632BE" w14:textId="77777777" w:rsidR="00630495" w:rsidRPr="000950FE" w:rsidRDefault="004B1BE0">
      <w:pPr>
        <w:pStyle w:val="Default"/>
        <w:spacing w:after="120"/>
        <w:jc w:val="both"/>
        <w:rPr>
          <w:rFonts w:ascii="Arial" w:hAnsi="Arial" w:cs="Arial"/>
          <w:sz w:val="20"/>
          <w:szCs w:val="20"/>
        </w:rPr>
      </w:pPr>
      <w:r w:rsidRPr="000950FE">
        <w:rPr>
          <w:rFonts w:ascii="Arial" w:hAnsi="Arial" w:cs="Arial"/>
          <w:sz w:val="20"/>
          <w:szCs w:val="20"/>
        </w:rPr>
        <w:t xml:space="preserve">Nel 2020 le difficoltà di accesso alle strutture ospedaliere </w:t>
      </w:r>
      <w:r w:rsidR="004B32D3" w:rsidRPr="000950FE">
        <w:rPr>
          <w:rFonts w:ascii="Arial" w:hAnsi="Arial" w:cs="Arial"/>
          <w:sz w:val="20"/>
          <w:szCs w:val="20"/>
        </w:rPr>
        <w:t xml:space="preserve">per i ricoveri con indicazione di violenza </w:t>
      </w:r>
      <w:r w:rsidRPr="000950FE">
        <w:rPr>
          <w:rFonts w:ascii="Arial" w:hAnsi="Arial" w:cs="Arial"/>
          <w:sz w:val="20"/>
          <w:szCs w:val="20"/>
        </w:rPr>
        <w:t>hanno interessato soprattutto le più giovani</w:t>
      </w:r>
      <w:r w:rsidR="004B32D3" w:rsidRPr="000950FE">
        <w:rPr>
          <w:rFonts w:ascii="Arial" w:hAnsi="Arial" w:cs="Arial"/>
          <w:sz w:val="20"/>
          <w:szCs w:val="20"/>
        </w:rPr>
        <w:t xml:space="preserve"> (fino a 34 anni)</w:t>
      </w:r>
      <w:r w:rsidRPr="000950FE">
        <w:rPr>
          <w:rFonts w:ascii="Arial" w:hAnsi="Arial" w:cs="Arial"/>
          <w:sz w:val="20"/>
          <w:szCs w:val="20"/>
        </w:rPr>
        <w:t>, pertanto il d</w:t>
      </w:r>
      <w:r w:rsidR="00630495" w:rsidRPr="000950FE">
        <w:rPr>
          <w:rFonts w:ascii="Arial" w:hAnsi="Arial" w:cs="Arial"/>
          <w:sz w:val="20"/>
          <w:szCs w:val="20"/>
        </w:rPr>
        <w:t xml:space="preserve">ivario tra classi </w:t>
      </w:r>
      <w:r w:rsidRPr="000950FE">
        <w:rPr>
          <w:rFonts w:ascii="Arial" w:hAnsi="Arial" w:cs="Arial"/>
          <w:sz w:val="20"/>
          <w:szCs w:val="20"/>
        </w:rPr>
        <w:t xml:space="preserve">di età </w:t>
      </w:r>
      <w:r w:rsidR="00630495" w:rsidRPr="000950FE">
        <w:rPr>
          <w:rFonts w:ascii="Arial" w:hAnsi="Arial" w:cs="Arial"/>
          <w:sz w:val="20"/>
          <w:szCs w:val="20"/>
        </w:rPr>
        <w:t xml:space="preserve">si è ridotto </w:t>
      </w:r>
      <w:r w:rsidRPr="000950FE">
        <w:rPr>
          <w:rFonts w:ascii="Arial" w:hAnsi="Arial" w:cs="Arial"/>
          <w:sz w:val="20"/>
          <w:szCs w:val="20"/>
        </w:rPr>
        <w:t>sensibilmente</w:t>
      </w:r>
      <w:r w:rsidR="004B32D3" w:rsidRPr="000950FE">
        <w:rPr>
          <w:rFonts w:ascii="Arial" w:hAnsi="Arial" w:cs="Arial"/>
          <w:sz w:val="20"/>
          <w:szCs w:val="20"/>
        </w:rPr>
        <w:t>. N</w:t>
      </w:r>
      <w:r w:rsidR="00630495" w:rsidRPr="000950FE">
        <w:rPr>
          <w:rFonts w:ascii="Arial" w:hAnsi="Arial" w:cs="Arial"/>
          <w:sz w:val="20"/>
          <w:szCs w:val="20"/>
        </w:rPr>
        <w:t xml:space="preserve">el 2021 </w:t>
      </w:r>
      <w:r w:rsidR="004B32D3" w:rsidRPr="000950FE">
        <w:rPr>
          <w:rFonts w:ascii="Arial" w:hAnsi="Arial" w:cs="Arial"/>
          <w:sz w:val="20"/>
          <w:szCs w:val="20"/>
        </w:rPr>
        <w:t xml:space="preserve">tale divario si osserva nuovamente </w:t>
      </w:r>
      <w:r w:rsidR="00630495" w:rsidRPr="000950FE">
        <w:rPr>
          <w:rFonts w:ascii="Arial" w:hAnsi="Arial" w:cs="Arial"/>
          <w:sz w:val="20"/>
          <w:szCs w:val="20"/>
        </w:rPr>
        <w:t xml:space="preserve">per un aumento più deciso </w:t>
      </w:r>
      <w:r w:rsidR="004B32D3" w:rsidRPr="000950FE">
        <w:rPr>
          <w:rFonts w:ascii="Arial" w:hAnsi="Arial" w:cs="Arial"/>
          <w:sz w:val="20"/>
          <w:szCs w:val="20"/>
        </w:rPr>
        <w:t xml:space="preserve">dei ricoveri </w:t>
      </w:r>
      <w:r w:rsidR="00630495" w:rsidRPr="000950FE">
        <w:rPr>
          <w:rFonts w:ascii="Arial" w:hAnsi="Arial" w:cs="Arial"/>
          <w:sz w:val="20"/>
          <w:szCs w:val="20"/>
        </w:rPr>
        <w:t xml:space="preserve">proprio </w:t>
      </w:r>
      <w:r w:rsidR="004B32D3" w:rsidRPr="000950FE">
        <w:rPr>
          <w:rFonts w:ascii="Arial" w:hAnsi="Arial" w:cs="Arial"/>
          <w:sz w:val="20"/>
          <w:szCs w:val="20"/>
        </w:rPr>
        <w:t xml:space="preserve">tra </w:t>
      </w:r>
      <w:r w:rsidR="00630495" w:rsidRPr="000950FE">
        <w:rPr>
          <w:rFonts w:ascii="Arial" w:hAnsi="Arial" w:cs="Arial"/>
          <w:sz w:val="20"/>
          <w:szCs w:val="20"/>
        </w:rPr>
        <w:t xml:space="preserve">le </w:t>
      </w:r>
      <w:r w:rsidR="004B32D3" w:rsidRPr="000950FE">
        <w:rPr>
          <w:rFonts w:ascii="Arial" w:hAnsi="Arial" w:cs="Arial"/>
          <w:sz w:val="20"/>
          <w:szCs w:val="20"/>
        </w:rPr>
        <w:t xml:space="preserve">donne </w:t>
      </w:r>
      <w:r w:rsidR="00630495" w:rsidRPr="000950FE">
        <w:rPr>
          <w:rFonts w:ascii="Arial" w:hAnsi="Arial" w:cs="Arial"/>
          <w:sz w:val="20"/>
          <w:szCs w:val="20"/>
        </w:rPr>
        <w:t xml:space="preserve">minorenni e </w:t>
      </w:r>
      <w:r w:rsidR="004B32D3" w:rsidRPr="000950FE">
        <w:rPr>
          <w:rFonts w:ascii="Arial" w:hAnsi="Arial" w:cs="Arial"/>
          <w:sz w:val="20"/>
          <w:szCs w:val="20"/>
        </w:rPr>
        <w:t xml:space="preserve">le </w:t>
      </w:r>
      <w:r w:rsidR="00630495" w:rsidRPr="000950FE">
        <w:rPr>
          <w:rFonts w:ascii="Arial" w:hAnsi="Arial" w:cs="Arial"/>
          <w:sz w:val="20"/>
          <w:szCs w:val="20"/>
        </w:rPr>
        <w:t>giovani.</w:t>
      </w:r>
    </w:p>
    <w:p w14:paraId="79057FEE" w14:textId="03BEAFDC" w:rsidR="005750B9" w:rsidRDefault="002146D0">
      <w:pPr>
        <w:pStyle w:val="Default"/>
        <w:spacing w:after="120"/>
        <w:jc w:val="both"/>
        <w:rPr>
          <w:rFonts w:ascii="Arial" w:hAnsi="Arial" w:cs="Arial"/>
          <w:sz w:val="20"/>
          <w:szCs w:val="20"/>
        </w:rPr>
      </w:pPr>
      <w:r w:rsidRPr="000950FE">
        <w:rPr>
          <w:rFonts w:ascii="Arial" w:hAnsi="Arial" w:cs="Arial"/>
          <w:sz w:val="20"/>
          <w:szCs w:val="20"/>
        </w:rPr>
        <w:t>Negli u</w:t>
      </w:r>
      <w:r w:rsidR="00630495" w:rsidRPr="000950FE">
        <w:rPr>
          <w:rFonts w:ascii="Arial" w:hAnsi="Arial" w:cs="Arial"/>
          <w:sz w:val="20"/>
          <w:szCs w:val="20"/>
        </w:rPr>
        <w:t xml:space="preserve">omini </w:t>
      </w:r>
      <w:r w:rsidRPr="000950FE">
        <w:rPr>
          <w:rFonts w:ascii="Arial" w:hAnsi="Arial" w:cs="Arial"/>
          <w:sz w:val="20"/>
          <w:szCs w:val="20"/>
        </w:rPr>
        <w:t xml:space="preserve">il </w:t>
      </w:r>
      <w:r w:rsidR="00630495" w:rsidRPr="000950FE">
        <w:rPr>
          <w:rFonts w:ascii="Arial" w:hAnsi="Arial" w:cs="Arial"/>
          <w:sz w:val="20"/>
          <w:szCs w:val="20"/>
        </w:rPr>
        <w:t xml:space="preserve">fenomeno </w:t>
      </w:r>
      <w:r w:rsidRPr="000950FE">
        <w:rPr>
          <w:rFonts w:ascii="Arial" w:hAnsi="Arial" w:cs="Arial"/>
          <w:sz w:val="20"/>
          <w:szCs w:val="20"/>
        </w:rPr>
        <w:t xml:space="preserve">risulta </w:t>
      </w:r>
      <w:r w:rsidR="00630495" w:rsidRPr="000950FE">
        <w:rPr>
          <w:rFonts w:ascii="Arial" w:hAnsi="Arial" w:cs="Arial"/>
          <w:sz w:val="20"/>
          <w:szCs w:val="20"/>
        </w:rPr>
        <w:t xml:space="preserve">molto concentrato </w:t>
      </w:r>
      <w:r w:rsidRPr="000950FE">
        <w:rPr>
          <w:rFonts w:ascii="Arial" w:hAnsi="Arial" w:cs="Arial"/>
          <w:sz w:val="20"/>
          <w:szCs w:val="20"/>
        </w:rPr>
        <w:t>nella classe 18-34 anni,</w:t>
      </w:r>
      <w:r w:rsidR="000A0994" w:rsidRPr="000950FE">
        <w:rPr>
          <w:rFonts w:ascii="Arial" w:hAnsi="Arial" w:cs="Arial"/>
          <w:sz w:val="20"/>
          <w:szCs w:val="20"/>
        </w:rPr>
        <w:t xml:space="preserve"> </w:t>
      </w:r>
      <w:r w:rsidRPr="000950FE">
        <w:rPr>
          <w:rFonts w:ascii="Arial" w:hAnsi="Arial" w:cs="Arial"/>
          <w:sz w:val="20"/>
          <w:szCs w:val="20"/>
        </w:rPr>
        <w:t xml:space="preserve">con tassi 2,2 volte più elevati della media, </w:t>
      </w:r>
      <w:r w:rsidR="00630495" w:rsidRPr="000950FE">
        <w:rPr>
          <w:rFonts w:ascii="Arial" w:hAnsi="Arial" w:cs="Arial"/>
          <w:sz w:val="20"/>
          <w:szCs w:val="20"/>
        </w:rPr>
        <w:t xml:space="preserve">e valori poco sopra la media </w:t>
      </w:r>
      <w:r w:rsidRPr="000950FE">
        <w:rPr>
          <w:rFonts w:ascii="Arial" w:hAnsi="Arial" w:cs="Arial"/>
          <w:sz w:val="20"/>
          <w:szCs w:val="20"/>
        </w:rPr>
        <w:t>per gli adulti di</w:t>
      </w:r>
      <w:r w:rsidR="00630495" w:rsidRPr="000950FE">
        <w:rPr>
          <w:rFonts w:ascii="Arial" w:hAnsi="Arial" w:cs="Arial"/>
          <w:sz w:val="20"/>
          <w:szCs w:val="20"/>
        </w:rPr>
        <w:t xml:space="preserve"> 35-49 anni.</w:t>
      </w:r>
      <w:r w:rsidR="000A0994" w:rsidRPr="000950FE">
        <w:rPr>
          <w:rFonts w:ascii="Arial" w:hAnsi="Arial" w:cs="Arial"/>
          <w:sz w:val="20"/>
          <w:szCs w:val="20"/>
        </w:rPr>
        <w:t xml:space="preserve"> </w:t>
      </w:r>
    </w:p>
    <w:p w14:paraId="456D3901" w14:textId="77777777" w:rsidR="002C6405" w:rsidRPr="000950FE" w:rsidRDefault="002C6405">
      <w:pPr>
        <w:pStyle w:val="Default"/>
        <w:spacing w:after="120"/>
        <w:jc w:val="both"/>
        <w:rPr>
          <w:rFonts w:ascii="Arial" w:hAnsi="Arial" w:cs="Arial"/>
          <w:sz w:val="20"/>
          <w:szCs w:val="20"/>
        </w:rPr>
      </w:pPr>
    </w:p>
    <w:p w14:paraId="6309D6A7" w14:textId="303964FB" w:rsidR="005750B9" w:rsidRPr="000950FE" w:rsidRDefault="005750B9" w:rsidP="005750B9">
      <w:pPr>
        <w:pStyle w:val="Default"/>
        <w:keepNext/>
        <w:spacing w:after="120"/>
        <w:jc w:val="both"/>
        <w:rPr>
          <w:rFonts w:ascii="Arial Narrow" w:hAnsi="Arial Narrow" w:cs="Arial"/>
          <w:sz w:val="19"/>
          <w:szCs w:val="19"/>
        </w:rPr>
      </w:pPr>
      <w:r w:rsidRPr="00DD1CCC">
        <w:rPr>
          <w:rFonts w:ascii="Arial Narrow" w:hAnsi="Arial Narrow" w:cs="Arial"/>
          <w:b/>
          <w:bCs/>
          <w:iCs/>
          <w:noProof/>
          <w:color w:val="1F4B78"/>
          <w:sz w:val="20"/>
          <w:szCs w:val="20"/>
        </w:rPr>
        <w:t xml:space="preserve">FIGURA </w:t>
      </w:r>
      <w:r w:rsidR="00FD102E" w:rsidRPr="00DD1CCC">
        <w:rPr>
          <w:rFonts w:ascii="Arial Narrow" w:hAnsi="Arial Narrow" w:cs="Arial"/>
          <w:b/>
          <w:bCs/>
          <w:iCs/>
          <w:noProof/>
          <w:color w:val="1F4B78"/>
          <w:sz w:val="20"/>
          <w:szCs w:val="20"/>
        </w:rPr>
        <w:t>8</w:t>
      </w:r>
      <w:r w:rsidRPr="00DD1CCC">
        <w:rPr>
          <w:rFonts w:ascii="Arial Narrow" w:hAnsi="Arial Narrow" w:cs="Arial"/>
          <w:b/>
          <w:bCs/>
          <w:iCs/>
          <w:noProof/>
          <w:color w:val="1F4B78"/>
          <w:sz w:val="20"/>
          <w:szCs w:val="20"/>
        </w:rPr>
        <w:t xml:space="preserve">. </w:t>
      </w:r>
      <w:r w:rsidR="00630495" w:rsidRPr="00DD1CCC">
        <w:rPr>
          <w:rFonts w:ascii="Arial Narrow" w:hAnsi="Arial Narrow" w:cs="Arial"/>
          <w:b/>
          <w:bCs/>
          <w:iCs/>
          <w:noProof/>
          <w:color w:val="1F4B78"/>
          <w:sz w:val="20"/>
          <w:szCs w:val="20"/>
        </w:rPr>
        <w:t>DIMISSIONI OSPEDALIERE IN REGIME ORDINARIO CON INDICAZIONE DI VIOLENZA PER SESSO E CLASSI DI ETA'.</w:t>
      </w:r>
      <w:r w:rsidRPr="00322050">
        <w:rPr>
          <w:rFonts w:ascii="Arial" w:hAnsi="Arial" w:cs="Arial"/>
          <w:b/>
          <w:bCs/>
          <w:color w:val="44546A" w:themeColor="text2"/>
          <w:sz w:val="20"/>
          <w:szCs w:val="20"/>
        </w:rPr>
        <w:t xml:space="preserve"> </w:t>
      </w:r>
      <w:r w:rsidR="00630495" w:rsidRPr="00322050">
        <w:rPr>
          <w:rFonts w:ascii="Arial Narrow" w:hAnsi="Arial Narrow" w:cs="Arial"/>
          <w:bCs/>
          <w:color w:val="1F3864" w:themeColor="accent5" w:themeShade="80"/>
          <w:sz w:val="19"/>
          <w:szCs w:val="19"/>
        </w:rPr>
        <w:t>Anni 2017-2021</w:t>
      </w:r>
      <w:r w:rsidRPr="00322050">
        <w:rPr>
          <w:rFonts w:ascii="Arial Narrow" w:hAnsi="Arial Narrow" w:cs="Arial"/>
          <w:bCs/>
          <w:color w:val="1F3864" w:themeColor="accent5" w:themeShade="80"/>
          <w:sz w:val="19"/>
          <w:szCs w:val="19"/>
        </w:rPr>
        <w:t>, tassi per 1</w:t>
      </w:r>
      <w:r w:rsidR="00630495" w:rsidRPr="00322050">
        <w:rPr>
          <w:rFonts w:ascii="Arial Narrow" w:hAnsi="Arial Narrow" w:cs="Arial"/>
          <w:bCs/>
          <w:color w:val="1F3864" w:themeColor="accent5" w:themeShade="80"/>
          <w:sz w:val="19"/>
          <w:szCs w:val="19"/>
        </w:rPr>
        <w:t>0</w:t>
      </w:r>
      <w:r w:rsidRPr="00322050">
        <w:rPr>
          <w:rFonts w:ascii="Arial Narrow" w:hAnsi="Arial Narrow" w:cs="Arial"/>
          <w:bCs/>
          <w:color w:val="1F3864" w:themeColor="accent5" w:themeShade="80"/>
          <w:sz w:val="19"/>
          <w:szCs w:val="19"/>
        </w:rPr>
        <w:t>.000 residenti</w:t>
      </w:r>
    </w:p>
    <w:tbl>
      <w:tblPr>
        <w:tblStyle w:val="Grigliatabel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970"/>
        <w:gridCol w:w="4790"/>
      </w:tblGrid>
      <w:tr w:rsidR="006C737B" w14:paraId="2552241F" w14:textId="77777777" w:rsidTr="004B1EE6">
        <w:tc>
          <w:tcPr>
            <w:tcW w:w="4793" w:type="dxa"/>
          </w:tcPr>
          <w:p w14:paraId="14CDC2EE" w14:textId="77777777" w:rsidR="006C737B" w:rsidRDefault="006C737B" w:rsidP="006C737B">
            <w:pPr>
              <w:pStyle w:val="Default"/>
              <w:keepNext/>
              <w:spacing w:after="120"/>
              <w:jc w:val="both"/>
              <w:rPr>
                <w:rFonts w:ascii="Arial Narrow" w:hAnsi="Arial Narrow" w:cs="Arial"/>
                <w:sz w:val="19"/>
                <w:szCs w:val="19"/>
              </w:rPr>
            </w:pPr>
            <w:r>
              <w:rPr>
                <w:noProof/>
              </w:rPr>
              <w:drawing>
                <wp:inline distT="0" distB="0" distL="0" distR="0" wp14:anchorId="5B407487" wp14:editId="4D29933D">
                  <wp:extent cx="3057897" cy="2159635"/>
                  <wp:effectExtent l="0" t="0" r="9525" b="12065"/>
                  <wp:docPr id="29" name="Grafico 2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705" w:type="dxa"/>
          </w:tcPr>
          <w:p w14:paraId="34BBD7CA" w14:textId="77777777" w:rsidR="006C737B" w:rsidRDefault="006C737B" w:rsidP="006C737B">
            <w:pPr>
              <w:pStyle w:val="Default"/>
              <w:keepNext/>
              <w:spacing w:after="120"/>
              <w:jc w:val="both"/>
              <w:rPr>
                <w:rFonts w:ascii="Arial Narrow" w:hAnsi="Arial Narrow" w:cs="Arial"/>
                <w:sz w:val="19"/>
                <w:szCs w:val="19"/>
              </w:rPr>
            </w:pPr>
            <w:r>
              <w:rPr>
                <w:noProof/>
              </w:rPr>
              <w:drawing>
                <wp:inline distT="0" distB="0" distL="0" distR="0" wp14:anchorId="2A4F7AE6" wp14:editId="76605E82">
                  <wp:extent cx="2950845" cy="2159635"/>
                  <wp:effectExtent l="0" t="0" r="1905" b="12065"/>
                  <wp:docPr id="30" name="Grafico 30">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63351224" w14:textId="451E8CC4" w:rsidR="006A32E2" w:rsidRPr="000950FE" w:rsidRDefault="0001405A" w:rsidP="0049642E">
      <w:pPr>
        <w:pStyle w:val="Default"/>
        <w:spacing w:after="120"/>
        <w:jc w:val="both"/>
        <w:rPr>
          <w:rFonts w:ascii="Arial" w:eastAsiaTheme="minorHAnsi" w:hAnsi="Arial" w:cs="Arial"/>
          <w:color w:val="000000" w:themeColor="text1"/>
          <w:sz w:val="16"/>
          <w:szCs w:val="16"/>
          <w:lang w:eastAsia="en-US"/>
        </w:rPr>
      </w:pPr>
      <w:r w:rsidRPr="000950FE">
        <w:rPr>
          <w:rFonts w:ascii="Arial" w:eastAsiaTheme="minorHAnsi" w:hAnsi="Arial" w:cs="Arial"/>
          <w:color w:val="000000" w:themeColor="text1"/>
          <w:sz w:val="16"/>
          <w:szCs w:val="16"/>
          <w:lang w:eastAsia="en-US"/>
        </w:rPr>
        <w:t xml:space="preserve">Fonte: </w:t>
      </w:r>
      <w:r w:rsidRPr="00DD1CCC">
        <w:rPr>
          <w:rFonts w:ascii="Arial" w:eastAsiaTheme="minorHAnsi" w:hAnsi="Arial" w:cs="Arial"/>
          <w:color w:val="000000" w:themeColor="text1"/>
          <w:sz w:val="15"/>
          <w:szCs w:val="15"/>
          <w:lang w:eastAsia="en-US"/>
        </w:rPr>
        <w:t>Elaborazioni</w:t>
      </w:r>
      <w:r w:rsidRPr="000950FE">
        <w:rPr>
          <w:rFonts w:ascii="Arial" w:eastAsiaTheme="minorHAnsi" w:hAnsi="Arial" w:cs="Arial"/>
          <w:color w:val="000000" w:themeColor="text1"/>
          <w:sz w:val="16"/>
          <w:szCs w:val="16"/>
          <w:lang w:eastAsia="en-US"/>
        </w:rPr>
        <w:t xml:space="preserve"> Istat su dati Scheda dimissione ospedaliera (SDO)</w:t>
      </w:r>
    </w:p>
    <w:p w14:paraId="400B23CE" w14:textId="77777777" w:rsidR="0001405A" w:rsidRPr="000950FE" w:rsidRDefault="0001405A" w:rsidP="0049642E">
      <w:pPr>
        <w:pStyle w:val="Default"/>
        <w:spacing w:after="120"/>
        <w:jc w:val="both"/>
        <w:rPr>
          <w:rFonts w:ascii="Arial" w:eastAsiaTheme="minorHAnsi" w:hAnsi="Arial" w:cs="Arial"/>
          <w:b/>
          <w:bCs/>
          <w:color w:val="44546A" w:themeColor="text2"/>
          <w:sz w:val="22"/>
          <w:szCs w:val="22"/>
          <w:lang w:eastAsia="en-US"/>
        </w:rPr>
      </w:pPr>
    </w:p>
    <w:p w14:paraId="0605E0F9" w14:textId="19034158" w:rsidR="001668A6" w:rsidRPr="000950FE" w:rsidRDefault="00451797" w:rsidP="001668A6">
      <w:pPr>
        <w:pStyle w:val="Default"/>
        <w:spacing w:after="120"/>
        <w:jc w:val="both"/>
        <w:rPr>
          <w:rFonts w:ascii="Arial" w:eastAsiaTheme="minorHAnsi" w:hAnsi="Arial" w:cs="Arial"/>
          <w:b/>
          <w:bCs/>
          <w:color w:val="44546A" w:themeColor="text2"/>
          <w:sz w:val="22"/>
          <w:szCs w:val="22"/>
          <w:lang w:eastAsia="en-US"/>
        </w:rPr>
      </w:pPr>
      <w:bookmarkStart w:id="1" w:name="_Hlk131424493"/>
      <w:r w:rsidRPr="000950FE">
        <w:rPr>
          <w:rFonts w:ascii="Arial" w:eastAsiaTheme="minorHAnsi" w:hAnsi="Arial" w:cs="Arial"/>
          <w:b/>
          <w:bCs/>
          <w:color w:val="44546A" w:themeColor="text2"/>
          <w:sz w:val="22"/>
          <w:szCs w:val="22"/>
          <w:lang w:eastAsia="en-US"/>
        </w:rPr>
        <w:t xml:space="preserve">Elevata variabilità </w:t>
      </w:r>
      <w:r w:rsidR="003127B9" w:rsidRPr="000950FE">
        <w:rPr>
          <w:rFonts w:ascii="Arial" w:eastAsiaTheme="minorHAnsi" w:hAnsi="Arial" w:cs="Arial"/>
          <w:b/>
          <w:bCs/>
          <w:color w:val="44546A" w:themeColor="text2"/>
          <w:sz w:val="22"/>
          <w:szCs w:val="22"/>
          <w:lang w:eastAsia="en-US"/>
        </w:rPr>
        <w:t xml:space="preserve">dei ricoveri per violenza </w:t>
      </w:r>
      <w:r w:rsidRPr="000950FE">
        <w:rPr>
          <w:rFonts w:ascii="Arial" w:eastAsiaTheme="minorHAnsi" w:hAnsi="Arial" w:cs="Arial"/>
          <w:b/>
          <w:bCs/>
          <w:color w:val="44546A" w:themeColor="text2"/>
          <w:sz w:val="22"/>
          <w:szCs w:val="22"/>
          <w:lang w:eastAsia="en-US"/>
        </w:rPr>
        <w:t>nelle regioni</w:t>
      </w:r>
    </w:p>
    <w:p w14:paraId="2A946788" w14:textId="0209D52C" w:rsidR="007621DB" w:rsidRPr="000950FE" w:rsidRDefault="00A5282A" w:rsidP="001668A6">
      <w:pPr>
        <w:pStyle w:val="Default"/>
        <w:spacing w:after="120"/>
        <w:jc w:val="both"/>
        <w:rPr>
          <w:rFonts w:ascii="Arial" w:hAnsi="Arial" w:cs="Arial"/>
          <w:sz w:val="20"/>
          <w:szCs w:val="20"/>
        </w:rPr>
      </w:pPr>
      <w:r w:rsidRPr="000950FE">
        <w:rPr>
          <w:rFonts w:ascii="Arial" w:hAnsi="Arial" w:cs="Arial"/>
          <w:sz w:val="20"/>
          <w:szCs w:val="20"/>
        </w:rPr>
        <w:t>I</w:t>
      </w:r>
      <w:r w:rsidR="001668A6" w:rsidRPr="000950FE">
        <w:rPr>
          <w:rFonts w:ascii="Arial" w:hAnsi="Arial" w:cs="Arial"/>
          <w:sz w:val="20"/>
          <w:szCs w:val="20"/>
        </w:rPr>
        <w:t xml:space="preserve"> ricoveri con indicazione di violenza</w:t>
      </w:r>
      <w:r w:rsidRPr="000950FE">
        <w:rPr>
          <w:rFonts w:ascii="Arial" w:hAnsi="Arial" w:cs="Arial"/>
          <w:sz w:val="20"/>
          <w:szCs w:val="20"/>
        </w:rPr>
        <w:t xml:space="preserve"> presentano</w:t>
      </w:r>
      <w:r w:rsidR="007621DB" w:rsidRPr="000950FE">
        <w:rPr>
          <w:rFonts w:ascii="Arial" w:hAnsi="Arial" w:cs="Arial"/>
          <w:sz w:val="20"/>
          <w:szCs w:val="20"/>
        </w:rPr>
        <w:t xml:space="preserve"> una spiccata variabilità regionale in entrambi i generi</w:t>
      </w:r>
      <w:r w:rsidR="008041B3" w:rsidRPr="000950FE">
        <w:rPr>
          <w:rStyle w:val="Rimandonotaapidipagina"/>
          <w:rFonts w:ascii="Arial" w:hAnsi="Arial" w:cs="Arial"/>
          <w:sz w:val="20"/>
          <w:szCs w:val="20"/>
        </w:rPr>
        <w:footnoteReference w:id="5"/>
      </w:r>
      <w:r w:rsidR="007621DB" w:rsidRPr="000950FE">
        <w:rPr>
          <w:rFonts w:ascii="Arial" w:hAnsi="Arial" w:cs="Arial"/>
          <w:sz w:val="20"/>
          <w:szCs w:val="20"/>
        </w:rPr>
        <w:t>. Tra le donne tale variabilità è aumentata nel biennio della pandemia, in conseguenza di una riduzione di questa tipologia di ricoveri più forte al Sud</w:t>
      </w:r>
      <w:r w:rsidR="00DF0180" w:rsidRPr="000950FE">
        <w:rPr>
          <w:rFonts w:ascii="Arial" w:hAnsi="Arial" w:cs="Arial"/>
          <w:sz w:val="20"/>
          <w:szCs w:val="20"/>
        </w:rPr>
        <w:t>: il tasso di ricovero per 10.000 donne residenti è passato da 0,37 nel triennio 2017-2019 a 0,23 nel 2020-2021 (-38,6%), rispetto ad una diminuzione a livello nazionale da 0,46 a 0,35 (-25,5%)</w:t>
      </w:r>
      <w:r w:rsidR="007621DB" w:rsidRPr="000950FE">
        <w:rPr>
          <w:rFonts w:ascii="Arial" w:hAnsi="Arial" w:cs="Arial"/>
          <w:sz w:val="20"/>
          <w:szCs w:val="20"/>
        </w:rPr>
        <w:t>.</w:t>
      </w:r>
    </w:p>
    <w:p w14:paraId="1A54934B" w14:textId="70707B04" w:rsidR="00B32122" w:rsidRDefault="00854352" w:rsidP="001668A6">
      <w:pPr>
        <w:pStyle w:val="Default"/>
        <w:spacing w:after="120"/>
        <w:jc w:val="both"/>
        <w:rPr>
          <w:rFonts w:ascii="Arial" w:hAnsi="Arial" w:cs="Arial"/>
          <w:sz w:val="20"/>
          <w:szCs w:val="20"/>
        </w:rPr>
      </w:pPr>
      <w:r w:rsidRPr="000950FE">
        <w:rPr>
          <w:rFonts w:ascii="Arial" w:hAnsi="Arial" w:cs="Arial"/>
          <w:sz w:val="20"/>
          <w:szCs w:val="20"/>
        </w:rPr>
        <w:t xml:space="preserve">Nelle regioni i ricoveri femminili con indicazione di violenza variano nel 2020-2021 da 7,0 per 10.000 ricoveri in Valle d’Aosta, 6,5 nella </w:t>
      </w:r>
      <w:r w:rsidR="008041B3" w:rsidRPr="000950FE">
        <w:rPr>
          <w:rFonts w:ascii="Arial" w:hAnsi="Arial" w:cs="Arial"/>
          <w:sz w:val="20"/>
          <w:szCs w:val="20"/>
        </w:rPr>
        <w:t xml:space="preserve">Provincia </w:t>
      </w:r>
      <w:r w:rsidR="00C1345D">
        <w:rPr>
          <w:rFonts w:ascii="Arial" w:hAnsi="Arial" w:cs="Arial"/>
          <w:sz w:val="20"/>
          <w:szCs w:val="20"/>
        </w:rPr>
        <w:t>a</w:t>
      </w:r>
      <w:r w:rsidR="008041B3" w:rsidRPr="000950FE">
        <w:rPr>
          <w:rFonts w:ascii="Arial" w:hAnsi="Arial" w:cs="Arial"/>
          <w:sz w:val="20"/>
          <w:szCs w:val="20"/>
        </w:rPr>
        <w:t>utonoma</w:t>
      </w:r>
      <w:r w:rsidRPr="000950FE">
        <w:rPr>
          <w:rFonts w:ascii="Arial" w:hAnsi="Arial" w:cs="Arial"/>
          <w:sz w:val="20"/>
          <w:szCs w:val="20"/>
        </w:rPr>
        <w:t xml:space="preserve"> di Bolzano, 5,6 in Lombardia e nel Lazio</w:t>
      </w:r>
      <w:r w:rsidR="008A7005">
        <w:rPr>
          <w:rFonts w:ascii="Arial" w:hAnsi="Arial" w:cs="Arial"/>
          <w:sz w:val="20"/>
          <w:szCs w:val="20"/>
        </w:rPr>
        <w:t>,</w:t>
      </w:r>
      <w:r w:rsidRPr="000950FE">
        <w:rPr>
          <w:rFonts w:ascii="Arial" w:hAnsi="Arial" w:cs="Arial"/>
          <w:sz w:val="20"/>
          <w:szCs w:val="20"/>
        </w:rPr>
        <w:t xml:space="preserve"> a valori molto bassi in Abruzzo (2,1)</w:t>
      </w:r>
      <w:r w:rsidR="006532C9" w:rsidRPr="000950FE">
        <w:rPr>
          <w:rFonts w:ascii="Arial" w:hAnsi="Arial" w:cs="Arial"/>
          <w:sz w:val="20"/>
          <w:szCs w:val="20"/>
        </w:rPr>
        <w:t>,</w:t>
      </w:r>
      <w:r w:rsidRPr="000950FE">
        <w:rPr>
          <w:rFonts w:ascii="Arial" w:hAnsi="Arial" w:cs="Arial"/>
          <w:sz w:val="20"/>
          <w:szCs w:val="20"/>
        </w:rPr>
        <w:t xml:space="preserve"> P</w:t>
      </w:r>
      <w:r w:rsidR="008041B3" w:rsidRPr="000950FE">
        <w:rPr>
          <w:rFonts w:ascii="Arial" w:hAnsi="Arial" w:cs="Arial"/>
          <w:sz w:val="20"/>
          <w:szCs w:val="20"/>
        </w:rPr>
        <w:t xml:space="preserve">rovincia </w:t>
      </w:r>
      <w:r w:rsidR="006532C9" w:rsidRPr="000950FE">
        <w:rPr>
          <w:rFonts w:ascii="Arial" w:hAnsi="Arial" w:cs="Arial"/>
          <w:sz w:val="20"/>
          <w:szCs w:val="20"/>
        </w:rPr>
        <w:t>a</w:t>
      </w:r>
      <w:r w:rsidR="008041B3" w:rsidRPr="000950FE">
        <w:rPr>
          <w:rFonts w:ascii="Arial" w:hAnsi="Arial" w:cs="Arial"/>
          <w:sz w:val="20"/>
          <w:szCs w:val="20"/>
        </w:rPr>
        <w:t>utonoma</w:t>
      </w:r>
      <w:r w:rsidRPr="000950FE">
        <w:rPr>
          <w:rFonts w:ascii="Arial" w:hAnsi="Arial" w:cs="Arial"/>
          <w:sz w:val="20"/>
          <w:szCs w:val="20"/>
        </w:rPr>
        <w:t xml:space="preserve"> di Trento (1,5)</w:t>
      </w:r>
      <w:r w:rsidR="006532C9" w:rsidRPr="000950FE">
        <w:rPr>
          <w:rFonts w:ascii="Arial" w:hAnsi="Arial" w:cs="Arial"/>
          <w:sz w:val="20"/>
          <w:szCs w:val="20"/>
        </w:rPr>
        <w:t xml:space="preserve"> e Molise (0,4)</w:t>
      </w:r>
      <w:r w:rsidR="008041B3" w:rsidRPr="000950FE">
        <w:rPr>
          <w:rFonts w:ascii="Arial" w:hAnsi="Arial" w:cs="Arial"/>
          <w:sz w:val="20"/>
          <w:szCs w:val="20"/>
        </w:rPr>
        <w:t>.</w:t>
      </w:r>
      <w:r w:rsidR="003A5FA8" w:rsidRPr="000950FE">
        <w:rPr>
          <w:rFonts w:ascii="Arial" w:hAnsi="Arial" w:cs="Arial"/>
          <w:sz w:val="20"/>
          <w:szCs w:val="20"/>
        </w:rPr>
        <w:t xml:space="preserve"> </w:t>
      </w:r>
      <w:r w:rsidRPr="000950FE">
        <w:rPr>
          <w:rFonts w:ascii="Arial" w:hAnsi="Arial" w:cs="Arial"/>
          <w:sz w:val="20"/>
          <w:szCs w:val="20"/>
        </w:rPr>
        <w:t xml:space="preserve">Rispetto alle donne residenti, i tassi passano da </w:t>
      </w:r>
      <w:r w:rsidR="00830C5B" w:rsidRPr="000950FE">
        <w:rPr>
          <w:rFonts w:ascii="Arial" w:hAnsi="Arial" w:cs="Arial"/>
          <w:sz w:val="20"/>
          <w:szCs w:val="20"/>
        </w:rPr>
        <w:t xml:space="preserve">0,61 in Lombardia, 0,58 in Friuli Venezia Giulia, 0,47 nel Lazio, a valori prossimi o inferiori a 0,2 nella </w:t>
      </w:r>
      <w:r w:rsidR="008041B3" w:rsidRPr="000950FE">
        <w:rPr>
          <w:rFonts w:ascii="Arial" w:hAnsi="Arial" w:cs="Arial"/>
          <w:sz w:val="20"/>
          <w:szCs w:val="20"/>
        </w:rPr>
        <w:t xml:space="preserve">Provincia </w:t>
      </w:r>
      <w:r w:rsidR="006532C9" w:rsidRPr="000950FE">
        <w:rPr>
          <w:rFonts w:ascii="Arial" w:hAnsi="Arial" w:cs="Arial"/>
          <w:sz w:val="20"/>
          <w:szCs w:val="20"/>
        </w:rPr>
        <w:t xml:space="preserve">autonoma </w:t>
      </w:r>
      <w:r w:rsidR="00830C5B" w:rsidRPr="000950FE">
        <w:rPr>
          <w:rFonts w:ascii="Arial" w:hAnsi="Arial" w:cs="Arial"/>
          <w:sz w:val="20"/>
          <w:szCs w:val="20"/>
        </w:rPr>
        <w:t>di Bolzano, nelle Marche, in Abruzzo</w:t>
      </w:r>
      <w:r w:rsidR="006532C9" w:rsidRPr="000950FE">
        <w:rPr>
          <w:rFonts w:ascii="Arial" w:hAnsi="Arial" w:cs="Arial"/>
          <w:sz w:val="20"/>
          <w:szCs w:val="20"/>
        </w:rPr>
        <w:t>, in Molise</w:t>
      </w:r>
      <w:r w:rsidR="00830C5B" w:rsidRPr="000950FE">
        <w:rPr>
          <w:rFonts w:ascii="Arial" w:hAnsi="Arial" w:cs="Arial"/>
          <w:sz w:val="20"/>
          <w:szCs w:val="20"/>
        </w:rPr>
        <w:t xml:space="preserve"> e in Sicilia. Il divario di genere risulta tendenzialmente più elevato nelle regioni del Sud</w:t>
      </w:r>
      <w:r w:rsidR="00C1345D">
        <w:rPr>
          <w:rFonts w:ascii="Arial" w:hAnsi="Arial" w:cs="Arial"/>
          <w:sz w:val="20"/>
          <w:szCs w:val="20"/>
        </w:rPr>
        <w:t>,</w:t>
      </w:r>
      <w:r w:rsidR="00830C5B" w:rsidRPr="000950FE">
        <w:rPr>
          <w:rFonts w:ascii="Arial" w:hAnsi="Arial" w:cs="Arial"/>
          <w:sz w:val="20"/>
          <w:szCs w:val="20"/>
        </w:rPr>
        <w:t xml:space="preserve"> nelle Marche e nel Lazio al Centro</w:t>
      </w:r>
      <w:r w:rsidR="00C01B58" w:rsidRPr="000950FE">
        <w:rPr>
          <w:rFonts w:ascii="Arial" w:hAnsi="Arial" w:cs="Arial"/>
          <w:sz w:val="20"/>
          <w:szCs w:val="20"/>
        </w:rPr>
        <w:t xml:space="preserve"> (Tabella 3)</w:t>
      </w:r>
      <w:r w:rsidR="00830C5B" w:rsidRPr="000950FE">
        <w:rPr>
          <w:rFonts w:ascii="Arial" w:hAnsi="Arial" w:cs="Arial"/>
          <w:sz w:val="20"/>
          <w:szCs w:val="20"/>
        </w:rPr>
        <w:t>.</w:t>
      </w:r>
      <w:bookmarkEnd w:id="1"/>
      <w:r w:rsidR="00830C5B" w:rsidRPr="000950FE">
        <w:rPr>
          <w:rFonts w:ascii="Arial" w:hAnsi="Arial" w:cs="Arial"/>
          <w:sz w:val="20"/>
          <w:szCs w:val="20"/>
        </w:rPr>
        <w:t xml:space="preserve"> </w:t>
      </w:r>
      <w:r w:rsidR="00B32122">
        <w:rPr>
          <w:rFonts w:ascii="Arial" w:hAnsi="Arial" w:cs="Arial"/>
          <w:sz w:val="20"/>
          <w:szCs w:val="20"/>
        </w:rPr>
        <w:br w:type="page"/>
      </w:r>
    </w:p>
    <w:p w14:paraId="43705B75" w14:textId="77777777" w:rsidR="00854352" w:rsidRPr="000950FE" w:rsidRDefault="00854352" w:rsidP="001668A6">
      <w:pPr>
        <w:pStyle w:val="Default"/>
        <w:spacing w:after="120"/>
        <w:jc w:val="both"/>
        <w:rPr>
          <w:rFonts w:ascii="Arial" w:hAnsi="Arial" w:cs="Arial"/>
          <w:sz w:val="20"/>
          <w:szCs w:val="20"/>
        </w:rPr>
      </w:pPr>
    </w:p>
    <w:p w14:paraId="76603224" w14:textId="054B0612" w:rsidR="006C737B" w:rsidRPr="000950FE" w:rsidRDefault="001668A6" w:rsidP="001668A6">
      <w:pPr>
        <w:keepNext/>
        <w:spacing w:after="120" w:line="240" w:lineRule="auto"/>
        <w:jc w:val="both"/>
        <w:rPr>
          <w:rFonts w:ascii="Arial Narrow" w:hAnsi="Arial Narrow" w:cs="Arial"/>
          <w:bCs/>
          <w:sz w:val="19"/>
          <w:szCs w:val="19"/>
        </w:rPr>
      </w:pPr>
      <w:r w:rsidRPr="00DD1CCC">
        <w:rPr>
          <w:rFonts w:ascii="Arial Narrow" w:eastAsia="Times New Roman" w:hAnsi="Arial Narrow" w:cs="Arial"/>
          <w:b/>
          <w:bCs/>
          <w:iCs/>
          <w:noProof/>
          <w:color w:val="1F4B78"/>
          <w:sz w:val="20"/>
          <w:szCs w:val="20"/>
          <w:lang w:eastAsia="it-IT"/>
        </w:rPr>
        <w:t xml:space="preserve">TABELLA </w:t>
      </w:r>
      <w:r w:rsidR="00FD102E" w:rsidRPr="00DD1CCC">
        <w:rPr>
          <w:rFonts w:ascii="Arial Narrow" w:eastAsia="Times New Roman" w:hAnsi="Arial Narrow" w:cs="Arial"/>
          <w:b/>
          <w:bCs/>
          <w:iCs/>
          <w:noProof/>
          <w:color w:val="1F4B78"/>
          <w:sz w:val="20"/>
          <w:szCs w:val="20"/>
          <w:lang w:eastAsia="it-IT"/>
        </w:rPr>
        <w:t>3</w:t>
      </w:r>
      <w:r w:rsidRPr="00DD1CCC">
        <w:rPr>
          <w:rFonts w:ascii="Arial Narrow" w:eastAsia="Times New Roman" w:hAnsi="Arial Narrow" w:cs="Arial"/>
          <w:b/>
          <w:bCs/>
          <w:iCs/>
          <w:noProof/>
          <w:color w:val="1F4B78"/>
          <w:sz w:val="20"/>
          <w:szCs w:val="20"/>
          <w:lang w:eastAsia="it-IT"/>
        </w:rPr>
        <w:t xml:space="preserve">. DIMISSIONI OSPEDALIERE IN REGIME ORDINARIO CON INDICAZIONE DI VIOLENZA PER REGIONE E SESSO. </w:t>
      </w:r>
      <w:r w:rsidRPr="00DD1CCC">
        <w:rPr>
          <w:rFonts w:ascii="Arial Narrow" w:eastAsia="Times New Roman" w:hAnsi="Arial Narrow" w:cs="Arial"/>
          <w:bCs/>
          <w:color w:val="1F3864" w:themeColor="accent5" w:themeShade="80"/>
          <w:sz w:val="19"/>
          <w:szCs w:val="19"/>
          <w:lang w:eastAsia="it-IT"/>
        </w:rPr>
        <w:t>Anni 2017-2019, 2020-2021</w:t>
      </w:r>
      <w:r w:rsidR="003E6D7A">
        <w:rPr>
          <w:rFonts w:ascii="Arial Narrow" w:eastAsia="Times New Roman" w:hAnsi="Arial Narrow" w:cs="Arial"/>
          <w:bCs/>
          <w:color w:val="1F3864" w:themeColor="accent5" w:themeShade="80"/>
          <w:sz w:val="19"/>
          <w:szCs w:val="19"/>
          <w:lang w:eastAsia="it-IT"/>
        </w:rPr>
        <w:t xml:space="preserve">, </w:t>
      </w:r>
      <w:r w:rsidRPr="00DD1CCC">
        <w:rPr>
          <w:rFonts w:ascii="Arial Narrow" w:eastAsia="Times New Roman" w:hAnsi="Arial Narrow" w:cs="Arial"/>
          <w:bCs/>
          <w:color w:val="1F3864" w:themeColor="accent5" w:themeShade="80"/>
          <w:sz w:val="19"/>
          <w:szCs w:val="19"/>
          <w:lang w:eastAsia="it-IT"/>
        </w:rPr>
        <w:t>valori per 10.000 ricoveri totali e tassi per 10.000 residenti</w:t>
      </w:r>
      <w:r w:rsidR="003E6D7A">
        <w:rPr>
          <w:rFonts w:ascii="Arial Narrow" w:eastAsia="Times New Roman" w:hAnsi="Arial Narrow" w:cs="Arial"/>
          <w:bCs/>
          <w:color w:val="1F3864" w:themeColor="accent5" w:themeShade="80"/>
          <w:sz w:val="19"/>
          <w:szCs w:val="19"/>
          <w:lang w:eastAsia="it-IT"/>
        </w:rPr>
        <w:t>.</w:t>
      </w:r>
    </w:p>
    <w:tbl>
      <w:tblPr>
        <w:tblW w:w="9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7"/>
        <w:gridCol w:w="917"/>
        <w:gridCol w:w="917"/>
        <w:gridCol w:w="918"/>
        <w:gridCol w:w="958"/>
        <w:gridCol w:w="200"/>
        <w:gridCol w:w="989"/>
        <w:gridCol w:w="918"/>
        <w:gridCol w:w="917"/>
        <w:gridCol w:w="918"/>
      </w:tblGrid>
      <w:tr w:rsidR="006C737B" w:rsidRPr="00D96FFB" w14:paraId="11D7591C" w14:textId="77777777" w:rsidTr="00C01B58">
        <w:trPr>
          <w:trHeight w:val="255"/>
        </w:trPr>
        <w:tc>
          <w:tcPr>
            <w:tcW w:w="1987" w:type="dxa"/>
            <w:vMerge w:val="restart"/>
            <w:tcBorders>
              <w:top w:val="single" w:sz="4" w:space="0" w:color="FFFFFF" w:themeColor="background1"/>
              <w:bottom w:val="single" w:sz="4" w:space="0" w:color="FFFFFF" w:themeColor="background1"/>
            </w:tcBorders>
            <w:shd w:val="clear" w:color="000000" w:fill="1F4E78"/>
            <w:vAlign w:val="center"/>
            <w:hideMark/>
          </w:tcPr>
          <w:p w14:paraId="63708828" w14:textId="77777777" w:rsidR="006C737B" w:rsidRPr="00DD1CCC" w:rsidRDefault="006C737B">
            <w:pPr>
              <w:spacing w:before="40" w:after="20" w:line="240" w:lineRule="auto"/>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REGIONI</w:t>
            </w:r>
          </w:p>
        </w:tc>
        <w:tc>
          <w:tcPr>
            <w:tcW w:w="3710" w:type="dxa"/>
            <w:gridSpan w:val="4"/>
            <w:tcBorders>
              <w:top w:val="single" w:sz="4" w:space="0" w:color="FFFFFF" w:themeColor="background1"/>
              <w:bottom w:val="single" w:sz="4" w:space="0" w:color="FFFFFF" w:themeColor="background1"/>
            </w:tcBorders>
            <w:shd w:val="clear" w:color="000000" w:fill="1F4E78"/>
            <w:vAlign w:val="center"/>
            <w:hideMark/>
          </w:tcPr>
          <w:p w14:paraId="6F2441B7" w14:textId="77777777" w:rsidR="006C737B" w:rsidRPr="00DD1CCC" w:rsidRDefault="006C737B">
            <w:pPr>
              <w:spacing w:before="40" w:after="20" w:line="240" w:lineRule="auto"/>
              <w:jc w:val="center"/>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FEMMINE</w:t>
            </w:r>
          </w:p>
        </w:tc>
        <w:tc>
          <w:tcPr>
            <w:tcW w:w="200" w:type="dxa"/>
            <w:tcBorders>
              <w:top w:val="single" w:sz="4" w:space="0" w:color="FFFFFF" w:themeColor="background1"/>
              <w:bottom w:val="single" w:sz="4" w:space="0" w:color="FFFFFF" w:themeColor="background1"/>
            </w:tcBorders>
            <w:shd w:val="clear" w:color="000000" w:fill="1F4E78"/>
            <w:vAlign w:val="center"/>
            <w:hideMark/>
          </w:tcPr>
          <w:p w14:paraId="5CFA0BDB" w14:textId="77777777" w:rsidR="006C737B" w:rsidRPr="00DD1CCC" w:rsidRDefault="006C737B">
            <w:pPr>
              <w:spacing w:before="40" w:after="20" w:line="240" w:lineRule="auto"/>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 </w:t>
            </w:r>
          </w:p>
        </w:tc>
        <w:tc>
          <w:tcPr>
            <w:tcW w:w="3742" w:type="dxa"/>
            <w:gridSpan w:val="4"/>
            <w:tcBorders>
              <w:top w:val="single" w:sz="4" w:space="0" w:color="FFFFFF" w:themeColor="background1"/>
              <w:bottom w:val="single" w:sz="4" w:space="0" w:color="FFFFFF" w:themeColor="background1"/>
            </w:tcBorders>
            <w:shd w:val="clear" w:color="000000" w:fill="1F4E78"/>
            <w:vAlign w:val="center"/>
            <w:hideMark/>
          </w:tcPr>
          <w:p w14:paraId="7FA5AC7E" w14:textId="77777777" w:rsidR="006C737B" w:rsidRPr="00DD1CCC" w:rsidRDefault="006C737B">
            <w:pPr>
              <w:spacing w:before="40" w:after="20" w:line="240" w:lineRule="auto"/>
              <w:jc w:val="center"/>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MASCHI</w:t>
            </w:r>
          </w:p>
        </w:tc>
      </w:tr>
      <w:tr w:rsidR="006C737B" w:rsidRPr="00D96FFB" w14:paraId="34C9A139" w14:textId="77777777" w:rsidTr="00C01B58">
        <w:trPr>
          <w:trHeight w:val="255"/>
        </w:trPr>
        <w:tc>
          <w:tcPr>
            <w:tcW w:w="1987" w:type="dxa"/>
            <w:vMerge/>
            <w:tcBorders>
              <w:top w:val="single" w:sz="4" w:space="0" w:color="FFFFFF" w:themeColor="background1"/>
              <w:bottom w:val="single" w:sz="4" w:space="0" w:color="FFFFFF" w:themeColor="background1"/>
            </w:tcBorders>
            <w:vAlign w:val="center"/>
            <w:hideMark/>
          </w:tcPr>
          <w:p w14:paraId="0D823A0D" w14:textId="77777777" w:rsidR="006C737B" w:rsidRPr="00DD1CCC" w:rsidRDefault="006C737B">
            <w:pPr>
              <w:spacing w:before="40" w:after="20" w:line="240" w:lineRule="auto"/>
              <w:rPr>
                <w:rFonts w:ascii="Arial Narrow" w:eastAsia="Times New Roman" w:hAnsi="Arial Narrow" w:cs="Calibri"/>
                <w:bCs/>
                <w:color w:val="FFFFFF"/>
                <w:sz w:val="16"/>
                <w:szCs w:val="16"/>
                <w:lang w:eastAsia="it-IT"/>
              </w:rPr>
            </w:pPr>
          </w:p>
        </w:tc>
        <w:tc>
          <w:tcPr>
            <w:tcW w:w="1834" w:type="dxa"/>
            <w:gridSpan w:val="2"/>
            <w:tcBorders>
              <w:top w:val="single" w:sz="4" w:space="0" w:color="FFFFFF" w:themeColor="background1"/>
              <w:bottom w:val="single" w:sz="4" w:space="0" w:color="FFFFFF" w:themeColor="background1"/>
            </w:tcBorders>
            <w:shd w:val="clear" w:color="auto" w:fill="D9D9D9" w:themeFill="background1" w:themeFillShade="D9"/>
            <w:noWrap/>
            <w:vAlign w:val="bottom"/>
            <w:hideMark/>
          </w:tcPr>
          <w:p w14:paraId="57F9C503" w14:textId="77777777" w:rsidR="006C737B" w:rsidRPr="00DD1CCC" w:rsidRDefault="006C737B">
            <w:pPr>
              <w:spacing w:before="40" w:after="20" w:line="240" w:lineRule="auto"/>
              <w:jc w:val="center"/>
              <w:rPr>
                <w:rFonts w:ascii="Arial Narrow" w:eastAsia="Times New Roman" w:hAnsi="Arial Narrow" w:cs="Calibri"/>
                <w:bCs/>
                <w:color w:val="3B3838" w:themeColor="background2" w:themeShade="40"/>
                <w:sz w:val="16"/>
                <w:szCs w:val="16"/>
                <w:lang w:eastAsia="it-IT"/>
              </w:rPr>
            </w:pPr>
            <w:r w:rsidRPr="00DD1CCC">
              <w:rPr>
                <w:rFonts w:ascii="Arial Narrow" w:eastAsia="Times New Roman" w:hAnsi="Arial Narrow" w:cs="Calibri"/>
                <w:bCs/>
                <w:color w:val="3B3838" w:themeColor="background2" w:themeShade="40"/>
                <w:sz w:val="16"/>
                <w:szCs w:val="16"/>
                <w:lang w:eastAsia="it-IT"/>
              </w:rPr>
              <w:t>per 10.000 ricoveri totali</w:t>
            </w:r>
          </w:p>
        </w:tc>
        <w:tc>
          <w:tcPr>
            <w:tcW w:w="1876" w:type="dxa"/>
            <w:gridSpan w:val="2"/>
            <w:tcBorders>
              <w:top w:val="single" w:sz="4" w:space="0" w:color="FFFFFF" w:themeColor="background1"/>
              <w:bottom w:val="single" w:sz="4" w:space="0" w:color="FFFFFF" w:themeColor="background1"/>
            </w:tcBorders>
            <w:shd w:val="clear" w:color="000000" w:fill="1F4E78"/>
            <w:noWrap/>
            <w:vAlign w:val="bottom"/>
            <w:hideMark/>
          </w:tcPr>
          <w:p w14:paraId="2407D816" w14:textId="77777777" w:rsidR="006C737B" w:rsidRPr="00DD1CCC" w:rsidRDefault="006C737B">
            <w:pPr>
              <w:spacing w:before="40" w:after="20" w:line="240" w:lineRule="auto"/>
              <w:jc w:val="center"/>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per 10.000 residenti (a)</w:t>
            </w:r>
          </w:p>
        </w:tc>
        <w:tc>
          <w:tcPr>
            <w:tcW w:w="200" w:type="dxa"/>
            <w:tcBorders>
              <w:top w:val="single" w:sz="4" w:space="0" w:color="FFFFFF" w:themeColor="background1"/>
              <w:bottom w:val="single" w:sz="4" w:space="0" w:color="FFFFFF" w:themeColor="background1"/>
            </w:tcBorders>
            <w:vAlign w:val="center"/>
            <w:hideMark/>
          </w:tcPr>
          <w:p w14:paraId="5BF98F38" w14:textId="77777777" w:rsidR="006C737B" w:rsidRPr="00DD1CCC" w:rsidRDefault="006C737B">
            <w:pPr>
              <w:spacing w:before="40" w:after="20" w:line="240" w:lineRule="auto"/>
              <w:rPr>
                <w:rFonts w:ascii="Arial Narrow" w:eastAsia="Times New Roman" w:hAnsi="Arial Narrow" w:cs="Calibri"/>
                <w:bCs/>
                <w:color w:val="FFFFFF"/>
                <w:sz w:val="16"/>
                <w:szCs w:val="16"/>
                <w:lang w:eastAsia="it-IT"/>
              </w:rPr>
            </w:pPr>
          </w:p>
        </w:tc>
        <w:tc>
          <w:tcPr>
            <w:tcW w:w="1907" w:type="dxa"/>
            <w:gridSpan w:val="2"/>
            <w:tcBorders>
              <w:top w:val="single" w:sz="4" w:space="0" w:color="FFFFFF" w:themeColor="background1"/>
              <w:bottom w:val="single" w:sz="4" w:space="0" w:color="FFFFFF" w:themeColor="background1"/>
            </w:tcBorders>
            <w:shd w:val="clear" w:color="auto" w:fill="D9D9D9" w:themeFill="background1" w:themeFillShade="D9"/>
            <w:noWrap/>
            <w:vAlign w:val="bottom"/>
            <w:hideMark/>
          </w:tcPr>
          <w:p w14:paraId="0FF83F46" w14:textId="77777777" w:rsidR="006C737B" w:rsidRPr="00DD1CCC" w:rsidRDefault="006C737B">
            <w:pPr>
              <w:spacing w:before="40" w:after="20" w:line="240" w:lineRule="auto"/>
              <w:jc w:val="center"/>
              <w:rPr>
                <w:rFonts w:ascii="Arial Narrow" w:eastAsia="Times New Roman" w:hAnsi="Arial Narrow" w:cs="Calibri"/>
                <w:bCs/>
                <w:color w:val="3B3838" w:themeColor="background2" w:themeShade="40"/>
                <w:sz w:val="16"/>
                <w:szCs w:val="16"/>
                <w:lang w:eastAsia="it-IT"/>
              </w:rPr>
            </w:pPr>
            <w:r w:rsidRPr="00DD1CCC">
              <w:rPr>
                <w:rFonts w:ascii="Arial Narrow" w:eastAsia="Times New Roman" w:hAnsi="Arial Narrow" w:cs="Calibri"/>
                <w:bCs/>
                <w:color w:val="3B3838" w:themeColor="background2" w:themeShade="40"/>
                <w:sz w:val="16"/>
                <w:szCs w:val="16"/>
                <w:lang w:eastAsia="it-IT"/>
              </w:rPr>
              <w:t>per 10.000 ricoveri totali</w:t>
            </w:r>
          </w:p>
        </w:tc>
        <w:tc>
          <w:tcPr>
            <w:tcW w:w="1835" w:type="dxa"/>
            <w:gridSpan w:val="2"/>
            <w:tcBorders>
              <w:top w:val="single" w:sz="4" w:space="0" w:color="FFFFFF" w:themeColor="background1"/>
              <w:bottom w:val="single" w:sz="4" w:space="0" w:color="FFFFFF" w:themeColor="background1"/>
            </w:tcBorders>
            <w:shd w:val="clear" w:color="000000" w:fill="1F4E78"/>
            <w:noWrap/>
            <w:vAlign w:val="bottom"/>
            <w:hideMark/>
          </w:tcPr>
          <w:p w14:paraId="41A0116F" w14:textId="77777777" w:rsidR="006C737B" w:rsidRPr="00DD1CCC" w:rsidRDefault="006C737B">
            <w:pPr>
              <w:spacing w:before="40" w:after="20" w:line="240" w:lineRule="auto"/>
              <w:jc w:val="center"/>
              <w:rPr>
                <w:rFonts w:ascii="Arial Narrow" w:eastAsia="Times New Roman" w:hAnsi="Arial Narrow" w:cs="Calibri"/>
                <w:b/>
                <w:bCs/>
                <w:color w:val="FFFFFF"/>
                <w:sz w:val="16"/>
                <w:szCs w:val="16"/>
                <w:lang w:eastAsia="it-IT"/>
              </w:rPr>
            </w:pPr>
            <w:r w:rsidRPr="00DD1CCC">
              <w:rPr>
                <w:rFonts w:ascii="Arial Narrow" w:eastAsia="Times New Roman" w:hAnsi="Arial Narrow" w:cs="Calibri"/>
                <w:b/>
                <w:bCs/>
                <w:color w:val="FFFFFF"/>
                <w:sz w:val="16"/>
                <w:szCs w:val="16"/>
                <w:lang w:eastAsia="it-IT"/>
              </w:rPr>
              <w:t>per 10.000 residenti (a)</w:t>
            </w:r>
          </w:p>
        </w:tc>
      </w:tr>
      <w:tr w:rsidR="00DD1CCC" w:rsidRPr="00D96FFB" w14:paraId="602658F2" w14:textId="77777777" w:rsidTr="00C01B58">
        <w:trPr>
          <w:trHeight w:val="255"/>
        </w:trPr>
        <w:tc>
          <w:tcPr>
            <w:tcW w:w="1987" w:type="dxa"/>
            <w:vMerge/>
            <w:tcBorders>
              <w:top w:val="single" w:sz="4" w:space="0" w:color="FFFFFF" w:themeColor="background1"/>
            </w:tcBorders>
            <w:vAlign w:val="center"/>
            <w:hideMark/>
          </w:tcPr>
          <w:p w14:paraId="363ACFA4" w14:textId="77777777" w:rsidR="006C737B" w:rsidRPr="00DD1CCC" w:rsidRDefault="006C737B">
            <w:pPr>
              <w:spacing w:before="40" w:after="20" w:line="240" w:lineRule="auto"/>
              <w:rPr>
                <w:rFonts w:ascii="Arial Narrow" w:eastAsia="Times New Roman" w:hAnsi="Arial Narrow" w:cs="Calibri"/>
                <w:bCs/>
                <w:color w:val="FFFFFF"/>
                <w:sz w:val="16"/>
                <w:szCs w:val="16"/>
                <w:lang w:eastAsia="it-IT"/>
              </w:rPr>
            </w:pPr>
          </w:p>
        </w:tc>
        <w:tc>
          <w:tcPr>
            <w:tcW w:w="917" w:type="dxa"/>
            <w:tcBorders>
              <w:top w:val="single" w:sz="4" w:space="0" w:color="FFFFFF" w:themeColor="background1"/>
            </w:tcBorders>
            <w:shd w:val="clear" w:color="000000" w:fill="1F4E78"/>
            <w:vAlign w:val="bottom"/>
            <w:hideMark/>
          </w:tcPr>
          <w:p w14:paraId="093C8872"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2017-2019</w:t>
            </w:r>
          </w:p>
        </w:tc>
        <w:tc>
          <w:tcPr>
            <w:tcW w:w="917" w:type="dxa"/>
            <w:tcBorders>
              <w:top w:val="single" w:sz="4" w:space="0" w:color="FFFFFF" w:themeColor="background1"/>
            </w:tcBorders>
            <w:shd w:val="clear" w:color="000000" w:fill="1F4E78"/>
            <w:vAlign w:val="bottom"/>
            <w:hideMark/>
          </w:tcPr>
          <w:p w14:paraId="724B23ED"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2020-2021</w:t>
            </w:r>
          </w:p>
        </w:tc>
        <w:tc>
          <w:tcPr>
            <w:tcW w:w="918" w:type="dxa"/>
            <w:tcBorders>
              <w:top w:val="single" w:sz="4" w:space="0" w:color="FFFFFF" w:themeColor="background1"/>
            </w:tcBorders>
            <w:shd w:val="clear" w:color="000000" w:fill="1F4E78"/>
            <w:vAlign w:val="bottom"/>
            <w:hideMark/>
          </w:tcPr>
          <w:p w14:paraId="47AE22E0"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2017-2019</w:t>
            </w:r>
          </w:p>
        </w:tc>
        <w:tc>
          <w:tcPr>
            <w:tcW w:w="958" w:type="dxa"/>
            <w:tcBorders>
              <w:top w:val="single" w:sz="4" w:space="0" w:color="FFFFFF" w:themeColor="background1"/>
            </w:tcBorders>
            <w:shd w:val="clear" w:color="000000" w:fill="1F4E78"/>
            <w:vAlign w:val="bottom"/>
            <w:hideMark/>
          </w:tcPr>
          <w:p w14:paraId="7E7CB4E0"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2020-2021</w:t>
            </w:r>
          </w:p>
        </w:tc>
        <w:tc>
          <w:tcPr>
            <w:tcW w:w="200" w:type="dxa"/>
            <w:tcBorders>
              <w:top w:val="single" w:sz="4" w:space="0" w:color="FFFFFF" w:themeColor="background1"/>
            </w:tcBorders>
            <w:vAlign w:val="center"/>
            <w:hideMark/>
          </w:tcPr>
          <w:p w14:paraId="1133FCD9" w14:textId="77777777" w:rsidR="006C737B" w:rsidRPr="007A145C" w:rsidRDefault="006C737B">
            <w:pPr>
              <w:spacing w:before="40" w:after="20" w:line="240" w:lineRule="auto"/>
              <w:rPr>
                <w:rFonts w:ascii="Arial Narrow" w:eastAsia="Times New Roman" w:hAnsi="Arial Narrow" w:cs="Calibri"/>
                <w:b/>
                <w:bCs/>
                <w:color w:val="FFFFFF"/>
                <w:sz w:val="16"/>
                <w:szCs w:val="16"/>
                <w:lang w:eastAsia="it-IT"/>
              </w:rPr>
            </w:pPr>
          </w:p>
        </w:tc>
        <w:tc>
          <w:tcPr>
            <w:tcW w:w="989" w:type="dxa"/>
            <w:tcBorders>
              <w:top w:val="single" w:sz="4" w:space="0" w:color="FFFFFF" w:themeColor="background1"/>
            </w:tcBorders>
            <w:shd w:val="clear" w:color="000000" w:fill="1F4E78"/>
            <w:vAlign w:val="bottom"/>
            <w:hideMark/>
          </w:tcPr>
          <w:p w14:paraId="1277D3E5"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2017-2019</w:t>
            </w:r>
          </w:p>
        </w:tc>
        <w:tc>
          <w:tcPr>
            <w:tcW w:w="918" w:type="dxa"/>
            <w:tcBorders>
              <w:top w:val="single" w:sz="4" w:space="0" w:color="FFFFFF" w:themeColor="background1"/>
            </w:tcBorders>
            <w:shd w:val="clear" w:color="000000" w:fill="1F4E78"/>
            <w:vAlign w:val="bottom"/>
            <w:hideMark/>
          </w:tcPr>
          <w:p w14:paraId="1A08C179"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2020-2021</w:t>
            </w:r>
          </w:p>
        </w:tc>
        <w:tc>
          <w:tcPr>
            <w:tcW w:w="917" w:type="dxa"/>
            <w:tcBorders>
              <w:top w:val="single" w:sz="4" w:space="0" w:color="FFFFFF" w:themeColor="background1"/>
            </w:tcBorders>
            <w:shd w:val="clear" w:color="000000" w:fill="1F4E78"/>
            <w:vAlign w:val="bottom"/>
            <w:hideMark/>
          </w:tcPr>
          <w:p w14:paraId="5CF30B28"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2017-2019</w:t>
            </w:r>
          </w:p>
        </w:tc>
        <w:tc>
          <w:tcPr>
            <w:tcW w:w="918" w:type="dxa"/>
            <w:tcBorders>
              <w:top w:val="single" w:sz="4" w:space="0" w:color="FFFFFF" w:themeColor="background1"/>
            </w:tcBorders>
            <w:shd w:val="clear" w:color="000000" w:fill="1F4E78"/>
            <w:vAlign w:val="bottom"/>
            <w:hideMark/>
          </w:tcPr>
          <w:p w14:paraId="72FFF351" w14:textId="77777777" w:rsidR="006C737B" w:rsidRPr="007A145C" w:rsidRDefault="006C737B">
            <w:pPr>
              <w:spacing w:before="40" w:after="20" w:line="240" w:lineRule="auto"/>
              <w:jc w:val="right"/>
              <w:rPr>
                <w:rFonts w:ascii="Arial Narrow" w:eastAsia="Times New Roman" w:hAnsi="Arial Narrow" w:cs="Calibri"/>
                <w:b/>
                <w:bCs/>
                <w:color w:val="FFFFFF"/>
                <w:sz w:val="16"/>
                <w:szCs w:val="16"/>
                <w:lang w:eastAsia="it-IT"/>
              </w:rPr>
            </w:pPr>
            <w:r w:rsidRPr="007A145C">
              <w:rPr>
                <w:rFonts w:ascii="Arial Narrow" w:eastAsia="Times New Roman" w:hAnsi="Arial Narrow" w:cs="Calibri"/>
                <w:b/>
                <w:bCs/>
                <w:color w:val="FFFFFF"/>
                <w:sz w:val="16"/>
                <w:szCs w:val="16"/>
                <w:lang w:eastAsia="it-IT"/>
              </w:rPr>
              <w:t>2020-2021</w:t>
            </w:r>
          </w:p>
        </w:tc>
      </w:tr>
      <w:tr w:rsidR="006C737B" w:rsidRPr="00D96FFB" w14:paraId="2D2B81C1" w14:textId="77777777" w:rsidTr="00C01B58">
        <w:trPr>
          <w:trHeight w:val="255"/>
        </w:trPr>
        <w:tc>
          <w:tcPr>
            <w:tcW w:w="1987" w:type="dxa"/>
            <w:shd w:val="clear" w:color="000000" w:fill="FFFFFF"/>
            <w:noWrap/>
            <w:vAlign w:val="bottom"/>
            <w:hideMark/>
          </w:tcPr>
          <w:p w14:paraId="3A2F12C2"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Piemonte</w:t>
            </w:r>
          </w:p>
        </w:tc>
        <w:tc>
          <w:tcPr>
            <w:tcW w:w="917" w:type="dxa"/>
            <w:shd w:val="clear" w:color="auto" w:fill="D9D9D9" w:themeFill="background1" w:themeFillShade="D9"/>
            <w:noWrap/>
            <w:vAlign w:val="bottom"/>
            <w:hideMark/>
          </w:tcPr>
          <w:p w14:paraId="3AEF63F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6,2</w:t>
            </w:r>
          </w:p>
        </w:tc>
        <w:tc>
          <w:tcPr>
            <w:tcW w:w="917" w:type="dxa"/>
            <w:shd w:val="clear" w:color="auto" w:fill="auto"/>
            <w:noWrap/>
            <w:vAlign w:val="bottom"/>
            <w:hideMark/>
          </w:tcPr>
          <w:p w14:paraId="0CDA92C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5,3</w:t>
            </w:r>
          </w:p>
        </w:tc>
        <w:tc>
          <w:tcPr>
            <w:tcW w:w="918" w:type="dxa"/>
            <w:shd w:val="clear" w:color="auto" w:fill="D9D9D9" w:themeFill="background1" w:themeFillShade="D9"/>
            <w:noWrap/>
            <w:vAlign w:val="bottom"/>
            <w:hideMark/>
          </w:tcPr>
          <w:p w14:paraId="383DE84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0,56</w:t>
            </w:r>
          </w:p>
        </w:tc>
        <w:tc>
          <w:tcPr>
            <w:tcW w:w="958" w:type="dxa"/>
            <w:shd w:val="clear" w:color="auto" w:fill="auto"/>
            <w:noWrap/>
            <w:vAlign w:val="bottom"/>
            <w:hideMark/>
          </w:tcPr>
          <w:p w14:paraId="3A04118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0,43</w:t>
            </w:r>
          </w:p>
        </w:tc>
        <w:tc>
          <w:tcPr>
            <w:tcW w:w="200" w:type="dxa"/>
            <w:shd w:val="clear" w:color="000000" w:fill="FFFFFF"/>
            <w:noWrap/>
            <w:vAlign w:val="bottom"/>
            <w:hideMark/>
          </w:tcPr>
          <w:p w14:paraId="4920606C"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7A1FF1E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12,4</w:t>
            </w:r>
          </w:p>
        </w:tc>
        <w:tc>
          <w:tcPr>
            <w:tcW w:w="918" w:type="dxa"/>
            <w:shd w:val="clear" w:color="auto" w:fill="auto"/>
            <w:noWrap/>
            <w:vAlign w:val="bottom"/>
            <w:hideMark/>
          </w:tcPr>
          <w:p w14:paraId="3690805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11,7</w:t>
            </w:r>
          </w:p>
        </w:tc>
        <w:tc>
          <w:tcPr>
            <w:tcW w:w="917" w:type="dxa"/>
            <w:shd w:val="clear" w:color="auto" w:fill="D9D9D9" w:themeFill="background1" w:themeFillShade="D9"/>
            <w:noWrap/>
            <w:vAlign w:val="bottom"/>
            <w:hideMark/>
          </w:tcPr>
          <w:p w14:paraId="609762E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1,30</w:t>
            </w:r>
          </w:p>
        </w:tc>
        <w:tc>
          <w:tcPr>
            <w:tcW w:w="918" w:type="dxa"/>
            <w:shd w:val="clear" w:color="auto" w:fill="auto"/>
            <w:noWrap/>
            <w:vAlign w:val="bottom"/>
            <w:hideMark/>
          </w:tcPr>
          <w:p w14:paraId="2AB998E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1,04</w:t>
            </w:r>
          </w:p>
        </w:tc>
      </w:tr>
      <w:tr w:rsidR="006C737B" w:rsidRPr="00D96FFB" w14:paraId="2106F45A" w14:textId="77777777" w:rsidTr="00C01B58">
        <w:trPr>
          <w:trHeight w:val="255"/>
        </w:trPr>
        <w:tc>
          <w:tcPr>
            <w:tcW w:w="1987" w:type="dxa"/>
            <w:shd w:val="clear" w:color="000000" w:fill="FFFFFF"/>
            <w:noWrap/>
            <w:vAlign w:val="bottom"/>
            <w:hideMark/>
          </w:tcPr>
          <w:p w14:paraId="791D868D"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Valle d'Aosta/Vallée d'Aoste</w:t>
            </w:r>
          </w:p>
        </w:tc>
        <w:tc>
          <w:tcPr>
            <w:tcW w:w="917" w:type="dxa"/>
            <w:shd w:val="clear" w:color="auto" w:fill="D9D9D9" w:themeFill="background1" w:themeFillShade="D9"/>
            <w:noWrap/>
            <w:vAlign w:val="bottom"/>
            <w:hideMark/>
          </w:tcPr>
          <w:p w14:paraId="7CBFCD5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9,0</w:t>
            </w:r>
          </w:p>
        </w:tc>
        <w:tc>
          <w:tcPr>
            <w:tcW w:w="917" w:type="dxa"/>
            <w:shd w:val="clear" w:color="auto" w:fill="auto"/>
            <w:noWrap/>
            <w:vAlign w:val="bottom"/>
            <w:hideMark/>
          </w:tcPr>
          <w:p w14:paraId="6534DDF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4,1</w:t>
            </w:r>
          </w:p>
        </w:tc>
        <w:tc>
          <w:tcPr>
            <w:tcW w:w="918" w:type="dxa"/>
            <w:shd w:val="clear" w:color="auto" w:fill="D9D9D9" w:themeFill="background1" w:themeFillShade="D9"/>
            <w:noWrap/>
            <w:vAlign w:val="bottom"/>
            <w:hideMark/>
          </w:tcPr>
          <w:p w14:paraId="38342D7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0,88</w:t>
            </w:r>
          </w:p>
        </w:tc>
        <w:tc>
          <w:tcPr>
            <w:tcW w:w="958" w:type="dxa"/>
            <w:shd w:val="clear" w:color="auto" w:fill="auto"/>
            <w:noWrap/>
            <w:vAlign w:val="bottom"/>
            <w:hideMark/>
          </w:tcPr>
          <w:p w14:paraId="44C0F4D0"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0,32</w:t>
            </w:r>
          </w:p>
        </w:tc>
        <w:tc>
          <w:tcPr>
            <w:tcW w:w="200" w:type="dxa"/>
            <w:shd w:val="clear" w:color="000000" w:fill="FFFFFF"/>
            <w:noWrap/>
            <w:vAlign w:val="bottom"/>
            <w:hideMark/>
          </w:tcPr>
          <w:p w14:paraId="397CAD73"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7F16DF1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24,6</w:t>
            </w:r>
          </w:p>
        </w:tc>
        <w:tc>
          <w:tcPr>
            <w:tcW w:w="918" w:type="dxa"/>
            <w:shd w:val="clear" w:color="auto" w:fill="auto"/>
            <w:noWrap/>
            <w:vAlign w:val="bottom"/>
            <w:hideMark/>
          </w:tcPr>
          <w:p w14:paraId="2B79EFD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18,2</w:t>
            </w:r>
          </w:p>
        </w:tc>
        <w:tc>
          <w:tcPr>
            <w:tcW w:w="917" w:type="dxa"/>
            <w:shd w:val="clear" w:color="auto" w:fill="D9D9D9" w:themeFill="background1" w:themeFillShade="D9"/>
            <w:noWrap/>
            <w:vAlign w:val="bottom"/>
            <w:hideMark/>
          </w:tcPr>
          <w:p w14:paraId="7FF2EDA2"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2,60</w:t>
            </w:r>
          </w:p>
        </w:tc>
        <w:tc>
          <w:tcPr>
            <w:tcW w:w="918" w:type="dxa"/>
            <w:shd w:val="clear" w:color="auto" w:fill="auto"/>
            <w:noWrap/>
            <w:vAlign w:val="bottom"/>
            <w:hideMark/>
          </w:tcPr>
          <w:p w14:paraId="25935A9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1,32</w:t>
            </w:r>
          </w:p>
        </w:tc>
      </w:tr>
      <w:tr w:rsidR="006C737B" w:rsidRPr="00D96FFB" w14:paraId="0FF3807F" w14:textId="77777777" w:rsidTr="00C01B58">
        <w:trPr>
          <w:trHeight w:val="255"/>
        </w:trPr>
        <w:tc>
          <w:tcPr>
            <w:tcW w:w="1987" w:type="dxa"/>
            <w:shd w:val="clear" w:color="000000" w:fill="FFFFFF"/>
            <w:noWrap/>
            <w:vAlign w:val="bottom"/>
            <w:hideMark/>
          </w:tcPr>
          <w:p w14:paraId="22D8DB97"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Liguria</w:t>
            </w:r>
          </w:p>
        </w:tc>
        <w:tc>
          <w:tcPr>
            <w:tcW w:w="917" w:type="dxa"/>
            <w:shd w:val="clear" w:color="auto" w:fill="D9D9D9" w:themeFill="background1" w:themeFillShade="D9"/>
            <w:noWrap/>
            <w:vAlign w:val="bottom"/>
            <w:hideMark/>
          </w:tcPr>
          <w:p w14:paraId="746D00D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4,6</w:t>
            </w:r>
          </w:p>
        </w:tc>
        <w:tc>
          <w:tcPr>
            <w:tcW w:w="917" w:type="dxa"/>
            <w:shd w:val="clear" w:color="auto" w:fill="auto"/>
            <w:noWrap/>
            <w:vAlign w:val="bottom"/>
            <w:hideMark/>
          </w:tcPr>
          <w:p w14:paraId="14C6929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7,0</w:t>
            </w:r>
          </w:p>
        </w:tc>
        <w:tc>
          <w:tcPr>
            <w:tcW w:w="918" w:type="dxa"/>
            <w:shd w:val="clear" w:color="auto" w:fill="D9D9D9" w:themeFill="background1" w:themeFillShade="D9"/>
            <w:noWrap/>
            <w:vAlign w:val="bottom"/>
            <w:hideMark/>
          </w:tcPr>
          <w:p w14:paraId="20F2C48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0,62</w:t>
            </w:r>
          </w:p>
        </w:tc>
        <w:tc>
          <w:tcPr>
            <w:tcW w:w="958" w:type="dxa"/>
            <w:shd w:val="clear" w:color="auto" w:fill="auto"/>
            <w:noWrap/>
            <w:vAlign w:val="bottom"/>
            <w:hideMark/>
          </w:tcPr>
          <w:p w14:paraId="1C6A842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0,43</w:t>
            </w:r>
          </w:p>
        </w:tc>
        <w:tc>
          <w:tcPr>
            <w:tcW w:w="200" w:type="dxa"/>
            <w:shd w:val="clear" w:color="000000" w:fill="FFFFFF"/>
            <w:noWrap/>
            <w:vAlign w:val="bottom"/>
            <w:hideMark/>
          </w:tcPr>
          <w:p w14:paraId="3D5C917A"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345CFD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11,9</w:t>
            </w:r>
          </w:p>
        </w:tc>
        <w:tc>
          <w:tcPr>
            <w:tcW w:w="918" w:type="dxa"/>
            <w:shd w:val="clear" w:color="auto" w:fill="auto"/>
            <w:noWrap/>
            <w:vAlign w:val="bottom"/>
            <w:hideMark/>
          </w:tcPr>
          <w:p w14:paraId="4843086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11,9</w:t>
            </w:r>
          </w:p>
        </w:tc>
        <w:tc>
          <w:tcPr>
            <w:tcW w:w="917" w:type="dxa"/>
            <w:shd w:val="clear" w:color="auto" w:fill="D9D9D9" w:themeFill="background1" w:themeFillShade="D9"/>
            <w:noWrap/>
            <w:vAlign w:val="bottom"/>
            <w:hideMark/>
          </w:tcPr>
          <w:p w14:paraId="4EA6321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1,39</w:t>
            </w:r>
          </w:p>
        </w:tc>
        <w:tc>
          <w:tcPr>
            <w:tcW w:w="918" w:type="dxa"/>
            <w:shd w:val="clear" w:color="auto" w:fill="auto"/>
            <w:noWrap/>
            <w:vAlign w:val="bottom"/>
            <w:hideMark/>
          </w:tcPr>
          <w:p w14:paraId="58DC213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1,09</w:t>
            </w:r>
          </w:p>
        </w:tc>
      </w:tr>
      <w:tr w:rsidR="006C737B" w:rsidRPr="00D96FFB" w14:paraId="5FA7C48B" w14:textId="77777777" w:rsidTr="00C01B58">
        <w:trPr>
          <w:trHeight w:val="255"/>
        </w:trPr>
        <w:tc>
          <w:tcPr>
            <w:tcW w:w="1987" w:type="dxa"/>
            <w:shd w:val="clear" w:color="000000" w:fill="FFFFFF"/>
            <w:noWrap/>
            <w:vAlign w:val="bottom"/>
            <w:hideMark/>
          </w:tcPr>
          <w:p w14:paraId="0B953420"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Lombardia</w:t>
            </w:r>
          </w:p>
        </w:tc>
        <w:tc>
          <w:tcPr>
            <w:tcW w:w="917" w:type="dxa"/>
            <w:shd w:val="clear" w:color="auto" w:fill="D9D9D9" w:themeFill="background1" w:themeFillShade="D9"/>
            <w:noWrap/>
            <w:vAlign w:val="bottom"/>
            <w:hideMark/>
          </w:tcPr>
          <w:p w14:paraId="75FD54A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6,0</w:t>
            </w:r>
          </w:p>
        </w:tc>
        <w:tc>
          <w:tcPr>
            <w:tcW w:w="917" w:type="dxa"/>
            <w:shd w:val="clear" w:color="auto" w:fill="auto"/>
            <w:noWrap/>
            <w:vAlign w:val="bottom"/>
            <w:hideMark/>
          </w:tcPr>
          <w:p w14:paraId="12A4E71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5,6</w:t>
            </w:r>
          </w:p>
        </w:tc>
        <w:tc>
          <w:tcPr>
            <w:tcW w:w="918" w:type="dxa"/>
            <w:shd w:val="clear" w:color="auto" w:fill="D9D9D9" w:themeFill="background1" w:themeFillShade="D9"/>
            <w:noWrap/>
            <w:vAlign w:val="bottom"/>
            <w:hideMark/>
          </w:tcPr>
          <w:p w14:paraId="5B41B97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0,69</w:t>
            </w:r>
          </w:p>
        </w:tc>
        <w:tc>
          <w:tcPr>
            <w:tcW w:w="958" w:type="dxa"/>
            <w:shd w:val="clear" w:color="auto" w:fill="auto"/>
            <w:noWrap/>
            <w:vAlign w:val="bottom"/>
            <w:hideMark/>
          </w:tcPr>
          <w:p w14:paraId="0374E3D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0,61</w:t>
            </w:r>
          </w:p>
        </w:tc>
        <w:tc>
          <w:tcPr>
            <w:tcW w:w="200" w:type="dxa"/>
            <w:shd w:val="clear" w:color="000000" w:fill="FFFFFF"/>
            <w:noWrap/>
            <w:vAlign w:val="bottom"/>
            <w:hideMark/>
          </w:tcPr>
          <w:p w14:paraId="3655B89A"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1197AB5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13,0</w:t>
            </w:r>
          </w:p>
        </w:tc>
        <w:tc>
          <w:tcPr>
            <w:tcW w:w="918" w:type="dxa"/>
            <w:shd w:val="clear" w:color="auto" w:fill="auto"/>
            <w:noWrap/>
            <w:vAlign w:val="bottom"/>
            <w:hideMark/>
          </w:tcPr>
          <w:p w14:paraId="0294CF5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12,5</w:t>
            </w:r>
          </w:p>
        </w:tc>
        <w:tc>
          <w:tcPr>
            <w:tcW w:w="917" w:type="dxa"/>
            <w:shd w:val="clear" w:color="auto" w:fill="D9D9D9" w:themeFill="background1" w:themeFillShade="D9"/>
            <w:noWrap/>
            <w:vAlign w:val="bottom"/>
            <w:hideMark/>
          </w:tcPr>
          <w:p w14:paraId="21E3394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2,36</w:t>
            </w:r>
          </w:p>
        </w:tc>
        <w:tc>
          <w:tcPr>
            <w:tcW w:w="918" w:type="dxa"/>
            <w:shd w:val="clear" w:color="auto" w:fill="auto"/>
            <w:noWrap/>
            <w:vAlign w:val="bottom"/>
            <w:hideMark/>
          </w:tcPr>
          <w:p w14:paraId="251988F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1,31</w:t>
            </w:r>
          </w:p>
        </w:tc>
      </w:tr>
      <w:tr w:rsidR="006C737B" w:rsidRPr="00D96FFB" w14:paraId="1FA06167" w14:textId="77777777" w:rsidTr="00C01B58">
        <w:trPr>
          <w:trHeight w:val="255"/>
        </w:trPr>
        <w:tc>
          <w:tcPr>
            <w:tcW w:w="1987" w:type="dxa"/>
            <w:shd w:val="clear" w:color="000000" w:fill="FFFFFF"/>
            <w:noWrap/>
            <w:vAlign w:val="bottom"/>
            <w:hideMark/>
          </w:tcPr>
          <w:p w14:paraId="422BE269"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Bolzano/Bozen</w:t>
            </w:r>
          </w:p>
        </w:tc>
        <w:tc>
          <w:tcPr>
            <w:tcW w:w="917" w:type="dxa"/>
            <w:shd w:val="clear" w:color="auto" w:fill="D9D9D9" w:themeFill="background1" w:themeFillShade="D9"/>
            <w:noWrap/>
            <w:vAlign w:val="bottom"/>
            <w:hideMark/>
          </w:tcPr>
          <w:p w14:paraId="2899AEC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6,5</w:t>
            </w:r>
          </w:p>
        </w:tc>
        <w:tc>
          <w:tcPr>
            <w:tcW w:w="917" w:type="dxa"/>
            <w:shd w:val="clear" w:color="auto" w:fill="auto"/>
            <w:noWrap/>
            <w:vAlign w:val="bottom"/>
            <w:hideMark/>
          </w:tcPr>
          <w:p w14:paraId="2AD32A4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6,5</w:t>
            </w:r>
          </w:p>
        </w:tc>
        <w:tc>
          <w:tcPr>
            <w:tcW w:w="918" w:type="dxa"/>
            <w:shd w:val="clear" w:color="auto" w:fill="D9D9D9" w:themeFill="background1" w:themeFillShade="D9"/>
            <w:noWrap/>
            <w:vAlign w:val="bottom"/>
            <w:hideMark/>
          </w:tcPr>
          <w:p w14:paraId="020A277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0,27</w:t>
            </w:r>
          </w:p>
        </w:tc>
        <w:tc>
          <w:tcPr>
            <w:tcW w:w="958" w:type="dxa"/>
            <w:shd w:val="clear" w:color="auto" w:fill="auto"/>
            <w:noWrap/>
            <w:vAlign w:val="bottom"/>
            <w:hideMark/>
          </w:tcPr>
          <w:p w14:paraId="5A99884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0,20</w:t>
            </w:r>
          </w:p>
        </w:tc>
        <w:tc>
          <w:tcPr>
            <w:tcW w:w="200" w:type="dxa"/>
            <w:shd w:val="clear" w:color="000000" w:fill="FFFFFF"/>
            <w:noWrap/>
            <w:vAlign w:val="bottom"/>
            <w:hideMark/>
          </w:tcPr>
          <w:p w14:paraId="4F0DE988"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63C4D9C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21,9</w:t>
            </w:r>
          </w:p>
        </w:tc>
        <w:tc>
          <w:tcPr>
            <w:tcW w:w="918" w:type="dxa"/>
            <w:shd w:val="clear" w:color="auto" w:fill="auto"/>
            <w:noWrap/>
            <w:vAlign w:val="bottom"/>
            <w:hideMark/>
          </w:tcPr>
          <w:p w14:paraId="11E46DA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14,9</w:t>
            </w:r>
          </w:p>
        </w:tc>
        <w:tc>
          <w:tcPr>
            <w:tcW w:w="917" w:type="dxa"/>
            <w:shd w:val="clear" w:color="auto" w:fill="D9D9D9" w:themeFill="background1" w:themeFillShade="D9"/>
            <w:noWrap/>
            <w:vAlign w:val="bottom"/>
            <w:hideMark/>
          </w:tcPr>
          <w:p w14:paraId="03508EB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0,85</w:t>
            </w:r>
          </w:p>
        </w:tc>
        <w:tc>
          <w:tcPr>
            <w:tcW w:w="918" w:type="dxa"/>
            <w:shd w:val="clear" w:color="auto" w:fill="auto"/>
            <w:noWrap/>
            <w:vAlign w:val="bottom"/>
            <w:hideMark/>
          </w:tcPr>
          <w:p w14:paraId="4480E36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0,94</w:t>
            </w:r>
          </w:p>
        </w:tc>
      </w:tr>
      <w:tr w:rsidR="006C737B" w:rsidRPr="00D96FFB" w14:paraId="3402CC51" w14:textId="77777777" w:rsidTr="00C01B58">
        <w:trPr>
          <w:trHeight w:val="255"/>
        </w:trPr>
        <w:tc>
          <w:tcPr>
            <w:tcW w:w="1987" w:type="dxa"/>
            <w:shd w:val="clear" w:color="000000" w:fill="FFFFFF"/>
            <w:noWrap/>
            <w:vAlign w:val="bottom"/>
            <w:hideMark/>
          </w:tcPr>
          <w:p w14:paraId="66C57060"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Trento</w:t>
            </w:r>
          </w:p>
        </w:tc>
        <w:tc>
          <w:tcPr>
            <w:tcW w:w="917" w:type="dxa"/>
            <w:shd w:val="clear" w:color="auto" w:fill="D9D9D9" w:themeFill="background1" w:themeFillShade="D9"/>
            <w:noWrap/>
            <w:vAlign w:val="bottom"/>
            <w:hideMark/>
          </w:tcPr>
          <w:p w14:paraId="3F75096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3,0</w:t>
            </w:r>
          </w:p>
        </w:tc>
        <w:tc>
          <w:tcPr>
            <w:tcW w:w="917" w:type="dxa"/>
            <w:shd w:val="clear" w:color="auto" w:fill="auto"/>
            <w:noWrap/>
            <w:vAlign w:val="bottom"/>
            <w:hideMark/>
          </w:tcPr>
          <w:p w14:paraId="07F6E8A0"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1,5</w:t>
            </w:r>
          </w:p>
        </w:tc>
        <w:tc>
          <w:tcPr>
            <w:tcW w:w="918" w:type="dxa"/>
            <w:shd w:val="clear" w:color="auto" w:fill="D9D9D9" w:themeFill="background1" w:themeFillShade="D9"/>
            <w:noWrap/>
            <w:vAlign w:val="bottom"/>
            <w:hideMark/>
          </w:tcPr>
          <w:p w14:paraId="2646EFA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0,37</w:t>
            </w:r>
          </w:p>
        </w:tc>
        <w:tc>
          <w:tcPr>
            <w:tcW w:w="958" w:type="dxa"/>
            <w:shd w:val="clear" w:color="auto" w:fill="auto"/>
            <w:noWrap/>
            <w:vAlign w:val="bottom"/>
            <w:hideMark/>
          </w:tcPr>
          <w:p w14:paraId="0A65D0D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0,33</w:t>
            </w:r>
          </w:p>
        </w:tc>
        <w:tc>
          <w:tcPr>
            <w:tcW w:w="200" w:type="dxa"/>
            <w:shd w:val="clear" w:color="000000" w:fill="FFFFFF"/>
            <w:noWrap/>
            <w:vAlign w:val="bottom"/>
            <w:hideMark/>
          </w:tcPr>
          <w:p w14:paraId="7F09676C"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6D1979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8,8</w:t>
            </w:r>
          </w:p>
        </w:tc>
        <w:tc>
          <w:tcPr>
            <w:tcW w:w="918" w:type="dxa"/>
            <w:shd w:val="clear" w:color="auto" w:fill="auto"/>
            <w:noWrap/>
            <w:vAlign w:val="bottom"/>
            <w:hideMark/>
          </w:tcPr>
          <w:p w14:paraId="51B1515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10,4</w:t>
            </w:r>
          </w:p>
        </w:tc>
        <w:tc>
          <w:tcPr>
            <w:tcW w:w="917" w:type="dxa"/>
            <w:shd w:val="clear" w:color="auto" w:fill="D9D9D9" w:themeFill="background1" w:themeFillShade="D9"/>
            <w:noWrap/>
            <w:vAlign w:val="bottom"/>
            <w:hideMark/>
          </w:tcPr>
          <w:p w14:paraId="1A8AA6D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0,84</w:t>
            </w:r>
          </w:p>
        </w:tc>
        <w:tc>
          <w:tcPr>
            <w:tcW w:w="918" w:type="dxa"/>
            <w:shd w:val="clear" w:color="auto" w:fill="auto"/>
            <w:noWrap/>
            <w:vAlign w:val="bottom"/>
            <w:hideMark/>
          </w:tcPr>
          <w:p w14:paraId="542F41F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0,89</w:t>
            </w:r>
          </w:p>
        </w:tc>
      </w:tr>
      <w:tr w:rsidR="006C737B" w:rsidRPr="00D96FFB" w14:paraId="11996160" w14:textId="77777777" w:rsidTr="00C01B58">
        <w:trPr>
          <w:trHeight w:val="255"/>
        </w:trPr>
        <w:tc>
          <w:tcPr>
            <w:tcW w:w="1987" w:type="dxa"/>
            <w:shd w:val="clear" w:color="000000" w:fill="FFFFFF"/>
            <w:noWrap/>
            <w:vAlign w:val="bottom"/>
            <w:hideMark/>
          </w:tcPr>
          <w:p w14:paraId="6A65179D"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Veneto</w:t>
            </w:r>
          </w:p>
        </w:tc>
        <w:tc>
          <w:tcPr>
            <w:tcW w:w="917" w:type="dxa"/>
            <w:shd w:val="clear" w:color="auto" w:fill="D9D9D9" w:themeFill="background1" w:themeFillShade="D9"/>
            <w:noWrap/>
            <w:vAlign w:val="bottom"/>
            <w:hideMark/>
          </w:tcPr>
          <w:p w14:paraId="4347DA3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3,8</w:t>
            </w:r>
          </w:p>
        </w:tc>
        <w:tc>
          <w:tcPr>
            <w:tcW w:w="917" w:type="dxa"/>
            <w:shd w:val="clear" w:color="auto" w:fill="auto"/>
            <w:noWrap/>
            <w:vAlign w:val="bottom"/>
            <w:hideMark/>
          </w:tcPr>
          <w:p w14:paraId="368B7DA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3,6</w:t>
            </w:r>
          </w:p>
        </w:tc>
        <w:tc>
          <w:tcPr>
            <w:tcW w:w="918" w:type="dxa"/>
            <w:shd w:val="clear" w:color="auto" w:fill="D9D9D9" w:themeFill="background1" w:themeFillShade="D9"/>
            <w:noWrap/>
            <w:vAlign w:val="bottom"/>
            <w:hideMark/>
          </w:tcPr>
          <w:p w14:paraId="2060F57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0,49</w:t>
            </w:r>
          </w:p>
        </w:tc>
        <w:tc>
          <w:tcPr>
            <w:tcW w:w="958" w:type="dxa"/>
            <w:shd w:val="clear" w:color="auto" w:fill="auto"/>
            <w:noWrap/>
            <w:vAlign w:val="bottom"/>
            <w:hideMark/>
          </w:tcPr>
          <w:p w14:paraId="42B5C91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0,37</w:t>
            </w:r>
          </w:p>
        </w:tc>
        <w:tc>
          <w:tcPr>
            <w:tcW w:w="200" w:type="dxa"/>
            <w:shd w:val="clear" w:color="000000" w:fill="FFFFFF"/>
            <w:noWrap/>
            <w:vAlign w:val="bottom"/>
            <w:hideMark/>
          </w:tcPr>
          <w:p w14:paraId="52F08904"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70C53C7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9,1</w:t>
            </w:r>
          </w:p>
        </w:tc>
        <w:tc>
          <w:tcPr>
            <w:tcW w:w="918" w:type="dxa"/>
            <w:shd w:val="clear" w:color="auto" w:fill="auto"/>
            <w:noWrap/>
            <w:vAlign w:val="bottom"/>
            <w:hideMark/>
          </w:tcPr>
          <w:p w14:paraId="59AE5FA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9,9</w:t>
            </w:r>
          </w:p>
        </w:tc>
        <w:tc>
          <w:tcPr>
            <w:tcW w:w="917" w:type="dxa"/>
            <w:shd w:val="clear" w:color="auto" w:fill="D9D9D9" w:themeFill="background1" w:themeFillShade="D9"/>
            <w:noWrap/>
            <w:vAlign w:val="bottom"/>
            <w:hideMark/>
          </w:tcPr>
          <w:p w14:paraId="119948C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1,36</w:t>
            </w:r>
          </w:p>
        </w:tc>
        <w:tc>
          <w:tcPr>
            <w:tcW w:w="918" w:type="dxa"/>
            <w:shd w:val="clear" w:color="auto" w:fill="auto"/>
            <w:noWrap/>
            <w:vAlign w:val="bottom"/>
            <w:hideMark/>
          </w:tcPr>
          <w:p w14:paraId="408A382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0,96</w:t>
            </w:r>
          </w:p>
        </w:tc>
      </w:tr>
      <w:tr w:rsidR="006C737B" w:rsidRPr="00D96FFB" w14:paraId="10472B94" w14:textId="77777777" w:rsidTr="00C01B58">
        <w:trPr>
          <w:trHeight w:val="255"/>
        </w:trPr>
        <w:tc>
          <w:tcPr>
            <w:tcW w:w="1987" w:type="dxa"/>
            <w:shd w:val="clear" w:color="000000" w:fill="FFFFFF"/>
            <w:noWrap/>
            <w:vAlign w:val="bottom"/>
            <w:hideMark/>
          </w:tcPr>
          <w:p w14:paraId="4439699B"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Friuli-Venezia Giulia</w:t>
            </w:r>
          </w:p>
        </w:tc>
        <w:tc>
          <w:tcPr>
            <w:tcW w:w="917" w:type="dxa"/>
            <w:shd w:val="clear" w:color="auto" w:fill="D9D9D9" w:themeFill="background1" w:themeFillShade="D9"/>
            <w:noWrap/>
            <w:vAlign w:val="bottom"/>
            <w:hideMark/>
          </w:tcPr>
          <w:p w14:paraId="69952EF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4,5</w:t>
            </w:r>
          </w:p>
        </w:tc>
        <w:tc>
          <w:tcPr>
            <w:tcW w:w="917" w:type="dxa"/>
            <w:shd w:val="clear" w:color="auto" w:fill="auto"/>
            <w:noWrap/>
            <w:vAlign w:val="bottom"/>
            <w:hideMark/>
          </w:tcPr>
          <w:p w14:paraId="1B374A1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4,4</w:t>
            </w:r>
          </w:p>
        </w:tc>
        <w:tc>
          <w:tcPr>
            <w:tcW w:w="918" w:type="dxa"/>
            <w:shd w:val="clear" w:color="auto" w:fill="D9D9D9" w:themeFill="background1" w:themeFillShade="D9"/>
            <w:noWrap/>
            <w:vAlign w:val="bottom"/>
            <w:hideMark/>
          </w:tcPr>
          <w:p w14:paraId="3321389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0,49</w:t>
            </w:r>
          </w:p>
        </w:tc>
        <w:tc>
          <w:tcPr>
            <w:tcW w:w="958" w:type="dxa"/>
            <w:shd w:val="clear" w:color="auto" w:fill="auto"/>
            <w:noWrap/>
            <w:vAlign w:val="bottom"/>
            <w:hideMark/>
          </w:tcPr>
          <w:p w14:paraId="1C846DC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0,58</w:t>
            </w:r>
          </w:p>
        </w:tc>
        <w:tc>
          <w:tcPr>
            <w:tcW w:w="200" w:type="dxa"/>
            <w:shd w:val="clear" w:color="000000" w:fill="FFFFFF"/>
            <w:noWrap/>
            <w:vAlign w:val="bottom"/>
            <w:hideMark/>
          </w:tcPr>
          <w:p w14:paraId="1F73D68A"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39FA39E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11,9</w:t>
            </w:r>
          </w:p>
        </w:tc>
        <w:tc>
          <w:tcPr>
            <w:tcW w:w="918" w:type="dxa"/>
            <w:shd w:val="clear" w:color="auto" w:fill="auto"/>
            <w:noWrap/>
            <w:vAlign w:val="bottom"/>
            <w:hideMark/>
          </w:tcPr>
          <w:p w14:paraId="4F8C67F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10,4</w:t>
            </w:r>
          </w:p>
        </w:tc>
        <w:tc>
          <w:tcPr>
            <w:tcW w:w="917" w:type="dxa"/>
            <w:shd w:val="clear" w:color="auto" w:fill="D9D9D9" w:themeFill="background1" w:themeFillShade="D9"/>
            <w:noWrap/>
            <w:vAlign w:val="bottom"/>
            <w:hideMark/>
          </w:tcPr>
          <w:p w14:paraId="587CB9F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1,25</w:t>
            </w:r>
          </w:p>
        </w:tc>
        <w:tc>
          <w:tcPr>
            <w:tcW w:w="918" w:type="dxa"/>
            <w:shd w:val="clear" w:color="auto" w:fill="auto"/>
            <w:noWrap/>
            <w:vAlign w:val="bottom"/>
            <w:hideMark/>
          </w:tcPr>
          <w:p w14:paraId="43F7B0D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1,11</w:t>
            </w:r>
          </w:p>
        </w:tc>
      </w:tr>
      <w:tr w:rsidR="006C737B" w:rsidRPr="00D96FFB" w14:paraId="236717AC" w14:textId="77777777" w:rsidTr="00C01B58">
        <w:trPr>
          <w:trHeight w:val="255"/>
        </w:trPr>
        <w:tc>
          <w:tcPr>
            <w:tcW w:w="1987" w:type="dxa"/>
            <w:shd w:val="clear" w:color="000000" w:fill="FFFFFF"/>
            <w:noWrap/>
            <w:vAlign w:val="bottom"/>
            <w:hideMark/>
          </w:tcPr>
          <w:p w14:paraId="155F8497"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Emilia-Romagna</w:t>
            </w:r>
          </w:p>
        </w:tc>
        <w:tc>
          <w:tcPr>
            <w:tcW w:w="917" w:type="dxa"/>
            <w:shd w:val="clear" w:color="auto" w:fill="D9D9D9" w:themeFill="background1" w:themeFillShade="D9"/>
            <w:noWrap/>
            <w:vAlign w:val="bottom"/>
            <w:hideMark/>
          </w:tcPr>
          <w:p w14:paraId="0C6E54B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4,0</w:t>
            </w:r>
          </w:p>
        </w:tc>
        <w:tc>
          <w:tcPr>
            <w:tcW w:w="917" w:type="dxa"/>
            <w:shd w:val="clear" w:color="auto" w:fill="auto"/>
            <w:noWrap/>
            <w:vAlign w:val="bottom"/>
            <w:hideMark/>
          </w:tcPr>
          <w:p w14:paraId="7FB4013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3,9</w:t>
            </w:r>
          </w:p>
        </w:tc>
        <w:tc>
          <w:tcPr>
            <w:tcW w:w="918" w:type="dxa"/>
            <w:shd w:val="clear" w:color="auto" w:fill="D9D9D9" w:themeFill="background1" w:themeFillShade="D9"/>
            <w:noWrap/>
            <w:vAlign w:val="bottom"/>
            <w:hideMark/>
          </w:tcPr>
          <w:p w14:paraId="379F589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0,47</w:t>
            </w:r>
          </w:p>
        </w:tc>
        <w:tc>
          <w:tcPr>
            <w:tcW w:w="958" w:type="dxa"/>
            <w:shd w:val="clear" w:color="auto" w:fill="auto"/>
            <w:noWrap/>
            <w:vAlign w:val="bottom"/>
            <w:hideMark/>
          </w:tcPr>
          <w:p w14:paraId="7715BED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0,39</w:t>
            </w:r>
          </w:p>
        </w:tc>
        <w:tc>
          <w:tcPr>
            <w:tcW w:w="200" w:type="dxa"/>
            <w:shd w:val="clear" w:color="000000" w:fill="FFFFFF"/>
            <w:noWrap/>
            <w:vAlign w:val="bottom"/>
            <w:hideMark/>
          </w:tcPr>
          <w:p w14:paraId="18481EB9"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1CF4B3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10,3</w:t>
            </w:r>
          </w:p>
        </w:tc>
        <w:tc>
          <w:tcPr>
            <w:tcW w:w="918" w:type="dxa"/>
            <w:shd w:val="clear" w:color="auto" w:fill="auto"/>
            <w:noWrap/>
            <w:vAlign w:val="bottom"/>
            <w:hideMark/>
          </w:tcPr>
          <w:p w14:paraId="2884622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9,8</w:t>
            </w:r>
          </w:p>
        </w:tc>
        <w:tc>
          <w:tcPr>
            <w:tcW w:w="917" w:type="dxa"/>
            <w:shd w:val="clear" w:color="auto" w:fill="D9D9D9" w:themeFill="background1" w:themeFillShade="D9"/>
            <w:noWrap/>
            <w:vAlign w:val="bottom"/>
            <w:hideMark/>
          </w:tcPr>
          <w:p w14:paraId="79B74E3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1,14</w:t>
            </w:r>
          </w:p>
        </w:tc>
        <w:tc>
          <w:tcPr>
            <w:tcW w:w="918" w:type="dxa"/>
            <w:shd w:val="clear" w:color="auto" w:fill="auto"/>
            <w:noWrap/>
            <w:vAlign w:val="bottom"/>
            <w:hideMark/>
          </w:tcPr>
          <w:p w14:paraId="08403CB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0,93</w:t>
            </w:r>
          </w:p>
        </w:tc>
      </w:tr>
      <w:tr w:rsidR="006C737B" w:rsidRPr="00D96FFB" w14:paraId="035261EA" w14:textId="77777777" w:rsidTr="00C01B58">
        <w:trPr>
          <w:trHeight w:val="255"/>
        </w:trPr>
        <w:tc>
          <w:tcPr>
            <w:tcW w:w="1987" w:type="dxa"/>
            <w:shd w:val="clear" w:color="000000" w:fill="FFFFFF"/>
            <w:noWrap/>
            <w:vAlign w:val="bottom"/>
            <w:hideMark/>
          </w:tcPr>
          <w:p w14:paraId="4503E25F"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Toscana</w:t>
            </w:r>
          </w:p>
        </w:tc>
        <w:tc>
          <w:tcPr>
            <w:tcW w:w="917" w:type="dxa"/>
            <w:shd w:val="clear" w:color="auto" w:fill="D9D9D9" w:themeFill="background1" w:themeFillShade="D9"/>
            <w:noWrap/>
            <w:vAlign w:val="bottom"/>
            <w:hideMark/>
          </w:tcPr>
          <w:p w14:paraId="41103BE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4,8</w:t>
            </w:r>
          </w:p>
        </w:tc>
        <w:tc>
          <w:tcPr>
            <w:tcW w:w="917" w:type="dxa"/>
            <w:shd w:val="clear" w:color="auto" w:fill="auto"/>
            <w:noWrap/>
            <w:vAlign w:val="bottom"/>
            <w:hideMark/>
          </w:tcPr>
          <w:p w14:paraId="26D66A7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4,5</w:t>
            </w:r>
          </w:p>
        </w:tc>
        <w:tc>
          <w:tcPr>
            <w:tcW w:w="918" w:type="dxa"/>
            <w:shd w:val="clear" w:color="auto" w:fill="D9D9D9" w:themeFill="background1" w:themeFillShade="D9"/>
            <w:noWrap/>
            <w:vAlign w:val="bottom"/>
            <w:hideMark/>
          </w:tcPr>
          <w:p w14:paraId="0ABEA8B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0,47</w:t>
            </w:r>
          </w:p>
        </w:tc>
        <w:tc>
          <w:tcPr>
            <w:tcW w:w="958" w:type="dxa"/>
            <w:shd w:val="clear" w:color="auto" w:fill="auto"/>
            <w:noWrap/>
            <w:vAlign w:val="bottom"/>
            <w:hideMark/>
          </w:tcPr>
          <w:p w14:paraId="4F5ABC9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0,37</w:t>
            </w:r>
          </w:p>
        </w:tc>
        <w:tc>
          <w:tcPr>
            <w:tcW w:w="200" w:type="dxa"/>
            <w:shd w:val="clear" w:color="000000" w:fill="FFFFFF"/>
            <w:noWrap/>
            <w:vAlign w:val="bottom"/>
            <w:hideMark/>
          </w:tcPr>
          <w:p w14:paraId="67018CFF"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418B0FE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7,8</w:t>
            </w:r>
          </w:p>
        </w:tc>
        <w:tc>
          <w:tcPr>
            <w:tcW w:w="918" w:type="dxa"/>
            <w:shd w:val="clear" w:color="auto" w:fill="auto"/>
            <w:noWrap/>
            <w:vAlign w:val="bottom"/>
            <w:hideMark/>
          </w:tcPr>
          <w:p w14:paraId="0EEE78D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8,5</w:t>
            </w:r>
          </w:p>
        </w:tc>
        <w:tc>
          <w:tcPr>
            <w:tcW w:w="917" w:type="dxa"/>
            <w:shd w:val="clear" w:color="auto" w:fill="D9D9D9" w:themeFill="background1" w:themeFillShade="D9"/>
            <w:noWrap/>
            <w:vAlign w:val="bottom"/>
            <w:hideMark/>
          </w:tcPr>
          <w:p w14:paraId="6D9DF0F2"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0,83</w:t>
            </w:r>
          </w:p>
        </w:tc>
        <w:tc>
          <w:tcPr>
            <w:tcW w:w="918" w:type="dxa"/>
            <w:shd w:val="clear" w:color="auto" w:fill="auto"/>
            <w:noWrap/>
            <w:vAlign w:val="bottom"/>
            <w:hideMark/>
          </w:tcPr>
          <w:p w14:paraId="5F3159E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0,74</w:t>
            </w:r>
          </w:p>
        </w:tc>
      </w:tr>
      <w:tr w:rsidR="006C737B" w:rsidRPr="00D96FFB" w14:paraId="7BBF5153" w14:textId="77777777" w:rsidTr="00C01B58">
        <w:trPr>
          <w:trHeight w:val="255"/>
        </w:trPr>
        <w:tc>
          <w:tcPr>
            <w:tcW w:w="1987" w:type="dxa"/>
            <w:shd w:val="clear" w:color="000000" w:fill="FFFFFF"/>
            <w:noWrap/>
            <w:vAlign w:val="bottom"/>
            <w:hideMark/>
          </w:tcPr>
          <w:p w14:paraId="0A82F892"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Umbria</w:t>
            </w:r>
          </w:p>
        </w:tc>
        <w:tc>
          <w:tcPr>
            <w:tcW w:w="917" w:type="dxa"/>
            <w:shd w:val="clear" w:color="auto" w:fill="D9D9D9" w:themeFill="background1" w:themeFillShade="D9"/>
            <w:noWrap/>
            <w:vAlign w:val="bottom"/>
            <w:hideMark/>
          </w:tcPr>
          <w:p w14:paraId="5D86B31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5,0</w:t>
            </w:r>
          </w:p>
        </w:tc>
        <w:tc>
          <w:tcPr>
            <w:tcW w:w="917" w:type="dxa"/>
            <w:shd w:val="clear" w:color="auto" w:fill="auto"/>
            <w:noWrap/>
            <w:vAlign w:val="bottom"/>
            <w:hideMark/>
          </w:tcPr>
          <w:p w14:paraId="1392213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4,6</w:t>
            </w:r>
          </w:p>
        </w:tc>
        <w:tc>
          <w:tcPr>
            <w:tcW w:w="918" w:type="dxa"/>
            <w:shd w:val="clear" w:color="auto" w:fill="D9D9D9" w:themeFill="background1" w:themeFillShade="D9"/>
            <w:noWrap/>
            <w:vAlign w:val="bottom"/>
            <w:hideMark/>
          </w:tcPr>
          <w:p w14:paraId="6811F72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0,59</w:t>
            </w:r>
          </w:p>
        </w:tc>
        <w:tc>
          <w:tcPr>
            <w:tcW w:w="958" w:type="dxa"/>
            <w:shd w:val="clear" w:color="auto" w:fill="auto"/>
            <w:noWrap/>
            <w:vAlign w:val="bottom"/>
            <w:hideMark/>
          </w:tcPr>
          <w:p w14:paraId="1444674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0,44</w:t>
            </w:r>
          </w:p>
        </w:tc>
        <w:tc>
          <w:tcPr>
            <w:tcW w:w="200" w:type="dxa"/>
            <w:shd w:val="clear" w:color="000000" w:fill="FFFFFF"/>
            <w:noWrap/>
            <w:vAlign w:val="bottom"/>
            <w:hideMark/>
          </w:tcPr>
          <w:p w14:paraId="1F3A8774"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36B284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9,5</w:t>
            </w:r>
          </w:p>
        </w:tc>
        <w:tc>
          <w:tcPr>
            <w:tcW w:w="918" w:type="dxa"/>
            <w:shd w:val="clear" w:color="auto" w:fill="auto"/>
            <w:noWrap/>
            <w:vAlign w:val="bottom"/>
            <w:hideMark/>
          </w:tcPr>
          <w:p w14:paraId="60F451E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9,6</w:t>
            </w:r>
          </w:p>
        </w:tc>
        <w:tc>
          <w:tcPr>
            <w:tcW w:w="917" w:type="dxa"/>
            <w:shd w:val="clear" w:color="auto" w:fill="D9D9D9" w:themeFill="background1" w:themeFillShade="D9"/>
            <w:noWrap/>
            <w:vAlign w:val="bottom"/>
            <w:hideMark/>
          </w:tcPr>
          <w:p w14:paraId="17F5FFC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1,15</w:t>
            </w:r>
          </w:p>
        </w:tc>
        <w:tc>
          <w:tcPr>
            <w:tcW w:w="918" w:type="dxa"/>
            <w:shd w:val="clear" w:color="auto" w:fill="auto"/>
            <w:noWrap/>
            <w:vAlign w:val="bottom"/>
            <w:hideMark/>
          </w:tcPr>
          <w:p w14:paraId="5362435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0,96</w:t>
            </w:r>
          </w:p>
        </w:tc>
      </w:tr>
      <w:tr w:rsidR="006C737B" w:rsidRPr="00D96FFB" w14:paraId="71AC487F" w14:textId="77777777" w:rsidTr="00C01B58">
        <w:trPr>
          <w:trHeight w:val="255"/>
        </w:trPr>
        <w:tc>
          <w:tcPr>
            <w:tcW w:w="1987" w:type="dxa"/>
            <w:shd w:val="clear" w:color="000000" w:fill="FFFFFF"/>
            <w:noWrap/>
            <w:vAlign w:val="bottom"/>
            <w:hideMark/>
          </w:tcPr>
          <w:p w14:paraId="759FD7BB"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Marche</w:t>
            </w:r>
          </w:p>
        </w:tc>
        <w:tc>
          <w:tcPr>
            <w:tcW w:w="917" w:type="dxa"/>
            <w:shd w:val="clear" w:color="auto" w:fill="D9D9D9" w:themeFill="background1" w:themeFillShade="D9"/>
            <w:noWrap/>
            <w:vAlign w:val="bottom"/>
            <w:hideMark/>
          </w:tcPr>
          <w:p w14:paraId="1024276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2,9</w:t>
            </w:r>
          </w:p>
        </w:tc>
        <w:tc>
          <w:tcPr>
            <w:tcW w:w="917" w:type="dxa"/>
            <w:shd w:val="clear" w:color="auto" w:fill="auto"/>
            <w:noWrap/>
            <w:vAlign w:val="bottom"/>
            <w:hideMark/>
          </w:tcPr>
          <w:p w14:paraId="5609829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2,3</w:t>
            </w:r>
          </w:p>
        </w:tc>
        <w:tc>
          <w:tcPr>
            <w:tcW w:w="918" w:type="dxa"/>
            <w:shd w:val="clear" w:color="auto" w:fill="D9D9D9" w:themeFill="background1" w:themeFillShade="D9"/>
            <w:noWrap/>
            <w:vAlign w:val="bottom"/>
            <w:hideMark/>
          </w:tcPr>
          <w:p w14:paraId="45E4070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0,31</w:t>
            </w:r>
          </w:p>
        </w:tc>
        <w:tc>
          <w:tcPr>
            <w:tcW w:w="958" w:type="dxa"/>
            <w:shd w:val="clear" w:color="auto" w:fill="auto"/>
            <w:noWrap/>
            <w:vAlign w:val="bottom"/>
            <w:hideMark/>
          </w:tcPr>
          <w:p w14:paraId="57EEF43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0,20</w:t>
            </w:r>
          </w:p>
        </w:tc>
        <w:tc>
          <w:tcPr>
            <w:tcW w:w="200" w:type="dxa"/>
            <w:shd w:val="clear" w:color="000000" w:fill="FFFFFF"/>
            <w:noWrap/>
            <w:vAlign w:val="bottom"/>
            <w:hideMark/>
          </w:tcPr>
          <w:p w14:paraId="051B6C79"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081D21E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8,6</w:t>
            </w:r>
          </w:p>
        </w:tc>
        <w:tc>
          <w:tcPr>
            <w:tcW w:w="918" w:type="dxa"/>
            <w:shd w:val="clear" w:color="auto" w:fill="auto"/>
            <w:noWrap/>
            <w:vAlign w:val="bottom"/>
            <w:hideMark/>
          </w:tcPr>
          <w:p w14:paraId="60AB048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8,1</w:t>
            </w:r>
          </w:p>
        </w:tc>
        <w:tc>
          <w:tcPr>
            <w:tcW w:w="917" w:type="dxa"/>
            <w:shd w:val="clear" w:color="auto" w:fill="D9D9D9" w:themeFill="background1" w:themeFillShade="D9"/>
            <w:noWrap/>
            <w:vAlign w:val="bottom"/>
            <w:hideMark/>
          </w:tcPr>
          <w:p w14:paraId="1BDA2FF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0,97</w:t>
            </w:r>
          </w:p>
        </w:tc>
        <w:tc>
          <w:tcPr>
            <w:tcW w:w="918" w:type="dxa"/>
            <w:shd w:val="clear" w:color="auto" w:fill="auto"/>
            <w:noWrap/>
            <w:vAlign w:val="bottom"/>
            <w:hideMark/>
          </w:tcPr>
          <w:p w14:paraId="1C6F376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0,75</w:t>
            </w:r>
          </w:p>
        </w:tc>
      </w:tr>
      <w:tr w:rsidR="006C737B" w:rsidRPr="00D96FFB" w14:paraId="31612BED" w14:textId="77777777" w:rsidTr="00C01B58">
        <w:trPr>
          <w:trHeight w:val="255"/>
        </w:trPr>
        <w:tc>
          <w:tcPr>
            <w:tcW w:w="1987" w:type="dxa"/>
            <w:shd w:val="clear" w:color="000000" w:fill="FFFFFF"/>
            <w:noWrap/>
            <w:vAlign w:val="bottom"/>
            <w:hideMark/>
          </w:tcPr>
          <w:p w14:paraId="79661C2E"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Lazio</w:t>
            </w:r>
          </w:p>
        </w:tc>
        <w:tc>
          <w:tcPr>
            <w:tcW w:w="917" w:type="dxa"/>
            <w:shd w:val="clear" w:color="auto" w:fill="D9D9D9" w:themeFill="background1" w:themeFillShade="D9"/>
            <w:noWrap/>
            <w:vAlign w:val="bottom"/>
            <w:hideMark/>
          </w:tcPr>
          <w:p w14:paraId="5D540E3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5,5</w:t>
            </w:r>
          </w:p>
        </w:tc>
        <w:tc>
          <w:tcPr>
            <w:tcW w:w="917" w:type="dxa"/>
            <w:shd w:val="clear" w:color="auto" w:fill="auto"/>
            <w:noWrap/>
            <w:vAlign w:val="bottom"/>
            <w:hideMark/>
          </w:tcPr>
          <w:p w14:paraId="7CB2376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5,6</w:t>
            </w:r>
          </w:p>
        </w:tc>
        <w:tc>
          <w:tcPr>
            <w:tcW w:w="918" w:type="dxa"/>
            <w:shd w:val="clear" w:color="auto" w:fill="D9D9D9" w:themeFill="background1" w:themeFillShade="D9"/>
            <w:noWrap/>
            <w:vAlign w:val="bottom"/>
            <w:hideMark/>
          </w:tcPr>
          <w:p w14:paraId="5C04926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0,53</w:t>
            </w:r>
          </w:p>
        </w:tc>
        <w:tc>
          <w:tcPr>
            <w:tcW w:w="958" w:type="dxa"/>
            <w:shd w:val="clear" w:color="auto" w:fill="auto"/>
            <w:noWrap/>
            <w:vAlign w:val="bottom"/>
            <w:hideMark/>
          </w:tcPr>
          <w:p w14:paraId="367182E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0,47</w:t>
            </w:r>
          </w:p>
        </w:tc>
        <w:tc>
          <w:tcPr>
            <w:tcW w:w="200" w:type="dxa"/>
            <w:shd w:val="clear" w:color="000000" w:fill="FFFFFF"/>
            <w:noWrap/>
            <w:vAlign w:val="bottom"/>
            <w:hideMark/>
          </w:tcPr>
          <w:p w14:paraId="3BB80A66"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1E73B82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19,5</w:t>
            </w:r>
          </w:p>
        </w:tc>
        <w:tc>
          <w:tcPr>
            <w:tcW w:w="918" w:type="dxa"/>
            <w:shd w:val="clear" w:color="auto" w:fill="auto"/>
            <w:noWrap/>
            <w:vAlign w:val="bottom"/>
            <w:hideMark/>
          </w:tcPr>
          <w:p w14:paraId="586CACD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19,3</w:t>
            </w:r>
          </w:p>
        </w:tc>
        <w:tc>
          <w:tcPr>
            <w:tcW w:w="917" w:type="dxa"/>
            <w:shd w:val="clear" w:color="auto" w:fill="D9D9D9" w:themeFill="background1" w:themeFillShade="D9"/>
            <w:noWrap/>
            <w:vAlign w:val="bottom"/>
            <w:hideMark/>
          </w:tcPr>
          <w:p w14:paraId="5C2FE44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1,84</w:t>
            </w:r>
          </w:p>
        </w:tc>
        <w:tc>
          <w:tcPr>
            <w:tcW w:w="918" w:type="dxa"/>
            <w:shd w:val="clear" w:color="auto" w:fill="auto"/>
            <w:noWrap/>
            <w:vAlign w:val="bottom"/>
            <w:hideMark/>
          </w:tcPr>
          <w:p w14:paraId="3454B99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1,72</w:t>
            </w:r>
          </w:p>
        </w:tc>
      </w:tr>
      <w:tr w:rsidR="006C737B" w:rsidRPr="00D96FFB" w14:paraId="65A35BE7" w14:textId="77777777" w:rsidTr="00C01B58">
        <w:trPr>
          <w:trHeight w:val="255"/>
        </w:trPr>
        <w:tc>
          <w:tcPr>
            <w:tcW w:w="1987" w:type="dxa"/>
            <w:shd w:val="clear" w:color="000000" w:fill="FFFFFF"/>
            <w:noWrap/>
            <w:vAlign w:val="bottom"/>
            <w:hideMark/>
          </w:tcPr>
          <w:p w14:paraId="77DEFAE9"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Abruzzo</w:t>
            </w:r>
          </w:p>
        </w:tc>
        <w:tc>
          <w:tcPr>
            <w:tcW w:w="917" w:type="dxa"/>
            <w:shd w:val="clear" w:color="auto" w:fill="D9D9D9" w:themeFill="background1" w:themeFillShade="D9"/>
            <w:noWrap/>
            <w:vAlign w:val="bottom"/>
            <w:hideMark/>
          </w:tcPr>
          <w:p w14:paraId="404CB85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4,1</w:t>
            </w:r>
          </w:p>
        </w:tc>
        <w:tc>
          <w:tcPr>
            <w:tcW w:w="917" w:type="dxa"/>
            <w:shd w:val="clear" w:color="auto" w:fill="auto"/>
            <w:noWrap/>
            <w:vAlign w:val="bottom"/>
            <w:hideMark/>
          </w:tcPr>
          <w:p w14:paraId="5A492A5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2,1</w:t>
            </w:r>
          </w:p>
        </w:tc>
        <w:tc>
          <w:tcPr>
            <w:tcW w:w="918" w:type="dxa"/>
            <w:shd w:val="clear" w:color="auto" w:fill="D9D9D9" w:themeFill="background1" w:themeFillShade="D9"/>
            <w:noWrap/>
            <w:vAlign w:val="bottom"/>
            <w:hideMark/>
          </w:tcPr>
          <w:p w14:paraId="43EA16A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0,41</w:t>
            </w:r>
          </w:p>
        </w:tc>
        <w:tc>
          <w:tcPr>
            <w:tcW w:w="958" w:type="dxa"/>
            <w:shd w:val="clear" w:color="auto" w:fill="auto"/>
            <w:noWrap/>
            <w:vAlign w:val="bottom"/>
            <w:hideMark/>
          </w:tcPr>
          <w:p w14:paraId="0675119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0,20</w:t>
            </w:r>
          </w:p>
        </w:tc>
        <w:tc>
          <w:tcPr>
            <w:tcW w:w="200" w:type="dxa"/>
            <w:shd w:val="clear" w:color="000000" w:fill="FFFFFF"/>
            <w:noWrap/>
            <w:vAlign w:val="bottom"/>
            <w:hideMark/>
          </w:tcPr>
          <w:p w14:paraId="542FA0EC"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423D4EE2"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13,5</w:t>
            </w:r>
          </w:p>
        </w:tc>
        <w:tc>
          <w:tcPr>
            <w:tcW w:w="918" w:type="dxa"/>
            <w:shd w:val="clear" w:color="auto" w:fill="auto"/>
            <w:noWrap/>
            <w:vAlign w:val="bottom"/>
            <w:hideMark/>
          </w:tcPr>
          <w:p w14:paraId="4508031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12,2</w:t>
            </w:r>
          </w:p>
        </w:tc>
        <w:tc>
          <w:tcPr>
            <w:tcW w:w="917" w:type="dxa"/>
            <w:shd w:val="clear" w:color="auto" w:fill="D9D9D9" w:themeFill="background1" w:themeFillShade="D9"/>
            <w:noWrap/>
            <w:vAlign w:val="bottom"/>
            <w:hideMark/>
          </w:tcPr>
          <w:p w14:paraId="5F6ADAF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1,43</w:t>
            </w:r>
          </w:p>
        </w:tc>
        <w:tc>
          <w:tcPr>
            <w:tcW w:w="918" w:type="dxa"/>
            <w:shd w:val="clear" w:color="auto" w:fill="auto"/>
            <w:noWrap/>
            <w:vAlign w:val="bottom"/>
            <w:hideMark/>
          </w:tcPr>
          <w:p w14:paraId="215F71F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1,11</w:t>
            </w:r>
          </w:p>
        </w:tc>
      </w:tr>
      <w:tr w:rsidR="006C737B" w:rsidRPr="00D96FFB" w14:paraId="3186A473" w14:textId="77777777" w:rsidTr="00C01B58">
        <w:trPr>
          <w:trHeight w:val="255"/>
        </w:trPr>
        <w:tc>
          <w:tcPr>
            <w:tcW w:w="1987" w:type="dxa"/>
            <w:shd w:val="clear" w:color="000000" w:fill="FFFFFF"/>
            <w:noWrap/>
            <w:vAlign w:val="bottom"/>
            <w:hideMark/>
          </w:tcPr>
          <w:p w14:paraId="4709AAF2"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Molise</w:t>
            </w:r>
          </w:p>
        </w:tc>
        <w:tc>
          <w:tcPr>
            <w:tcW w:w="917" w:type="dxa"/>
            <w:shd w:val="clear" w:color="auto" w:fill="D9D9D9" w:themeFill="background1" w:themeFillShade="D9"/>
            <w:noWrap/>
            <w:vAlign w:val="bottom"/>
            <w:hideMark/>
          </w:tcPr>
          <w:p w14:paraId="58EFF3A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3,3</w:t>
            </w:r>
          </w:p>
        </w:tc>
        <w:tc>
          <w:tcPr>
            <w:tcW w:w="917" w:type="dxa"/>
            <w:shd w:val="clear" w:color="auto" w:fill="auto"/>
            <w:noWrap/>
            <w:vAlign w:val="bottom"/>
            <w:hideMark/>
          </w:tcPr>
          <w:p w14:paraId="08645E6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w:t>
            </w:r>
          </w:p>
        </w:tc>
        <w:tc>
          <w:tcPr>
            <w:tcW w:w="918" w:type="dxa"/>
            <w:shd w:val="clear" w:color="auto" w:fill="D9D9D9" w:themeFill="background1" w:themeFillShade="D9"/>
            <w:noWrap/>
            <w:vAlign w:val="bottom"/>
            <w:hideMark/>
          </w:tcPr>
          <w:p w14:paraId="0D85BF5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0,32</w:t>
            </w:r>
          </w:p>
        </w:tc>
        <w:tc>
          <w:tcPr>
            <w:tcW w:w="958" w:type="dxa"/>
            <w:shd w:val="clear" w:color="auto" w:fill="auto"/>
            <w:noWrap/>
            <w:vAlign w:val="bottom"/>
            <w:hideMark/>
          </w:tcPr>
          <w:p w14:paraId="5F09B84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0,03</w:t>
            </w:r>
          </w:p>
        </w:tc>
        <w:tc>
          <w:tcPr>
            <w:tcW w:w="200" w:type="dxa"/>
            <w:shd w:val="clear" w:color="000000" w:fill="FFFFFF"/>
            <w:noWrap/>
            <w:vAlign w:val="bottom"/>
            <w:hideMark/>
          </w:tcPr>
          <w:p w14:paraId="12F06A6C"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C2F5BC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10,6</w:t>
            </w:r>
          </w:p>
        </w:tc>
        <w:tc>
          <w:tcPr>
            <w:tcW w:w="918" w:type="dxa"/>
            <w:shd w:val="clear" w:color="auto" w:fill="auto"/>
            <w:noWrap/>
            <w:vAlign w:val="bottom"/>
            <w:hideMark/>
          </w:tcPr>
          <w:p w14:paraId="2FE15B2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8,1</w:t>
            </w:r>
          </w:p>
        </w:tc>
        <w:tc>
          <w:tcPr>
            <w:tcW w:w="917" w:type="dxa"/>
            <w:shd w:val="clear" w:color="auto" w:fill="D9D9D9" w:themeFill="background1" w:themeFillShade="D9"/>
            <w:noWrap/>
            <w:vAlign w:val="bottom"/>
            <w:hideMark/>
          </w:tcPr>
          <w:p w14:paraId="7373C4C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1,51</w:t>
            </w:r>
          </w:p>
        </w:tc>
        <w:tc>
          <w:tcPr>
            <w:tcW w:w="918" w:type="dxa"/>
            <w:shd w:val="clear" w:color="auto" w:fill="auto"/>
            <w:noWrap/>
            <w:vAlign w:val="bottom"/>
            <w:hideMark/>
          </w:tcPr>
          <w:p w14:paraId="3B511B0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1,03</w:t>
            </w:r>
          </w:p>
        </w:tc>
      </w:tr>
      <w:tr w:rsidR="006C737B" w:rsidRPr="00D96FFB" w14:paraId="6A9CE6CF" w14:textId="77777777" w:rsidTr="00C01B58">
        <w:trPr>
          <w:trHeight w:val="255"/>
        </w:trPr>
        <w:tc>
          <w:tcPr>
            <w:tcW w:w="1987" w:type="dxa"/>
            <w:shd w:val="clear" w:color="000000" w:fill="FFFFFF"/>
            <w:noWrap/>
            <w:vAlign w:val="bottom"/>
            <w:hideMark/>
          </w:tcPr>
          <w:p w14:paraId="155F9F81"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Campania</w:t>
            </w:r>
          </w:p>
        </w:tc>
        <w:tc>
          <w:tcPr>
            <w:tcW w:w="917" w:type="dxa"/>
            <w:shd w:val="clear" w:color="auto" w:fill="D9D9D9" w:themeFill="background1" w:themeFillShade="D9"/>
            <w:noWrap/>
            <w:vAlign w:val="bottom"/>
            <w:hideMark/>
          </w:tcPr>
          <w:p w14:paraId="1076D58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4,7</w:t>
            </w:r>
          </w:p>
        </w:tc>
        <w:tc>
          <w:tcPr>
            <w:tcW w:w="917" w:type="dxa"/>
            <w:shd w:val="clear" w:color="auto" w:fill="auto"/>
            <w:noWrap/>
            <w:vAlign w:val="bottom"/>
            <w:hideMark/>
          </w:tcPr>
          <w:p w14:paraId="39EA88B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3,1</w:t>
            </w:r>
          </w:p>
        </w:tc>
        <w:tc>
          <w:tcPr>
            <w:tcW w:w="918" w:type="dxa"/>
            <w:shd w:val="clear" w:color="auto" w:fill="D9D9D9" w:themeFill="background1" w:themeFillShade="D9"/>
            <w:noWrap/>
            <w:vAlign w:val="bottom"/>
            <w:hideMark/>
          </w:tcPr>
          <w:p w14:paraId="758AB04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0,39</w:t>
            </w:r>
          </w:p>
        </w:tc>
        <w:tc>
          <w:tcPr>
            <w:tcW w:w="958" w:type="dxa"/>
            <w:shd w:val="clear" w:color="auto" w:fill="auto"/>
            <w:noWrap/>
            <w:vAlign w:val="bottom"/>
            <w:hideMark/>
          </w:tcPr>
          <w:p w14:paraId="649AC7E0"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0,22</w:t>
            </w:r>
          </w:p>
        </w:tc>
        <w:tc>
          <w:tcPr>
            <w:tcW w:w="200" w:type="dxa"/>
            <w:shd w:val="clear" w:color="000000" w:fill="FFFFFF"/>
            <w:noWrap/>
            <w:vAlign w:val="bottom"/>
            <w:hideMark/>
          </w:tcPr>
          <w:p w14:paraId="20F2BBE9"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1B1FA3D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17,0</w:t>
            </w:r>
          </w:p>
        </w:tc>
        <w:tc>
          <w:tcPr>
            <w:tcW w:w="918" w:type="dxa"/>
            <w:shd w:val="clear" w:color="auto" w:fill="auto"/>
            <w:noWrap/>
            <w:vAlign w:val="bottom"/>
            <w:hideMark/>
          </w:tcPr>
          <w:p w14:paraId="27DCA8C0"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13,6</w:t>
            </w:r>
          </w:p>
        </w:tc>
        <w:tc>
          <w:tcPr>
            <w:tcW w:w="917" w:type="dxa"/>
            <w:shd w:val="clear" w:color="auto" w:fill="D9D9D9" w:themeFill="background1" w:themeFillShade="D9"/>
            <w:noWrap/>
            <w:vAlign w:val="bottom"/>
            <w:hideMark/>
          </w:tcPr>
          <w:p w14:paraId="5742921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1,53</w:t>
            </w:r>
          </w:p>
        </w:tc>
        <w:tc>
          <w:tcPr>
            <w:tcW w:w="918" w:type="dxa"/>
            <w:shd w:val="clear" w:color="auto" w:fill="auto"/>
            <w:noWrap/>
            <w:vAlign w:val="bottom"/>
            <w:hideMark/>
          </w:tcPr>
          <w:p w14:paraId="2FEB22A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1,02</w:t>
            </w:r>
          </w:p>
        </w:tc>
      </w:tr>
      <w:tr w:rsidR="006C737B" w:rsidRPr="00D96FFB" w14:paraId="07879EB3" w14:textId="77777777" w:rsidTr="00C01B58">
        <w:trPr>
          <w:trHeight w:val="255"/>
        </w:trPr>
        <w:tc>
          <w:tcPr>
            <w:tcW w:w="1987" w:type="dxa"/>
            <w:shd w:val="clear" w:color="000000" w:fill="FFFFFF"/>
            <w:noWrap/>
            <w:vAlign w:val="bottom"/>
            <w:hideMark/>
          </w:tcPr>
          <w:p w14:paraId="204F8F5C"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Puglia</w:t>
            </w:r>
          </w:p>
        </w:tc>
        <w:tc>
          <w:tcPr>
            <w:tcW w:w="917" w:type="dxa"/>
            <w:shd w:val="clear" w:color="auto" w:fill="D9D9D9" w:themeFill="background1" w:themeFillShade="D9"/>
            <w:noWrap/>
            <w:vAlign w:val="bottom"/>
            <w:hideMark/>
          </w:tcPr>
          <w:p w14:paraId="273B6F1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5,2</w:t>
            </w:r>
          </w:p>
        </w:tc>
        <w:tc>
          <w:tcPr>
            <w:tcW w:w="917" w:type="dxa"/>
            <w:shd w:val="clear" w:color="auto" w:fill="auto"/>
            <w:noWrap/>
            <w:vAlign w:val="bottom"/>
            <w:hideMark/>
          </w:tcPr>
          <w:p w14:paraId="2E20FDA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3,6</w:t>
            </w:r>
          </w:p>
        </w:tc>
        <w:tc>
          <w:tcPr>
            <w:tcW w:w="918" w:type="dxa"/>
            <w:shd w:val="clear" w:color="auto" w:fill="D9D9D9" w:themeFill="background1" w:themeFillShade="D9"/>
            <w:noWrap/>
            <w:vAlign w:val="bottom"/>
            <w:hideMark/>
          </w:tcPr>
          <w:p w14:paraId="42AFA9A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0,49</w:t>
            </w:r>
          </w:p>
        </w:tc>
        <w:tc>
          <w:tcPr>
            <w:tcW w:w="958" w:type="dxa"/>
            <w:shd w:val="clear" w:color="auto" w:fill="auto"/>
            <w:noWrap/>
            <w:vAlign w:val="bottom"/>
            <w:hideMark/>
          </w:tcPr>
          <w:p w14:paraId="680CA8D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0,26</w:t>
            </w:r>
          </w:p>
        </w:tc>
        <w:tc>
          <w:tcPr>
            <w:tcW w:w="200" w:type="dxa"/>
            <w:shd w:val="clear" w:color="000000" w:fill="FFFFFF"/>
            <w:noWrap/>
            <w:vAlign w:val="bottom"/>
            <w:hideMark/>
          </w:tcPr>
          <w:p w14:paraId="48B6F269"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D7E94F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20,0</w:t>
            </w:r>
          </w:p>
        </w:tc>
        <w:tc>
          <w:tcPr>
            <w:tcW w:w="918" w:type="dxa"/>
            <w:shd w:val="clear" w:color="auto" w:fill="auto"/>
            <w:noWrap/>
            <w:vAlign w:val="bottom"/>
            <w:hideMark/>
          </w:tcPr>
          <w:p w14:paraId="6C25940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15,2</w:t>
            </w:r>
          </w:p>
        </w:tc>
        <w:tc>
          <w:tcPr>
            <w:tcW w:w="917" w:type="dxa"/>
            <w:shd w:val="clear" w:color="auto" w:fill="D9D9D9" w:themeFill="background1" w:themeFillShade="D9"/>
            <w:noWrap/>
            <w:vAlign w:val="bottom"/>
            <w:hideMark/>
          </w:tcPr>
          <w:p w14:paraId="78ABE71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2,09</w:t>
            </w:r>
          </w:p>
        </w:tc>
        <w:tc>
          <w:tcPr>
            <w:tcW w:w="918" w:type="dxa"/>
            <w:shd w:val="clear" w:color="auto" w:fill="auto"/>
            <w:noWrap/>
            <w:vAlign w:val="bottom"/>
            <w:hideMark/>
          </w:tcPr>
          <w:p w14:paraId="75CE545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1,26</w:t>
            </w:r>
          </w:p>
        </w:tc>
      </w:tr>
      <w:tr w:rsidR="006C737B" w:rsidRPr="00D96FFB" w14:paraId="0CE055A4" w14:textId="77777777" w:rsidTr="00C01B58">
        <w:trPr>
          <w:trHeight w:val="255"/>
        </w:trPr>
        <w:tc>
          <w:tcPr>
            <w:tcW w:w="1987" w:type="dxa"/>
            <w:shd w:val="clear" w:color="000000" w:fill="FFFFFF"/>
            <w:noWrap/>
            <w:vAlign w:val="bottom"/>
            <w:hideMark/>
          </w:tcPr>
          <w:p w14:paraId="78DFF8F0"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Basilicata</w:t>
            </w:r>
          </w:p>
        </w:tc>
        <w:tc>
          <w:tcPr>
            <w:tcW w:w="917" w:type="dxa"/>
            <w:shd w:val="clear" w:color="auto" w:fill="D9D9D9" w:themeFill="background1" w:themeFillShade="D9"/>
            <w:noWrap/>
            <w:vAlign w:val="bottom"/>
            <w:hideMark/>
          </w:tcPr>
          <w:p w14:paraId="435E0D1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2,9</w:t>
            </w:r>
          </w:p>
        </w:tc>
        <w:tc>
          <w:tcPr>
            <w:tcW w:w="917" w:type="dxa"/>
            <w:shd w:val="clear" w:color="auto" w:fill="auto"/>
            <w:noWrap/>
            <w:vAlign w:val="bottom"/>
            <w:hideMark/>
          </w:tcPr>
          <w:p w14:paraId="0A28250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4,8</w:t>
            </w:r>
          </w:p>
        </w:tc>
        <w:tc>
          <w:tcPr>
            <w:tcW w:w="918" w:type="dxa"/>
            <w:shd w:val="clear" w:color="auto" w:fill="D9D9D9" w:themeFill="background1" w:themeFillShade="D9"/>
            <w:noWrap/>
            <w:vAlign w:val="bottom"/>
            <w:hideMark/>
          </w:tcPr>
          <w:p w14:paraId="4120A3C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0,34</w:t>
            </w:r>
          </w:p>
        </w:tc>
        <w:tc>
          <w:tcPr>
            <w:tcW w:w="958" w:type="dxa"/>
            <w:shd w:val="clear" w:color="auto" w:fill="auto"/>
            <w:noWrap/>
            <w:vAlign w:val="bottom"/>
            <w:hideMark/>
          </w:tcPr>
          <w:p w14:paraId="1C37F245"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0,34</w:t>
            </w:r>
          </w:p>
        </w:tc>
        <w:tc>
          <w:tcPr>
            <w:tcW w:w="200" w:type="dxa"/>
            <w:shd w:val="clear" w:color="000000" w:fill="FFFFFF"/>
            <w:noWrap/>
            <w:vAlign w:val="bottom"/>
            <w:hideMark/>
          </w:tcPr>
          <w:p w14:paraId="295606E7"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64538A7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14,0</w:t>
            </w:r>
          </w:p>
        </w:tc>
        <w:tc>
          <w:tcPr>
            <w:tcW w:w="918" w:type="dxa"/>
            <w:shd w:val="clear" w:color="auto" w:fill="auto"/>
            <w:noWrap/>
            <w:vAlign w:val="bottom"/>
            <w:hideMark/>
          </w:tcPr>
          <w:p w14:paraId="73F4843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9,4</w:t>
            </w:r>
          </w:p>
        </w:tc>
        <w:tc>
          <w:tcPr>
            <w:tcW w:w="917" w:type="dxa"/>
            <w:shd w:val="clear" w:color="auto" w:fill="D9D9D9" w:themeFill="background1" w:themeFillShade="D9"/>
            <w:noWrap/>
            <w:vAlign w:val="bottom"/>
            <w:hideMark/>
          </w:tcPr>
          <w:p w14:paraId="06815BF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1,39</w:t>
            </w:r>
          </w:p>
        </w:tc>
        <w:tc>
          <w:tcPr>
            <w:tcW w:w="918" w:type="dxa"/>
            <w:shd w:val="clear" w:color="auto" w:fill="auto"/>
            <w:noWrap/>
            <w:vAlign w:val="bottom"/>
            <w:hideMark/>
          </w:tcPr>
          <w:p w14:paraId="2BB2FEA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0,85</w:t>
            </w:r>
          </w:p>
        </w:tc>
      </w:tr>
      <w:tr w:rsidR="006C737B" w:rsidRPr="00D96FFB" w14:paraId="485FA571" w14:textId="77777777" w:rsidTr="00C01B58">
        <w:trPr>
          <w:trHeight w:val="255"/>
        </w:trPr>
        <w:tc>
          <w:tcPr>
            <w:tcW w:w="1987" w:type="dxa"/>
            <w:shd w:val="clear" w:color="000000" w:fill="FFFFFF"/>
            <w:noWrap/>
            <w:vAlign w:val="bottom"/>
            <w:hideMark/>
          </w:tcPr>
          <w:p w14:paraId="1542298E"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Calabria</w:t>
            </w:r>
          </w:p>
        </w:tc>
        <w:tc>
          <w:tcPr>
            <w:tcW w:w="917" w:type="dxa"/>
            <w:shd w:val="clear" w:color="auto" w:fill="D9D9D9" w:themeFill="background1" w:themeFillShade="D9"/>
            <w:noWrap/>
            <w:vAlign w:val="bottom"/>
            <w:hideMark/>
          </w:tcPr>
          <w:p w14:paraId="2640F02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3,3</w:t>
            </w:r>
          </w:p>
        </w:tc>
        <w:tc>
          <w:tcPr>
            <w:tcW w:w="917" w:type="dxa"/>
            <w:shd w:val="clear" w:color="auto" w:fill="auto"/>
            <w:noWrap/>
            <w:vAlign w:val="bottom"/>
            <w:hideMark/>
          </w:tcPr>
          <w:p w14:paraId="244A9BA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2,4</w:t>
            </w:r>
          </w:p>
        </w:tc>
        <w:tc>
          <w:tcPr>
            <w:tcW w:w="918" w:type="dxa"/>
            <w:shd w:val="clear" w:color="auto" w:fill="D9D9D9" w:themeFill="background1" w:themeFillShade="D9"/>
            <w:noWrap/>
            <w:vAlign w:val="bottom"/>
            <w:hideMark/>
          </w:tcPr>
          <w:p w14:paraId="5D4337E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0,27</w:t>
            </w:r>
          </w:p>
        </w:tc>
        <w:tc>
          <w:tcPr>
            <w:tcW w:w="958" w:type="dxa"/>
            <w:shd w:val="clear" w:color="auto" w:fill="auto"/>
            <w:noWrap/>
            <w:vAlign w:val="bottom"/>
            <w:hideMark/>
          </w:tcPr>
          <w:p w14:paraId="76C5778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0,17</w:t>
            </w:r>
          </w:p>
        </w:tc>
        <w:tc>
          <w:tcPr>
            <w:tcW w:w="200" w:type="dxa"/>
            <w:shd w:val="clear" w:color="000000" w:fill="FFFFFF"/>
            <w:noWrap/>
            <w:vAlign w:val="bottom"/>
            <w:hideMark/>
          </w:tcPr>
          <w:p w14:paraId="10868C19"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14B954D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12,0</w:t>
            </w:r>
          </w:p>
        </w:tc>
        <w:tc>
          <w:tcPr>
            <w:tcW w:w="918" w:type="dxa"/>
            <w:shd w:val="clear" w:color="auto" w:fill="auto"/>
            <w:noWrap/>
            <w:vAlign w:val="bottom"/>
            <w:hideMark/>
          </w:tcPr>
          <w:p w14:paraId="24F90AC2"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10,2</w:t>
            </w:r>
          </w:p>
        </w:tc>
        <w:tc>
          <w:tcPr>
            <w:tcW w:w="917" w:type="dxa"/>
            <w:shd w:val="clear" w:color="auto" w:fill="D9D9D9" w:themeFill="background1" w:themeFillShade="D9"/>
            <w:noWrap/>
            <w:vAlign w:val="bottom"/>
            <w:hideMark/>
          </w:tcPr>
          <w:p w14:paraId="011E8CF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1,12</w:t>
            </w:r>
          </w:p>
        </w:tc>
        <w:tc>
          <w:tcPr>
            <w:tcW w:w="918" w:type="dxa"/>
            <w:shd w:val="clear" w:color="auto" w:fill="auto"/>
            <w:noWrap/>
            <w:vAlign w:val="bottom"/>
            <w:hideMark/>
          </w:tcPr>
          <w:p w14:paraId="0C12CD6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0,69</w:t>
            </w:r>
          </w:p>
        </w:tc>
      </w:tr>
      <w:tr w:rsidR="006C737B" w:rsidRPr="00D96FFB" w14:paraId="4DEEB933" w14:textId="77777777" w:rsidTr="00C01B58">
        <w:trPr>
          <w:trHeight w:val="255"/>
        </w:trPr>
        <w:tc>
          <w:tcPr>
            <w:tcW w:w="1987" w:type="dxa"/>
            <w:shd w:val="clear" w:color="000000" w:fill="FFFFFF"/>
            <w:noWrap/>
            <w:vAlign w:val="bottom"/>
            <w:hideMark/>
          </w:tcPr>
          <w:p w14:paraId="185AB309"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Sicilia</w:t>
            </w:r>
          </w:p>
        </w:tc>
        <w:tc>
          <w:tcPr>
            <w:tcW w:w="917" w:type="dxa"/>
            <w:shd w:val="clear" w:color="auto" w:fill="D9D9D9" w:themeFill="background1" w:themeFillShade="D9"/>
            <w:noWrap/>
            <w:vAlign w:val="bottom"/>
            <w:hideMark/>
          </w:tcPr>
          <w:p w14:paraId="6A932D4B"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2,6</w:t>
            </w:r>
          </w:p>
        </w:tc>
        <w:tc>
          <w:tcPr>
            <w:tcW w:w="917" w:type="dxa"/>
            <w:shd w:val="clear" w:color="auto" w:fill="auto"/>
            <w:noWrap/>
            <w:vAlign w:val="bottom"/>
            <w:hideMark/>
          </w:tcPr>
          <w:p w14:paraId="2B3D8BF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3,0</w:t>
            </w:r>
          </w:p>
        </w:tc>
        <w:tc>
          <w:tcPr>
            <w:tcW w:w="918" w:type="dxa"/>
            <w:shd w:val="clear" w:color="auto" w:fill="D9D9D9" w:themeFill="background1" w:themeFillShade="D9"/>
            <w:noWrap/>
            <w:vAlign w:val="bottom"/>
            <w:hideMark/>
          </w:tcPr>
          <w:p w14:paraId="732F1D8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0,21</w:t>
            </w:r>
          </w:p>
        </w:tc>
        <w:tc>
          <w:tcPr>
            <w:tcW w:w="958" w:type="dxa"/>
            <w:shd w:val="clear" w:color="auto" w:fill="auto"/>
            <w:noWrap/>
            <w:vAlign w:val="bottom"/>
            <w:hideMark/>
          </w:tcPr>
          <w:p w14:paraId="718DAB79"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0,21</w:t>
            </w:r>
          </w:p>
        </w:tc>
        <w:tc>
          <w:tcPr>
            <w:tcW w:w="200" w:type="dxa"/>
            <w:shd w:val="clear" w:color="000000" w:fill="FFFFFF"/>
            <w:noWrap/>
            <w:vAlign w:val="bottom"/>
            <w:hideMark/>
          </w:tcPr>
          <w:p w14:paraId="62F82788"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65117FDE"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10,0</w:t>
            </w:r>
          </w:p>
        </w:tc>
        <w:tc>
          <w:tcPr>
            <w:tcW w:w="918" w:type="dxa"/>
            <w:shd w:val="clear" w:color="auto" w:fill="auto"/>
            <w:noWrap/>
            <w:vAlign w:val="bottom"/>
            <w:hideMark/>
          </w:tcPr>
          <w:p w14:paraId="6B636454"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9,8</w:t>
            </w:r>
          </w:p>
        </w:tc>
        <w:tc>
          <w:tcPr>
            <w:tcW w:w="917" w:type="dxa"/>
            <w:shd w:val="clear" w:color="auto" w:fill="D9D9D9" w:themeFill="background1" w:themeFillShade="D9"/>
            <w:noWrap/>
            <w:vAlign w:val="bottom"/>
            <w:hideMark/>
          </w:tcPr>
          <w:p w14:paraId="5F0CCDF2"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0,96</w:t>
            </w:r>
          </w:p>
        </w:tc>
        <w:tc>
          <w:tcPr>
            <w:tcW w:w="918" w:type="dxa"/>
            <w:shd w:val="clear" w:color="auto" w:fill="auto"/>
            <w:noWrap/>
            <w:vAlign w:val="bottom"/>
            <w:hideMark/>
          </w:tcPr>
          <w:p w14:paraId="09459841"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0,81</w:t>
            </w:r>
          </w:p>
        </w:tc>
      </w:tr>
      <w:tr w:rsidR="006C737B" w:rsidRPr="00D96FFB" w14:paraId="141740D0" w14:textId="77777777" w:rsidTr="00C01B58">
        <w:trPr>
          <w:trHeight w:val="255"/>
        </w:trPr>
        <w:tc>
          <w:tcPr>
            <w:tcW w:w="1987" w:type="dxa"/>
            <w:shd w:val="clear" w:color="000000" w:fill="FFFFFF"/>
            <w:noWrap/>
            <w:vAlign w:val="bottom"/>
            <w:hideMark/>
          </w:tcPr>
          <w:p w14:paraId="5A43AD39" w14:textId="77777777" w:rsidR="006C737B" w:rsidRPr="00DD1CCC" w:rsidRDefault="006C737B">
            <w:pPr>
              <w:spacing w:before="40" w:after="20" w:line="240" w:lineRule="auto"/>
              <w:rPr>
                <w:rFonts w:ascii="Arial Narrow" w:eastAsia="Times New Roman" w:hAnsi="Arial Narrow" w:cs="Calibri"/>
                <w:bCs/>
                <w:color w:val="1F4E78"/>
                <w:sz w:val="16"/>
                <w:szCs w:val="16"/>
                <w:lang w:eastAsia="it-IT"/>
              </w:rPr>
            </w:pPr>
            <w:r w:rsidRPr="00DD1CCC">
              <w:rPr>
                <w:rFonts w:ascii="Arial Narrow" w:eastAsia="Times New Roman" w:hAnsi="Arial Narrow" w:cs="Calibri"/>
                <w:bCs/>
                <w:color w:val="1F4E78"/>
                <w:sz w:val="16"/>
                <w:szCs w:val="16"/>
                <w:lang w:eastAsia="it-IT"/>
              </w:rPr>
              <w:t>Sardegna</w:t>
            </w:r>
          </w:p>
        </w:tc>
        <w:tc>
          <w:tcPr>
            <w:tcW w:w="917" w:type="dxa"/>
            <w:shd w:val="clear" w:color="auto" w:fill="D9D9D9" w:themeFill="background1" w:themeFillShade="D9"/>
            <w:noWrap/>
            <w:vAlign w:val="bottom"/>
            <w:hideMark/>
          </w:tcPr>
          <w:p w14:paraId="7159396C"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6,2</w:t>
            </w:r>
          </w:p>
        </w:tc>
        <w:tc>
          <w:tcPr>
            <w:tcW w:w="917" w:type="dxa"/>
            <w:shd w:val="clear" w:color="auto" w:fill="auto"/>
            <w:noWrap/>
            <w:vAlign w:val="bottom"/>
            <w:hideMark/>
          </w:tcPr>
          <w:p w14:paraId="06FCDCA6"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3,8</w:t>
            </w:r>
          </w:p>
        </w:tc>
        <w:tc>
          <w:tcPr>
            <w:tcW w:w="918" w:type="dxa"/>
            <w:shd w:val="clear" w:color="auto" w:fill="D9D9D9" w:themeFill="background1" w:themeFillShade="D9"/>
            <w:noWrap/>
            <w:vAlign w:val="bottom"/>
            <w:hideMark/>
          </w:tcPr>
          <w:p w14:paraId="2DA97BE3"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0,58</w:t>
            </w:r>
          </w:p>
        </w:tc>
        <w:tc>
          <w:tcPr>
            <w:tcW w:w="958" w:type="dxa"/>
            <w:shd w:val="clear" w:color="auto" w:fill="auto"/>
            <w:noWrap/>
            <w:vAlign w:val="bottom"/>
            <w:hideMark/>
          </w:tcPr>
          <w:p w14:paraId="5A02740D"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0,31</w:t>
            </w:r>
          </w:p>
        </w:tc>
        <w:tc>
          <w:tcPr>
            <w:tcW w:w="200" w:type="dxa"/>
            <w:shd w:val="clear" w:color="000000" w:fill="FFFFFF"/>
            <w:noWrap/>
            <w:vAlign w:val="bottom"/>
            <w:hideMark/>
          </w:tcPr>
          <w:p w14:paraId="2B2B0698" w14:textId="77777777" w:rsidR="006C737B" w:rsidRPr="00DD1CCC" w:rsidRDefault="006C737B">
            <w:pPr>
              <w:spacing w:before="40" w:after="20" w:line="240" w:lineRule="auto"/>
              <w:rPr>
                <w:rFonts w:ascii="Arial" w:eastAsia="Times New Roman" w:hAnsi="Arial" w:cs="Arial"/>
                <w:color w:val="000000"/>
                <w:sz w:val="16"/>
                <w:szCs w:val="16"/>
                <w:lang w:eastAsia="it-IT"/>
              </w:rPr>
            </w:pPr>
            <w:r w:rsidRPr="00DD1CCC">
              <w:rPr>
                <w:rFonts w:ascii="Arial" w:eastAsia="Times New Roman" w:hAnsi="Arial" w:cs="Arial"/>
                <w:color w:val="000000"/>
                <w:sz w:val="16"/>
                <w:szCs w:val="16"/>
                <w:lang w:eastAsia="it-IT"/>
              </w:rPr>
              <w:t> </w:t>
            </w:r>
          </w:p>
        </w:tc>
        <w:tc>
          <w:tcPr>
            <w:tcW w:w="989" w:type="dxa"/>
            <w:shd w:val="clear" w:color="auto" w:fill="D9D9D9" w:themeFill="background1" w:themeFillShade="D9"/>
            <w:noWrap/>
            <w:vAlign w:val="bottom"/>
            <w:hideMark/>
          </w:tcPr>
          <w:p w14:paraId="2CA8AFF7"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17,6</w:t>
            </w:r>
          </w:p>
        </w:tc>
        <w:tc>
          <w:tcPr>
            <w:tcW w:w="918" w:type="dxa"/>
            <w:shd w:val="clear" w:color="auto" w:fill="auto"/>
            <w:noWrap/>
            <w:vAlign w:val="bottom"/>
            <w:hideMark/>
          </w:tcPr>
          <w:p w14:paraId="5E7359CA"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18,9</w:t>
            </w:r>
          </w:p>
        </w:tc>
        <w:tc>
          <w:tcPr>
            <w:tcW w:w="917" w:type="dxa"/>
            <w:shd w:val="clear" w:color="auto" w:fill="D9D9D9" w:themeFill="background1" w:themeFillShade="D9"/>
            <w:noWrap/>
            <w:vAlign w:val="bottom"/>
            <w:hideMark/>
          </w:tcPr>
          <w:p w14:paraId="0A488A08"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1,86</w:t>
            </w:r>
          </w:p>
        </w:tc>
        <w:tc>
          <w:tcPr>
            <w:tcW w:w="918" w:type="dxa"/>
            <w:shd w:val="clear" w:color="auto" w:fill="auto"/>
            <w:noWrap/>
            <w:vAlign w:val="bottom"/>
            <w:hideMark/>
          </w:tcPr>
          <w:p w14:paraId="1BE3FABF" w14:textId="77777777" w:rsidR="006C737B" w:rsidRPr="00DD1CCC" w:rsidRDefault="006C737B">
            <w:pPr>
              <w:spacing w:before="40" w:after="20" w:line="240" w:lineRule="auto"/>
              <w:jc w:val="right"/>
              <w:rPr>
                <w:rFonts w:ascii="Arial Narrow" w:eastAsia="Times New Roman" w:hAnsi="Arial Narrow" w:cs="Calibri"/>
                <w:bCs/>
                <w:color w:val="000000"/>
                <w:sz w:val="16"/>
                <w:szCs w:val="16"/>
                <w:lang w:eastAsia="it-IT"/>
              </w:rPr>
            </w:pPr>
            <w:r w:rsidRPr="00DD1CCC">
              <w:rPr>
                <w:rFonts w:ascii="Arial Narrow" w:eastAsia="Times New Roman" w:hAnsi="Arial Narrow" w:cs="Calibri"/>
                <w:bCs/>
                <w:color w:val="000000"/>
                <w:sz w:val="16"/>
                <w:szCs w:val="16"/>
                <w:lang w:eastAsia="it-IT"/>
              </w:rPr>
              <w:t>1,59</w:t>
            </w:r>
          </w:p>
        </w:tc>
      </w:tr>
      <w:tr w:rsidR="00DD1CCC" w:rsidRPr="00D96FFB" w14:paraId="305C5606" w14:textId="77777777" w:rsidTr="00C01B58">
        <w:trPr>
          <w:trHeight w:val="255"/>
        </w:trPr>
        <w:tc>
          <w:tcPr>
            <w:tcW w:w="1987" w:type="dxa"/>
            <w:shd w:val="clear" w:color="000000" w:fill="1F4E78"/>
            <w:noWrap/>
            <w:vAlign w:val="bottom"/>
            <w:hideMark/>
          </w:tcPr>
          <w:p w14:paraId="746053C6" w14:textId="77777777" w:rsidR="006C737B" w:rsidRPr="00DD1CCC" w:rsidRDefault="006C737B">
            <w:pPr>
              <w:spacing w:before="40" w:after="20" w:line="240" w:lineRule="auto"/>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ITALIA</w:t>
            </w:r>
          </w:p>
        </w:tc>
        <w:tc>
          <w:tcPr>
            <w:tcW w:w="917" w:type="dxa"/>
            <w:shd w:val="clear" w:color="000000" w:fill="1F4E78"/>
            <w:noWrap/>
            <w:vAlign w:val="bottom"/>
            <w:hideMark/>
          </w:tcPr>
          <w:p w14:paraId="2E7AD741"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4,8</w:t>
            </w:r>
          </w:p>
        </w:tc>
        <w:tc>
          <w:tcPr>
            <w:tcW w:w="917" w:type="dxa"/>
            <w:shd w:val="clear" w:color="000000" w:fill="1F4E78"/>
            <w:noWrap/>
            <w:vAlign w:val="bottom"/>
            <w:hideMark/>
          </w:tcPr>
          <w:p w14:paraId="39A0AA10"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4,3</w:t>
            </w:r>
          </w:p>
        </w:tc>
        <w:tc>
          <w:tcPr>
            <w:tcW w:w="918" w:type="dxa"/>
            <w:shd w:val="clear" w:color="000000" w:fill="1F4E78"/>
            <w:noWrap/>
            <w:vAlign w:val="bottom"/>
            <w:hideMark/>
          </w:tcPr>
          <w:p w14:paraId="63A8EC4C"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0,46</w:t>
            </w:r>
          </w:p>
        </w:tc>
        <w:tc>
          <w:tcPr>
            <w:tcW w:w="958" w:type="dxa"/>
            <w:shd w:val="clear" w:color="000000" w:fill="1F4E78"/>
            <w:noWrap/>
            <w:vAlign w:val="bottom"/>
            <w:hideMark/>
          </w:tcPr>
          <w:p w14:paraId="627DFA32"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0,35</w:t>
            </w:r>
          </w:p>
        </w:tc>
        <w:tc>
          <w:tcPr>
            <w:tcW w:w="200" w:type="dxa"/>
            <w:shd w:val="clear" w:color="000000" w:fill="1F4E78"/>
            <w:noWrap/>
            <w:vAlign w:val="bottom"/>
            <w:hideMark/>
          </w:tcPr>
          <w:p w14:paraId="15F44129" w14:textId="77777777" w:rsidR="006C737B" w:rsidRPr="00DD1CCC" w:rsidRDefault="006C737B">
            <w:pPr>
              <w:spacing w:before="40" w:after="20" w:line="240" w:lineRule="auto"/>
              <w:rPr>
                <w:rFonts w:ascii="Arial" w:eastAsia="Times New Roman" w:hAnsi="Arial" w:cs="Arial"/>
                <w:bCs/>
                <w:color w:val="FFFFFF"/>
                <w:sz w:val="16"/>
                <w:szCs w:val="16"/>
                <w:lang w:eastAsia="it-IT"/>
              </w:rPr>
            </w:pPr>
            <w:r w:rsidRPr="00DD1CCC">
              <w:rPr>
                <w:rFonts w:ascii="Arial" w:eastAsia="Times New Roman" w:hAnsi="Arial" w:cs="Arial"/>
                <w:bCs/>
                <w:color w:val="FFFFFF"/>
                <w:sz w:val="16"/>
                <w:szCs w:val="16"/>
                <w:lang w:eastAsia="it-IT"/>
              </w:rPr>
              <w:t> </w:t>
            </w:r>
          </w:p>
        </w:tc>
        <w:tc>
          <w:tcPr>
            <w:tcW w:w="989" w:type="dxa"/>
            <w:shd w:val="clear" w:color="000000" w:fill="1F4E78"/>
            <w:noWrap/>
            <w:vAlign w:val="bottom"/>
            <w:hideMark/>
          </w:tcPr>
          <w:p w14:paraId="56747213"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13,2</w:t>
            </w:r>
          </w:p>
        </w:tc>
        <w:tc>
          <w:tcPr>
            <w:tcW w:w="918" w:type="dxa"/>
            <w:shd w:val="clear" w:color="000000" w:fill="1F4E78"/>
            <w:noWrap/>
            <w:vAlign w:val="bottom"/>
            <w:hideMark/>
          </w:tcPr>
          <w:p w14:paraId="4C4914E0"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12,3</w:t>
            </w:r>
          </w:p>
        </w:tc>
        <w:tc>
          <w:tcPr>
            <w:tcW w:w="917" w:type="dxa"/>
            <w:shd w:val="clear" w:color="000000" w:fill="1F4E78"/>
            <w:noWrap/>
            <w:vAlign w:val="bottom"/>
            <w:hideMark/>
          </w:tcPr>
          <w:p w14:paraId="2AB2A447"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1,35</w:t>
            </w:r>
          </w:p>
        </w:tc>
        <w:tc>
          <w:tcPr>
            <w:tcW w:w="918" w:type="dxa"/>
            <w:shd w:val="clear" w:color="000000" w:fill="1F4E78"/>
            <w:noWrap/>
            <w:vAlign w:val="bottom"/>
            <w:hideMark/>
          </w:tcPr>
          <w:p w14:paraId="2254F589" w14:textId="77777777" w:rsidR="006C737B" w:rsidRPr="00DD1CCC" w:rsidRDefault="006C737B">
            <w:pPr>
              <w:spacing w:before="40" w:after="20" w:line="240" w:lineRule="auto"/>
              <w:jc w:val="right"/>
              <w:rPr>
                <w:rFonts w:ascii="Arial Narrow" w:eastAsia="Times New Roman" w:hAnsi="Arial Narrow" w:cs="Calibri"/>
                <w:bCs/>
                <w:color w:val="FFFFFF"/>
                <w:sz w:val="16"/>
                <w:szCs w:val="16"/>
                <w:lang w:eastAsia="it-IT"/>
              </w:rPr>
            </w:pPr>
            <w:r w:rsidRPr="00DD1CCC">
              <w:rPr>
                <w:rFonts w:ascii="Arial Narrow" w:eastAsia="Times New Roman" w:hAnsi="Arial Narrow" w:cs="Calibri"/>
                <w:bCs/>
                <w:color w:val="FFFFFF"/>
                <w:sz w:val="16"/>
                <w:szCs w:val="16"/>
                <w:lang w:eastAsia="it-IT"/>
              </w:rPr>
              <w:t>1,07</w:t>
            </w:r>
          </w:p>
        </w:tc>
      </w:tr>
    </w:tbl>
    <w:p w14:paraId="33376F88" w14:textId="77777777" w:rsidR="001668A6" w:rsidRPr="000950FE" w:rsidRDefault="00A5282A" w:rsidP="00DD1CCC">
      <w:pPr>
        <w:spacing w:before="60" w:after="0" w:line="240" w:lineRule="auto"/>
        <w:jc w:val="both"/>
        <w:rPr>
          <w:rFonts w:ascii="Arial" w:hAnsi="Arial" w:cs="Arial"/>
          <w:color w:val="000000" w:themeColor="text1"/>
          <w:sz w:val="16"/>
          <w:szCs w:val="16"/>
        </w:rPr>
      </w:pPr>
      <w:r w:rsidRPr="000950FE">
        <w:rPr>
          <w:rFonts w:ascii="Arial" w:hAnsi="Arial" w:cs="Arial"/>
          <w:color w:val="000000" w:themeColor="text1"/>
          <w:sz w:val="16"/>
          <w:szCs w:val="16"/>
        </w:rPr>
        <w:t>(a) i tassi sono calcolati rispetto alla regione di residenza.</w:t>
      </w:r>
    </w:p>
    <w:p w14:paraId="70BE88C6" w14:textId="41E3C45A" w:rsidR="001668A6" w:rsidRPr="000950FE" w:rsidRDefault="00284DE1" w:rsidP="001668A6">
      <w:pPr>
        <w:jc w:val="both"/>
        <w:rPr>
          <w:rFonts w:ascii="Arial" w:hAnsi="Arial" w:cs="Arial"/>
          <w:color w:val="000000" w:themeColor="text1"/>
          <w:sz w:val="16"/>
          <w:szCs w:val="16"/>
        </w:rPr>
      </w:pPr>
      <w:r w:rsidRPr="000950FE">
        <w:rPr>
          <w:rFonts w:ascii="Arial" w:hAnsi="Arial" w:cs="Arial"/>
          <w:color w:val="000000" w:themeColor="text1"/>
          <w:sz w:val="16"/>
          <w:szCs w:val="16"/>
        </w:rPr>
        <w:t>Fonte: Elaborazioni Istat su dati Scheda dimissione ospedaliera (SDO)</w:t>
      </w:r>
    </w:p>
    <w:p w14:paraId="58920200" w14:textId="77777777" w:rsidR="001668A6" w:rsidRPr="000950FE" w:rsidRDefault="001668A6" w:rsidP="0049642E">
      <w:pPr>
        <w:pStyle w:val="Default"/>
        <w:spacing w:after="120"/>
        <w:jc w:val="both"/>
        <w:rPr>
          <w:rFonts w:ascii="Arial" w:eastAsiaTheme="minorHAnsi" w:hAnsi="Arial" w:cs="Arial"/>
          <w:b/>
          <w:bCs/>
          <w:color w:val="44546A" w:themeColor="text2"/>
          <w:sz w:val="22"/>
          <w:szCs w:val="22"/>
          <w:lang w:eastAsia="en-US"/>
        </w:rPr>
      </w:pPr>
    </w:p>
    <w:p w14:paraId="74638D64" w14:textId="4096C2BC" w:rsidR="0049642E" w:rsidRPr="000950FE" w:rsidRDefault="00F730D7" w:rsidP="0049642E">
      <w:pPr>
        <w:pStyle w:val="Defaul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t>Ricoveri con indicazione di violenza più frequenti tra le donne straniere</w:t>
      </w:r>
      <w:r w:rsidR="006C5B24" w:rsidRPr="000950FE">
        <w:rPr>
          <w:rFonts w:ascii="Arial" w:eastAsiaTheme="minorHAnsi" w:hAnsi="Arial" w:cs="Arial"/>
          <w:b/>
          <w:bCs/>
          <w:color w:val="44546A" w:themeColor="text2"/>
          <w:sz w:val="22"/>
          <w:szCs w:val="22"/>
          <w:lang w:eastAsia="en-US"/>
        </w:rPr>
        <w:t xml:space="preserve"> giovani</w:t>
      </w:r>
    </w:p>
    <w:p w14:paraId="2A343BE7" w14:textId="77777777" w:rsidR="005750B9" w:rsidRPr="000950FE" w:rsidRDefault="0049642E" w:rsidP="0049642E">
      <w:pPr>
        <w:pStyle w:val="Default"/>
        <w:spacing w:after="120"/>
        <w:jc w:val="both"/>
        <w:rPr>
          <w:rFonts w:ascii="Arial" w:hAnsi="Arial" w:cs="Arial"/>
          <w:sz w:val="20"/>
          <w:szCs w:val="20"/>
        </w:rPr>
      </w:pPr>
      <w:r w:rsidRPr="000950FE">
        <w:rPr>
          <w:rFonts w:ascii="Arial" w:hAnsi="Arial" w:cs="Arial"/>
          <w:sz w:val="20"/>
          <w:szCs w:val="20"/>
        </w:rPr>
        <w:t>Tra i ricoveri con indicazione di violenza, quasi il 30% in entrambi i generi sono relativi a pazienti con cittadinanza straniera, mentre</w:t>
      </w:r>
      <w:r w:rsidR="00DA42BF" w:rsidRPr="000950FE">
        <w:rPr>
          <w:rFonts w:ascii="Arial" w:hAnsi="Arial" w:cs="Arial"/>
          <w:sz w:val="20"/>
          <w:szCs w:val="20"/>
        </w:rPr>
        <w:t>,</w:t>
      </w:r>
      <w:r w:rsidRPr="000950FE">
        <w:rPr>
          <w:rFonts w:ascii="Arial" w:hAnsi="Arial" w:cs="Arial"/>
          <w:sz w:val="20"/>
          <w:szCs w:val="20"/>
        </w:rPr>
        <w:t xml:space="preserve"> </w:t>
      </w:r>
      <w:r w:rsidR="008041B3" w:rsidRPr="000950FE">
        <w:rPr>
          <w:rFonts w:ascii="Arial" w:hAnsi="Arial" w:cs="Arial"/>
          <w:sz w:val="20"/>
          <w:szCs w:val="20"/>
        </w:rPr>
        <w:t xml:space="preserve">considerando il </w:t>
      </w:r>
      <w:r w:rsidRPr="000950FE">
        <w:rPr>
          <w:rFonts w:ascii="Arial" w:hAnsi="Arial" w:cs="Arial"/>
          <w:sz w:val="20"/>
          <w:szCs w:val="20"/>
        </w:rPr>
        <w:t>complesso dei ricoveri</w:t>
      </w:r>
      <w:r w:rsidR="00DA42BF" w:rsidRPr="000950FE">
        <w:rPr>
          <w:rFonts w:ascii="Arial" w:hAnsi="Arial" w:cs="Arial"/>
          <w:sz w:val="20"/>
          <w:szCs w:val="20"/>
        </w:rPr>
        <w:t>,</w:t>
      </w:r>
      <w:r w:rsidRPr="000950FE">
        <w:rPr>
          <w:rFonts w:ascii="Arial" w:hAnsi="Arial" w:cs="Arial"/>
          <w:sz w:val="20"/>
          <w:szCs w:val="20"/>
        </w:rPr>
        <w:t xml:space="preserve"> </w:t>
      </w:r>
      <w:r w:rsidR="00FA0E98" w:rsidRPr="000950FE">
        <w:rPr>
          <w:rFonts w:ascii="Arial" w:hAnsi="Arial" w:cs="Arial"/>
          <w:sz w:val="20"/>
          <w:szCs w:val="20"/>
        </w:rPr>
        <w:t>gli</w:t>
      </w:r>
      <w:r w:rsidR="00FE7AED" w:rsidRPr="000950FE">
        <w:rPr>
          <w:rFonts w:ascii="Arial" w:hAnsi="Arial" w:cs="Arial"/>
          <w:sz w:val="20"/>
          <w:szCs w:val="20"/>
        </w:rPr>
        <w:t xml:space="preserve"> stranieri </w:t>
      </w:r>
      <w:r w:rsidRPr="000950FE">
        <w:rPr>
          <w:rFonts w:ascii="Arial" w:hAnsi="Arial" w:cs="Arial"/>
          <w:sz w:val="20"/>
          <w:szCs w:val="20"/>
        </w:rPr>
        <w:t xml:space="preserve">costituiscono il 5,2% per gli uomini e il 6,2% per le donne. </w:t>
      </w:r>
      <w:r w:rsidR="004F05A1" w:rsidRPr="000950FE">
        <w:rPr>
          <w:rFonts w:ascii="Arial" w:hAnsi="Arial" w:cs="Arial"/>
          <w:sz w:val="20"/>
          <w:szCs w:val="20"/>
        </w:rPr>
        <w:t>Tale quota</w:t>
      </w:r>
      <w:r w:rsidRPr="000950FE">
        <w:rPr>
          <w:rFonts w:ascii="Arial" w:hAnsi="Arial" w:cs="Arial"/>
          <w:sz w:val="20"/>
          <w:szCs w:val="20"/>
        </w:rPr>
        <w:t xml:space="preserve"> supera il 40% nei ricoveri di donne di 18-34 anni</w:t>
      </w:r>
      <w:r w:rsidR="00057C70" w:rsidRPr="000950FE">
        <w:rPr>
          <w:rFonts w:ascii="Arial" w:hAnsi="Arial" w:cs="Arial"/>
          <w:sz w:val="20"/>
          <w:szCs w:val="20"/>
        </w:rPr>
        <w:t xml:space="preserve"> </w:t>
      </w:r>
      <w:r w:rsidRPr="000950FE">
        <w:rPr>
          <w:rFonts w:ascii="Arial" w:hAnsi="Arial" w:cs="Arial"/>
          <w:sz w:val="20"/>
          <w:szCs w:val="20"/>
        </w:rPr>
        <w:t>con indicazione di violenza</w:t>
      </w:r>
      <w:r w:rsidR="00057C70" w:rsidRPr="000950FE">
        <w:rPr>
          <w:rFonts w:ascii="Arial" w:hAnsi="Arial" w:cs="Arial"/>
          <w:sz w:val="20"/>
          <w:szCs w:val="20"/>
        </w:rPr>
        <w:t>.</w:t>
      </w:r>
    </w:p>
    <w:p w14:paraId="30EAC916" w14:textId="3852CF41" w:rsidR="00DA42BF" w:rsidRPr="000950FE" w:rsidRDefault="00DA42BF" w:rsidP="0049642E">
      <w:pPr>
        <w:pStyle w:val="Default"/>
        <w:spacing w:after="120"/>
        <w:jc w:val="both"/>
        <w:rPr>
          <w:rFonts w:ascii="Arial" w:hAnsi="Arial" w:cs="Arial"/>
          <w:sz w:val="20"/>
          <w:szCs w:val="20"/>
        </w:rPr>
      </w:pPr>
      <w:r w:rsidRPr="000950FE">
        <w:rPr>
          <w:rFonts w:ascii="Arial" w:hAnsi="Arial" w:cs="Arial"/>
          <w:sz w:val="20"/>
          <w:szCs w:val="20"/>
        </w:rPr>
        <w:t>Nel biennio 2020-2021, t</w:t>
      </w:r>
      <w:r w:rsidR="00FE36BD" w:rsidRPr="000950FE">
        <w:rPr>
          <w:rFonts w:ascii="Arial" w:hAnsi="Arial" w:cs="Arial"/>
          <w:sz w:val="20"/>
          <w:szCs w:val="20"/>
        </w:rPr>
        <w:t xml:space="preserve">ra le donne straniere </w:t>
      </w:r>
      <w:r w:rsidRPr="000950FE">
        <w:rPr>
          <w:rFonts w:ascii="Arial" w:hAnsi="Arial" w:cs="Arial"/>
          <w:sz w:val="20"/>
          <w:szCs w:val="20"/>
        </w:rPr>
        <w:t>sono</w:t>
      </w:r>
      <w:r w:rsidR="00F826F6" w:rsidRPr="000950FE">
        <w:rPr>
          <w:rFonts w:ascii="Arial" w:hAnsi="Arial" w:cs="Arial"/>
          <w:sz w:val="20"/>
          <w:szCs w:val="20"/>
        </w:rPr>
        <w:t xml:space="preserve"> </w:t>
      </w:r>
      <w:r w:rsidRPr="000950FE">
        <w:rPr>
          <w:rFonts w:ascii="Arial" w:hAnsi="Arial" w:cs="Arial"/>
          <w:sz w:val="20"/>
          <w:szCs w:val="20"/>
        </w:rPr>
        <w:t xml:space="preserve">19,5 i </w:t>
      </w:r>
      <w:r w:rsidR="00F826F6" w:rsidRPr="000950FE">
        <w:rPr>
          <w:rFonts w:ascii="Arial" w:hAnsi="Arial" w:cs="Arial"/>
          <w:sz w:val="20"/>
          <w:szCs w:val="20"/>
        </w:rPr>
        <w:t xml:space="preserve">ricoveri ordinari </w:t>
      </w:r>
      <w:r w:rsidRPr="000950FE">
        <w:rPr>
          <w:rFonts w:ascii="Arial" w:hAnsi="Arial" w:cs="Arial"/>
          <w:sz w:val="20"/>
          <w:szCs w:val="20"/>
        </w:rPr>
        <w:t xml:space="preserve">per violenza </w:t>
      </w:r>
      <w:r w:rsidR="00F826F6" w:rsidRPr="000950FE">
        <w:rPr>
          <w:rFonts w:ascii="Arial" w:hAnsi="Arial" w:cs="Arial"/>
          <w:sz w:val="20"/>
          <w:szCs w:val="20"/>
        </w:rPr>
        <w:t>ogni 10.000 ricoveri totali, a fronte di 3,</w:t>
      </w:r>
      <w:r w:rsidRPr="000950FE">
        <w:rPr>
          <w:rFonts w:ascii="Arial" w:hAnsi="Arial" w:cs="Arial"/>
          <w:sz w:val="20"/>
          <w:szCs w:val="20"/>
        </w:rPr>
        <w:t>3 tra le italiane (4,5 è il dato medio complessivo)</w:t>
      </w:r>
      <w:r w:rsidR="00FE36BD" w:rsidRPr="000950FE">
        <w:rPr>
          <w:rFonts w:ascii="Arial" w:hAnsi="Arial" w:cs="Arial"/>
          <w:sz w:val="20"/>
          <w:szCs w:val="20"/>
        </w:rPr>
        <w:t xml:space="preserve">. L’incidenza dei ricoveri con indicazione di violenza è massima nelle donne giovani di 18-34 anni </w:t>
      </w:r>
      <w:r w:rsidR="00E47FD1" w:rsidRPr="000950FE">
        <w:rPr>
          <w:rFonts w:ascii="Arial" w:hAnsi="Arial" w:cs="Arial"/>
          <w:sz w:val="20"/>
          <w:szCs w:val="20"/>
        </w:rPr>
        <w:t xml:space="preserve">sia italiane </w:t>
      </w:r>
      <w:r w:rsidR="008041B3" w:rsidRPr="000950FE">
        <w:rPr>
          <w:rFonts w:ascii="Arial" w:hAnsi="Arial" w:cs="Arial"/>
          <w:sz w:val="20"/>
          <w:szCs w:val="20"/>
        </w:rPr>
        <w:t xml:space="preserve">sia </w:t>
      </w:r>
      <w:r w:rsidR="00E47FD1" w:rsidRPr="000950FE">
        <w:rPr>
          <w:rFonts w:ascii="Arial" w:hAnsi="Arial" w:cs="Arial"/>
          <w:sz w:val="20"/>
          <w:szCs w:val="20"/>
        </w:rPr>
        <w:t xml:space="preserve">straniere, ma </w:t>
      </w:r>
      <w:r w:rsidR="00B60B48">
        <w:rPr>
          <w:rFonts w:ascii="Arial" w:hAnsi="Arial" w:cs="Arial"/>
          <w:sz w:val="20"/>
          <w:szCs w:val="20"/>
        </w:rPr>
        <w:t>per</w:t>
      </w:r>
      <w:r w:rsidR="00E47FD1" w:rsidRPr="000950FE">
        <w:rPr>
          <w:rFonts w:ascii="Arial" w:hAnsi="Arial" w:cs="Arial"/>
          <w:sz w:val="20"/>
          <w:szCs w:val="20"/>
        </w:rPr>
        <w:t xml:space="preserve"> quest’ultime è quattro volte più elevata: 38,5 ricoveri per 10.000 ricoveri totali contro 10,3 nel biennio 2020-2021. Anche i dati relativi agli uomini confermano la presenza di un forte divario tra stranieri e italiani.</w:t>
      </w:r>
      <w:r w:rsidR="003622E7" w:rsidRPr="000950FE">
        <w:rPr>
          <w:rFonts w:ascii="Arial" w:hAnsi="Arial" w:cs="Arial"/>
          <w:sz w:val="20"/>
          <w:szCs w:val="20"/>
        </w:rPr>
        <w:t xml:space="preserve"> </w:t>
      </w:r>
    </w:p>
    <w:p w14:paraId="3A31255D" w14:textId="77777777" w:rsidR="00E47FD1" w:rsidRPr="000950FE" w:rsidRDefault="00DA42BF" w:rsidP="0049642E">
      <w:pPr>
        <w:pStyle w:val="Default"/>
        <w:spacing w:after="120"/>
        <w:jc w:val="both"/>
        <w:rPr>
          <w:rFonts w:ascii="Arial" w:hAnsi="Arial" w:cs="Arial"/>
          <w:sz w:val="20"/>
          <w:szCs w:val="20"/>
        </w:rPr>
      </w:pPr>
      <w:r w:rsidRPr="000950FE">
        <w:rPr>
          <w:rFonts w:ascii="Arial" w:hAnsi="Arial" w:cs="Arial"/>
          <w:sz w:val="20"/>
          <w:szCs w:val="20"/>
        </w:rPr>
        <w:t>L</w:t>
      </w:r>
      <w:r w:rsidR="00E47FD1" w:rsidRPr="000950FE">
        <w:rPr>
          <w:rFonts w:ascii="Arial" w:hAnsi="Arial" w:cs="Arial"/>
          <w:sz w:val="20"/>
          <w:szCs w:val="20"/>
        </w:rPr>
        <w:t>a permanenza media in ospedale per i ricoveri con indicazione di violenza risulta</w:t>
      </w:r>
      <w:r w:rsidRPr="000950FE">
        <w:rPr>
          <w:rFonts w:ascii="Arial" w:hAnsi="Arial" w:cs="Arial"/>
          <w:sz w:val="20"/>
          <w:szCs w:val="20"/>
        </w:rPr>
        <w:t>, invece,</w:t>
      </w:r>
      <w:r w:rsidR="00E47FD1" w:rsidRPr="000950FE">
        <w:rPr>
          <w:rFonts w:ascii="Arial" w:hAnsi="Arial" w:cs="Arial"/>
          <w:sz w:val="20"/>
          <w:szCs w:val="20"/>
        </w:rPr>
        <w:t xml:space="preserve"> più prolungata per le donne italiane (6,8 giorni) rispetto alle donne straniere (5,6 giorni)</w:t>
      </w:r>
      <w:r w:rsidR="004F05A1" w:rsidRPr="000950FE">
        <w:rPr>
          <w:rFonts w:ascii="Arial" w:hAnsi="Arial" w:cs="Arial"/>
          <w:sz w:val="20"/>
          <w:szCs w:val="20"/>
        </w:rPr>
        <w:t>, in particolare dai 50 anni in poi</w:t>
      </w:r>
      <w:r w:rsidR="003622E7" w:rsidRPr="000950FE">
        <w:rPr>
          <w:rFonts w:ascii="Arial" w:hAnsi="Arial" w:cs="Arial"/>
          <w:sz w:val="20"/>
          <w:szCs w:val="20"/>
        </w:rPr>
        <w:t>.</w:t>
      </w:r>
    </w:p>
    <w:p w14:paraId="0A73287F" w14:textId="38424C3B" w:rsidR="009D7055" w:rsidRPr="000950FE" w:rsidRDefault="001258CF" w:rsidP="0049642E">
      <w:pPr>
        <w:pStyle w:val="Default"/>
        <w:spacing w:after="120"/>
        <w:jc w:val="both"/>
        <w:rPr>
          <w:rFonts w:ascii="Arial" w:hAnsi="Arial" w:cs="Arial"/>
          <w:sz w:val="20"/>
          <w:szCs w:val="20"/>
        </w:rPr>
      </w:pPr>
      <w:r w:rsidRPr="000950FE">
        <w:rPr>
          <w:rFonts w:ascii="Arial" w:hAnsi="Arial" w:cs="Arial"/>
          <w:sz w:val="20"/>
          <w:szCs w:val="20"/>
        </w:rPr>
        <w:t>Rispetto alle donne residenti, i</w:t>
      </w:r>
      <w:r w:rsidR="004F05A1" w:rsidRPr="000950FE">
        <w:rPr>
          <w:rFonts w:ascii="Arial" w:hAnsi="Arial" w:cs="Arial"/>
          <w:sz w:val="20"/>
          <w:szCs w:val="20"/>
        </w:rPr>
        <w:t xml:space="preserve"> tassi di ricovero </w:t>
      </w:r>
      <w:r w:rsidR="00FA0E98" w:rsidRPr="000950FE">
        <w:rPr>
          <w:rFonts w:ascii="Arial" w:hAnsi="Arial" w:cs="Arial"/>
          <w:sz w:val="20"/>
          <w:szCs w:val="20"/>
        </w:rPr>
        <w:t xml:space="preserve">con indicazione di violenza </w:t>
      </w:r>
      <w:r w:rsidRPr="000950FE">
        <w:rPr>
          <w:rFonts w:ascii="Arial" w:hAnsi="Arial" w:cs="Arial"/>
          <w:sz w:val="20"/>
          <w:szCs w:val="20"/>
        </w:rPr>
        <w:t>n</w:t>
      </w:r>
      <w:r w:rsidR="004F05A1" w:rsidRPr="000950FE">
        <w:rPr>
          <w:rFonts w:ascii="Arial" w:hAnsi="Arial" w:cs="Arial"/>
          <w:sz w:val="20"/>
          <w:szCs w:val="20"/>
        </w:rPr>
        <w:t xml:space="preserve">elle straniere sono oltre tre volte più elevati di quelli delle italiane </w:t>
      </w:r>
      <w:r w:rsidRPr="000950FE">
        <w:rPr>
          <w:rFonts w:ascii="Arial" w:hAnsi="Arial" w:cs="Arial"/>
          <w:sz w:val="20"/>
          <w:szCs w:val="20"/>
        </w:rPr>
        <w:t>in entrambi i periodi</w:t>
      </w:r>
      <w:r w:rsidR="007C42AD" w:rsidRPr="000950FE">
        <w:rPr>
          <w:rFonts w:ascii="Arial" w:hAnsi="Arial" w:cs="Arial"/>
          <w:sz w:val="20"/>
          <w:szCs w:val="20"/>
        </w:rPr>
        <w:t xml:space="preserve">: 1,27 per 10.000 residenti contro 0,39 nel periodo </w:t>
      </w:r>
      <w:r w:rsidR="00A42F0F">
        <w:rPr>
          <w:rFonts w:ascii="Arial" w:hAnsi="Arial" w:cs="Arial"/>
          <w:sz w:val="20"/>
          <w:szCs w:val="20"/>
        </w:rPr>
        <w:br/>
      </w:r>
      <w:r w:rsidR="007C42AD" w:rsidRPr="000950FE">
        <w:rPr>
          <w:rFonts w:ascii="Arial" w:hAnsi="Arial" w:cs="Arial"/>
          <w:sz w:val="20"/>
          <w:szCs w:val="20"/>
        </w:rPr>
        <w:t>pre-pandemico</w:t>
      </w:r>
      <w:r w:rsidR="00B60B48">
        <w:rPr>
          <w:rFonts w:ascii="Arial" w:hAnsi="Arial" w:cs="Arial"/>
          <w:sz w:val="20"/>
          <w:szCs w:val="20"/>
        </w:rPr>
        <w:t>;</w:t>
      </w:r>
      <w:r w:rsidR="007C42AD" w:rsidRPr="000950FE">
        <w:rPr>
          <w:rFonts w:ascii="Arial" w:hAnsi="Arial" w:cs="Arial"/>
          <w:sz w:val="20"/>
          <w:szCs w:val="20"/>
        </w:rPr>
        <w:t xml:space="preserve"> 0,99 </w:t>
      </w:r>
      <w:r w:rsidR="00B60B48">
        <w:rPr>
          <w:rFonts w:ascii="Arial" w:hAnsi="Arial" w:cs="Arial"/>
          <w:sz w:val="20"/>
          <w:szCs w:val="20"/>
        </w:rPr>
        <w:t>contro</w:t>
      </w:r>
      <w:r w:rsidR="007C42AD" w:rsidRPr="000950FE">
        <w:rPr>
          <w:rFonts w:ascii="Arial" w:hAnsi="Arial" w:cs="Arial"/>
          <w:sz w:val="20"/>
          <w:szCs w:val="20"/>
        </w:rPr>
        <w:t xml:space="preserve"> 0,29</w:t>
      </w:r>
      <w:r w:rsidR="009D7055" w:rsidRPr="000950FE">
        <w:rPr>
          <w:rFonts w:ascii="Arial" w:hAnsi="Arial" w:cs="Arial"/>
          <w:sz w:val="20"/>
          <w:szCs w:val="20"/>
        </w:rPr>
        <w:t xml:space="preserve"> </w:t>
      </w:r>
      <w:r w:rsidR="007C42AD" w:rsidRPr="000950FE">
        <w:rPr>
          <w:rFonts w:ascii="Arial" w:hAnsi="Arial" w:cs="Arial"/>
          <w:sz w:val="20"/>
          <w:szCs w:val="20"/>
        </w:rPr>
        <w:t>nel periodo pandemico</w:t>
      </w:r>
      <w:r w:rsidR="009D7055" w:rsidRPr="000950FE">
        <w:rPr>
          <w:rFonts w:ascii="Arial" w:hAnsi="Arial" w:cs="Arial"/>
          <w:sz w:val="20"/>
          <w:szCs w:val="20"/>
        </w:rPr>
        <w:t>. Il divario sale a quattro volte tra le giovani di 18-34 anni</w:t>
      </w:r>
      <w:r w:rsidRPr="000950FE">
        <w:rPr>
          <w:rFonts w:ascii="Arial" w:hAnsi="Arial" w:cs="Arial"/>
          <w:sz w:val="20"/>
          <w:szCs w:val="20"/>
        </w:rPr>
        <w:t>:</w:t>
      </w:r>
      <w:r w:rsidR="009D7055" w:rsidRPr="000950FE">
        <w:rPr>
          <w:rFonts w:ascii="Arial" w:hAnsi="Arial" w:cs="Arial"/>
          <w:sz w:val="20"/>
          <w:szCs w:val="20"/>
        </w:rPr>
        <w:t xml:space="preserve"> </w:t>
      </w:r>
      <w:r w:rsidRPr="000950FE">
        <w:rPr>
          <w:rFonts w:ascii="Arial" w:hAnsi="Arial" w:cs="Arial"/>
          <w:sz w:val="20"/>
          <w:szCs w:val="20"/>
        </w:rPr>
        <w:t xml:space="preserve">1,77 </w:t>
      </w:r>
      <w:r w:rsidR="00B60B48">
        <w:rPr>
          <w:rFonts w:ascii="Arial" w:hAnsi="Arial" w:cs="Arial"/>
          <w:sz w:val="20"/>
          <w:szCs w:val="20"/>
        </w:rPr>
        <w:t>contro</w:t>
      </w:r>
      <w:r w:rsidRPr="000950FE">
        <w:rPr>
          <w:rFonts w:ascii="Arial" w:hAnsi="Arial" w:cs="Arial"/>
          <w:sz w:val="20"/>
          <w:szCs w:val="20"/>
        </w:rPr>
        <w:t xml:space="preserve"> 0,48 nel 2017-2019</w:t>
      </w:r>
      <w:r w:rsidR="00B60B48">
        <w:rPr>
          <w:rFonts w:ascii="Arial" w:hAnsi="Arial" w:cs="Arial"/>
          <w:sz w:val="20"/>
          <w:szCs w:val="20"/>
        </w:rPr>
        <w:t>;</w:t>
      </w:r>
      <w:r w:rsidRPr="000950FE">
        <w:rPr>
          <w:rFonts w:ascii="Arial" w:hAnsi="Arial" w:cs="Arial"/>
          <w:sz w:val="20"/>
          <w:szCs w:val="20"/>
        </w:rPr>
        <w:t xml:space="preserve"> </w:t>
      </w:r>
      <w:r w:rsidR="009D7055" w:rsidRPr="000950FE">
        <w:rPr>
          <w:rFonts w:ascii="Arial" w:hAnsi="Arial" w:cs="Arial"/>
          <w:sz w:val="20"/>
          <w:szCs w:val="20"/>
        </w:rPr>
        <w:t>1,</w:t>
      </w:r>
      <w:r w:rsidRPr="000950FE">
        <w:rPr>
          <w:rFonts w:ascii="Arial" w:hAnsi="Arial" w:cs="Arial"/>
          <w:sz w:val="20"/>
          <w:szCs w:val="20"/>
        </w:rPr>
        <w:t>41</w:t>
      </w:r>
      <w:r w:rsidR="009D7055" w:rsidRPr="000950FE">
        <w:rPr>
          <w:rFonts w:ascii="Arial" w:hAnsi="Arial" w:cs="Arial"/>
          <w:sz w:val="20"/>
          <w:szCs w:val="20"/>
        </w:rPr>
        <w:t xml:space="preserve"> </w:t>
      </w:r>
      <w:r w:rsidR="00B60B48">
        <w:rPr>
          <w:rFonts w:ascii="Arial" w:hAnsi="Arial" w:cs="Arial"/>
          <w:sz w:val="20"/>
          <w:szCs w:val="20"/>
        </w:rPr>
        <w:t>contro</w:t>
      </w:r>
      <w:r w:rsidRPr="000950FE">
        <w:rPr>
          <w:rFonts w:ascii="Arial" w:hAnsi="Arial" w:cs="Arial"/>
          <w:sz w:val="20"/>
          <w:szCs w:val="20"/>
        </w:rPr>
        <w:t xml:space="preserve"> 0,34</w:t>
      </w:r>
      <w:r w:rsidR="009D7055" w:rsidRPr="000950FE">
        <w:rPr>
          <w:rFonts w:ascii="Arial" w:hAnsi="Arial" w:cs="Arial"/>
          <w:sz w:val="20"/>
          <w:szCs w:val="20"/>
        </w:rPr>
        <w:t xml:space="preserve"> nel 2020-2021.</w:t>
      </w:r>
      <w:r w:rsidR="007C42AD" w:rsidRPr="000950FE">
        <w:rPr>
          <w:rFonts w:ascii="Arial" w:hAnsi="Arial" w:cs="Arial"/>
          <w:sz w:val="20"/>
          <w:szCs w:val="20"/>
        </w:rPr>
        <w:t xml:space="preserve"> </w:t>
      </w:r>
      <w:r w:rsidRPr="000950FE">
        <w:rPr>
          <w:rFonts w:ascii="Arial" w:hAnsi="Arial" w:cs="Arial"/>
          <w:sz w:val="20"/>
          <w:szCs w:val="20"/>
        </w:rPr>
        <w:t>M</w:t>
      </w:r>
      <w:r w:rsidR="009D7055" w:rsidRPr="000950FE">
        <w:rPr>
          <w:rFonts w:ascii="Arial" w:hAnsi="Arial" w:cs="Arial"/>
          <w:sz w:val="20"/>
          <w:szCs w:val="20"/>
        </w:rPr>
        <w:t xml:space="preserve">entre </w:t>
      </w:r>
      <w:r w:rsidR="00B60B48">
        <w:rPr>
          <w:rFonts w:ascii="Arial" w:hAnsi="Arial" w:cs="Arial"/>
          <w:sz w:val="20"/>
          <w:szCs w:val="20"/>
        </w:rPr>
        <w:t>per</w:t>
      </w:r>
      <w:r w:rsidR="009D7055" w:rsidRPr="000950FE">
        <w:rPr>
          <w:rFonts w:ascii="Arial" w:hAnsi="Arial" w:cs="Arial"/>
          <w:sz w:val="20"/>
          <w:szCs w:val="20"/>
        </w:rPr>
        <w:t xml:space="preserve"> le italiane i ricoveri si distribuiscono tra tutte le classi di età</w:t>
      </w:r>
      <w:r w:rsidR="007C42AD" w:rsidRPr="000950FE">
        <w:rPr>
          <w:rFonts w:ascii="Arial" w:hAnsi="Arial" w:cs="Arial"/>
          <w:sz w:val="20"/>
          <w:szCs w:val="20"/>
        </w:rPr>
        <w:t xml:space="preserve"> e sono più elevati tra le minorenni</w:t>
      </w:r>
      <w:r w:rsidR="00072FCF">
        <w:rPr>
          <w:rFonts w:ascii="Arial" w:hAnsi="Arial" w:cs="Arial"/>
          <w:sz w:val="20"/>
          <w:szCs w:val="20"/>
        </w:rPr>
        <w:t>;</w:t>
      </w:r>
      <w:r w:rsidR="009D7055" w:rsidRPr="000950FE">
        <w:rPr>
          <w:rFonts w:ascii="Arial" w:hAnsi="Arial" w:cs="Arial"/>
          <w:sz w:val="20"/>
          <w:szCs w:val="20"/>
        </w:rPr>
        <w:t xml:space="preserve"> </w:t>
      </w:r>
      <w:r w:rsidR="00B60B48">
        <w:rPr>
          <w:rFonts w:ascii="Arial" w:hAnsi="Arial" w:cs="Arial"/>
          <w:sz w:val="20"/>
          <w:szCs w:val="20"/>
        </w:rPr>
        <w:t>per</w:t>
      </w:r>
      <w:r w:rsidR="009D7055" w:rsidRPr="000950FE">
        <w:rPr>
          <w:rFonts w:ascii="Arial" w:hAnsi="Arial" w:cs="Arial"/>
          <w:sz w:val="20"/>
          <w:szCs w:val="20"/>
        </w:rPr>
        <w:t xml:space="preserve"> le donne straniere il fenomeno è molto concentrato tra le giovani </w:t>
      </w:r>
      <w:r w:rsidR="007C42AD" w:rsidRPr="000950FE">
        <w:rPr>
          <w:rFonts w:ascii="Arial" w:hAnsi="Arial" w:cs="Arial"/>
          <w:sz w:val="20"/>
          <w:szCs w:val="20"/>
        </w:rPr>
        <w:t>e la classe di età modale è 18-</w:t>
      </w:r>
      <w:r w:rsidR="009D7055" w:rsidRPr="000950FE">
        <w:rPr>
          <w:rFonts w:ascii="Arial" w:hAnsi="Arial" w:cs="Arial"/>
          <w:sz w:val="20"/>
          <w:szCs w:val="20"/>
        </w:rPr>
        <w:t xml:space="preserve">34 anni </w:t>
      </w:r>
      <w:r w:rsidR="007C42AD" w:rsidRPr="000950FE">
        <w:rPr>
          <w:rFonts w:ascii="Arial" w:hAnsi="Arial" w:cs="Arial"/>
          <w:sz w:val="20"/>
          <w:szCs w:val="20"/>
        </w:rPr>
        <w:t xml:space="preserve">(Figura </w:t>
      </w:r>
      <w:r w:rsidR="00FD102E" w:rsidRPr="000950FE">
        <w:rPr>
          <w:rFonts w:ascii="Arial" w:hAnsi="Arial" w:cs="Arial"/>
          <w:sz w:val="20"/>
          <w:szCs w:val="20"/>
        </w:rPr>
        <w:t>9</w:t>
      </w:r>
      <w:r w:rsidR="007C42AD" w:rsidRPr="000950FE">
        <w:rPr>
          <w:rFonts w:ascii="Arial" w:hAnsi="Arial" w:cs="Arial"/>
          <w:sz w:val="20"/>
          <w:szCs w:val="20"/>
        </w:rPr>
        <w:t>).</w:t>
      </w:r>
    </w:p>
    <w:p w14:paraId="7EE53D17" w14:textId="485AAE23" w:rsidR="004F05A1" w:rsidRPr="00DD1CCC" w:rsidRDefault="004F05A1" w:rsidP="004F05A1">
      <w:pPr>
        <w:keepNext/>
        <w:spacing w:after="120" w:line="240" w:lineRule="auto"/>
        <w:jc w:val="both"/>
        <w:rPr>
          <w:rFonts w:ascii="Arial Narrow" w:eastAsia="Times New Roman" w:hAnsi="Arial Narrow" w:cs="Arial"/>
          <w:bCs/>
          <w:color w:val="1F3864" w:themeColor="accent5" w:themeShade="80"/>
          <w:sz w:val="19"/>
          <w:szCs w:val="19"/>
          <w:lang w:eastAsia="it-IT"/>
        </w:rPr>
      </w:pPr>
      <w:r w:rsidRPr="00DD1CCC">
        <w:rPr>
          <w:rFonts w:ascii="Arial Narrow" w:eastAsia="Times New Roman" w:hAnsi="Arial Narrow" w:cs="Arial"/>
          <w:b/>
          <w:bCs/>
          <w:iCs/>
          <w:noProof/>
          <w:color w:val="1F4B78"/>
          <w:sz w:val="20"/>
          <w:szCs w:val="20"/>
          <w:lang w:eastAsia="it-IT"/>
        </w:rPr>
        <w:lastRenderedPageBreak/>
        <w:t xml:space="preserve">FIGURA </w:t>
      </w:r>
      <w:r w:rsidR="00CD432D" w:rsidRPr="00DD1CCC">
        <w:rPr>
          <w:rFonts w:ascii="Arial Narrow" w:eastAsia="Times New Roman" w:hAnsi="Arial Narrow" w:cs="Arial"/>
          <w:b/>
          <w:bCs/>
          <w:iCs/>
          <w:noProof/>
          <w:color w:val="1F4B78"/>
          <w:sz w:val="20"/>
          <w:szCs w:val="20"/>
          <w:lang w:eastAsia="it-IT"/>
        </w:rPr>
        <w:t>9</w:t>
      </w:r>
      <w:r w:rsidRPr="00DD1CCC">
        <w:rPr>
          <w:rFonts w:ascii="Arial Narrow" w:eastAsia="Times New Roman" w:hAnsi="Arial Narrow" w:cs="Arial"/>
          <w:b/>
          <w:bCs/>
          <w:iCs/>
          <w:noProof/>
          <w:color w:val="1F4B78"/>
          <w:sz w:val="20"/>
          <w:szCs w:val="20"/>
          <w:lang w:eastAsia="it-IT"/>
        </w:rPr>
        <w:t>. DIMISSIONI OSPEDALIERE DI DONNE IN REGIME ORDINARIO CON INDICAZIONE DI VIOLENZA PER CITTADINANZA E CLASSI DI ETA'.</w:t>
      </w:r>
      <w:r w:rsidRPr="000950FE">
        <w:rPr>
          <w:rFonts w:ascii="Arial Narrow" w:eastAsia="Times New Roman" w:hAnsi="Arial Narrow" w:cs="Arial"/>
          <w:b/>
          <w:bCs/>
          <w:iCs/>
          <w:noProof/>
          <w:color w:val="7F7F7F" w:themeColor="text1" w:themeTint="80"/>
          <w:sz w:val="20"/>
          <w:szCs w:val="20"/>
          <w:lang w:eastAsia="it-IT"/>
        </w:rPr>
        <w:t xml:space="preserve"> </w:t>
      </w:r>
      <w:r w:rsidRPr="00DD1CCC">
        <w:rPr>
          <w:rFonts w:ascii="Arial Narrow" w:eastAsia="Times New Roman" w:hAnsi="Arial Narrow" w:cs="Arial"/>
          <w:bCs/>
          <w:color w:val="1F3864" w:themeColor="accent5" w:themeShade="80"/>
          <w:sz w:val="19"/>
          <w:szCs w:val="19"/>
          <w:lang w:eastAsia="it-IT"/>
        </w:rPr>
        <w:t>Anni 2017-2019, 2020-2021</w:t>
      </w:r>
      <w:r w:rsidR="00E0267D">
        <w:rPr>
          <w:rFonts w:ascii="Arial Narrow" w:eastAsia="Times New Roman" w:hAnsi="Arial Narrow" w:cs="Arial"/>
          <w:bCs/>
          <w:color w:val="1F3864" w:themeColor="accent5" w:themeShade="80"/>
          <w:sz w:val="19"/>
          <w:szCs w:val="19"/>
          <w:lang w:eastAsia="it-IT"/>
        </w:rPr>
        <w:t xml:space="preserve">, </w:t>
      </w:r>
      <w:r w:rsidRPr="00DD1CCC">
        <w:rPr>
          <w:rFonts w:ascii="Arial Narrow" w:eastAsia="Times New Roman" w:hAnsi="Arial Narrow" w:cs="Arial"/>
          <w:bCs/>
          <w:color w:val="1F3864" w:themeColor="accent5" w:themeShade="80"/>
          <w:sz w:val="19"/>
          <w:szCs w:val="19"/>
          <w:lang w:eastAsia="it-IT"/>
        </w:rPr>
        <w:t>tassi per 10.000 residenti</w:t>
      </w:r>
      <w:r w:rsidR="00E0267D">
        <w:rPr>
          <w:rFonts w:ascii="Arial Narrow" w:eastAsia="Times New Roman" w:hAnsi="Arial Narrow" w:cs="Arial"/>
          <w:bCs/>
          <w:color w:val="1F3864" w:themeColor="accent5" w:themeShade="80"/>
          <w:sz w:val="19"/>
          <w:szCs w:val="19"/>
          <w:lang w:eastAsia="it-IT"/>
        </w:rPr>
        <w:t>.</w:t>
      </w:r>
    </w:p>
    <w:p w14:paraId="3B659AF5" w14:textId="59D75F30" w:rsidR="004F05A1" w:rsidRPr="000950FE" w:rsidRDefault="00AC3FC0" w:rsidP="00DD1CCC">
      <w:pPr>
        <w:spacing w:after="120" w:line="240" w:lineRule="auto"/>
        <w:rPr>
          <w:rFonts w:ascii="Arial" w:eastAsia="Times New Roman" w:hAnsi="Arial" w:cs="Arial"/>
          <w:b/>
          <w:bCs/>
          <w:color w:val="44546A" w:themeColor="text2"/>
          <w:sz w:val="20"/>
          <w:szCs w:val="20"/>
          <w:lang w:eastAsia="it-IT"/>
        </w:rPr>
      </w:pPr>
      <w:r>
        <w:rPr>
          <w:noProof/>
          <w:lang w:eastAsia="it-IT"/>
        </w:rPr>
        <w:drawing>
          <wp:inline distT="0" distB="0" distL="0" distR="0" wp14:anchorId="48F2B216" wp14:editId="2030EB1C">
            <wp:extent cx="6120000" cy="2724150"/>
            <wp:effectExtent l="0" t="0" r="14605" b="0"/>
            <wp:docPr id="17" name="Grafico 1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0C0A32" w14:textId="104B78CD" w:rsidR="00284DE1" w:rsidRPr="000950FE" w:rsidRDefault="00284DE1" w:rsidP="00DD1CCC">
      <w:pPr>
        <w:spacing w:after="120" w:line="240" w:lineRule="auto"/>
        <w:jc w:val="both"/>
        <w:rPr>
          <w:rFonts w:ascii="Arial" w:eastAsia="Times New Roman" w:hAnsi="Arial" w:cs="Arial"/>
          <w:color w:val="000000"/>
          <w:sz w:val="16"/>
          <w:szCs w:val="16"/>
          <w:lang w:eastAsia="it-IT"/>
        </w:rPr>
      </w:pPr>
      <w:r w:rsidRPr="000950FE">
        <w:rPr>
          <w:rFonts w:ascii="Arial" w:eastAsia="Times New Roman" w:hAnsi="Arial" w:cs="Arial"/>
          <w:color w:val="000000"/>
          <w:sz w:val="16"/>
          <w:szCs w:val="16"/>
          <w:lang w:eastAsia="it-IT"/>
        </w:rPr>
        <w:t>Fonte: Elaborazioni Istat su dati Scheda dimissione ospedaliera (SDO)</w:t>
      </w:r>
    </w:p>
    <w:p w14:paraId="64F4D3E5" w14:textId="77777777" w:rsidR="001258CF" w:rsidRPr="000950FE" w:rsidRDefault="001258CF" w:rsidP="00DD1CCC">
      <w:pPr>
        <w:spacing w:after="120" w:line="240" w:lineRule="auto"/>
        <w:jc w:val="both"/>
        <w:rPr>
          <w:rFonts w:ascii="Arial" w:hAnsi="Arial" w:cs="Arial"/>
          <w:color w:val="000000" w:themeColor="text1"/>
          <w:sz w:val="16"/>
          <w:szCs w:val="16"/>
        </w:rPr>
      </w:pPr>
    </w:p>
    <w:p w14:paraId="1F71E5AA" w14:textId="77777777" w:rsidR="00FF62A3" w:rsidRPr="000950FE" w:rsidRDefault="002C3D58" w:rsidP="00EE2B12">
      <w:pPr>
        <w:pStyle w:val="Default"/>
        <w:keepNex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t>L’esecutore della violenza, quando indicato, è spesso nel contesto familiare</w:t>
      </w:r>
    </w:p>
    <w:p w14:paraId="6F846CB1" w14:textId="7DAC8C45" w:rsidR="000B6B3D" w:rsidRPr="000950FE" w:rsidRDefault="000B6B3D" w:rsidP="000B6B3D">
      <w:pPr>
        <w:pStyle w:val="Default"/>
        <w:spacing w:after="120"/>
        <w:jc w:val="both"/>
        <w:rPr>
          <w:rFonts w:ascii="Arial" w:hAnsi="Arial" w:cs="Arial"/>
          <w:sz w:val="20"/>
          <w:szCs w:val="20"/>
        </w:rPr>
      </w:pPr>
      <w:r w:rsidRPr="000950FE">
        <w:rPr>
          <w:rFonts w:ascii="Arial" w:hAnsi="Arial" w:cs="Arial"/>
          <w:sz w:val="20"/>
          <w:szCs w:val="20"/>
        </w:rPr>
        <w:t xml:space="preserve">Le caratteristiche del ricovero ospedaliero con indicazione di violenza differiscono molto nei due sessi: negli uomini la quasi totalità dei ricoveri è riconducibile a lesioni inflitte da altre persone (circa 91%), mentre nelle donne, </w:t>
      </w:r>
      <w:r w:rsidR="00656B09" w:rsidRPr="000950FE">
        <w:rPr>
          <w:rFonts w:ascii="Arial" w:hAnsi="Arial" w:cs="Arial"/>
          <w:sz w:val="20"/>
          <w:szCs w:val="20"/>
        </w:rPr>
        <w:t xml:space="preserve">oltre a queste, </w:t>
      </w:r>
      <w:r w:rsidRPr="000950FE">
        <w:rPr>
          <w:rFonts w:ascii="Arial" w:hAnsi="Arial" w:cs="Arial"/>
          <w:sz w:val="20"/>
          <w:szCs w:val="20"/>
        </w:rPr>
        <w:t>sono frequenti anche le diagnosi riferite al maltrattamento dell</w:t>
      </w:r>
      <w:r w:rsidR="00B13A85" w:rsidRPr="000950FE">
        <w:rPr>
          <w:rFonts w:ascii="Arial" w:hAnsi="Arial" w:cs="Arial"/>
          <w:sz w:val="20"/>
          <w:szCs w:val="20"/>
        </w:rPr>
        <w:t xml:space="preserve">e </w:t>
      </w:r>
      <w:r w:rsidRPr="000950FE">
        <w:rPr>
          <w:rFonts w:ascii="Arial" w:hAnsi="Arial" w:cs="Arial"/>
          <w:sz w:val="20"/>
          <w:szCs w:val="20"/>
        </w:rPr>
        <w:t>adult</w:t>
      </w:r>
      <w:r w:rsidR="00B13A85" w:rsidRPr="000950FE">
        <w:rPr>
          <w:rFonts w:ascii="Arial" w:hAnsi="Arial" w:cs="Arial"/>
          <w:sz w:val="20"/>
          <w:szCs w:val="20"/>
        </w:rPr>
        <w:t>e</w:t>
      </w:r>
      <w:r w:rsidRPr="000950FE">
        <w:rPr>
          <w:rFonts w:ascii="Arial" w:hAnsi="Arial" w:cs="Arial"/>
          <w:sz w:val="20"/>
          <w:szCs w:val="20"/>
        </w:rPr>
        <w:t xml:space="preserve"> e del</w:t>
      </w:r>
      <w:r w:rsidR="00B13A85" w:rsidRPr="000950FE">
        <w:rPr>
          <w:rFonts w:ascii="Arial" w:hAnsi="Arial" w:cs="Arial"/>
          <w:sz w:val="20"/>
          <w:szCs w:val="20"/>
        </w:rPr>
        <w:t>le</w:t>
      </w:r>
      <w:r w:rsidRPr="000950FE">
        <w:rPr>
          <w:rFonts w:ascii="Arial" w:hAnsi="Arial" w:cs="Arial"/>
          <w:sz w:val="20"/>
          <w:szCs w:val="20"/>
        </w:rPr>
        <w:t xml:space="preserve"> bambin</w:t>
      </w:r>
      <w:r w:rsidR="00B13A85" w:rsidRPr="000950FE">
        <w:rPr>
          <w:rFonts w:ascii="Arial" w:hAnsi="Arial" w:cs="Arial"/>
          <w:sz w:val="20"/>
          <w:szCs w:val="20"/>
        </w:rPr>
        <w:t>e</w:t>
      </w:r>
      <w:r w:rsidR="0044012B" w:rsidRPr="000950FE">
        <w:rPr>
          <w:rStyle w:val="Rimandonotaapidipagina"/>
          <w:rFonts w:ascii="Arial" w:hAnsi="Arial" w:cs="Arial"/>
          <w:sz w:val="20"/>
          <w:szCs w:val="20"/>
        </w:rPr>
        <w:footnoteReference w:id="6"/>
      </w:r>
      <w:r w:rsidRPr="000950FE">
        <w:rPr>
          <w:rFonts w:ascii="Arial" w:hAnsi="Arial" w:cs="Arial"/>
          <w:sz w:val="20"/>
          <w:szCs w:val="20"/>
        </w:rPr>
        <w:t>.</w:t>
      </w:r>
      <w:r w:rsidR="007E2070" w:rsidRPr="000950FE">
        <w:rPr>
          <w:rFonts w:ascii="Arial" w:hAnsi="Arial" w:cs="Arial"/>
          <w:sz w:val="20"/>
          <w:szCs w:val="20"/>
        </w:rPr>
        <w:t xml:space="preserve"> </w:t>
      </w:r>
      <w:r w:rsidRPr="000950FE">
        <w:rPr>
          <w:rFonts w:ascii="Arial" w:hAnsi="Arial" w:cs="Arial"/>
          <w:sz w:val="20"/>
          <w:szCs w:val="20"/>
        </w:rPr>
        <w:t xml:space="preserve">Vengono indicati con frequenza maggiore rispetto agli uomini anche i problemi coniugali e i problemi genitori-figli, nonché i codici riferiti all’osservazione per sospetta violenza e all’anamnesi di violenza (Figura </w:t>
      </w:r>
      <w:r w:rsidR="00FD102E" w:rsidRPr="000950FE">
        <w:rPr>
          <w:rFonts w:ascii="Arial" w:hAnsi="Arial" w:cs="Arial"/>
          <w:sz w:val="20"/>
          <w:szCs w:val="20"/>
        </w:rPr>
        <w:t>10</w:t>
      </w:r>
      <w:r w:rsidRPr="000950FE">
        <w:rPr>
          <w:rFonts w:ascii="Arial" w:hAnsi="Arial" w:cs="Arial"/>
          <w:sz w:val="20"/>
          <w:szCs w:val="20"/>
        </w:rPr>
        <w:t xml:space="preserve">). </w:t>
      </w:r>
    </w:p>
    <w:p w14:paraId="464ABC82" w14:textId="77777777" w:rsidR="00FF62A3" w:rsidRPr="000950FE" w:rsidRDefault="000B6B3D" w:rsidP="000B6B3D">
      <w:pPr>
        <w:pStyle w:val="Default"/>
        <w:spacing w:after="120"/>
        <w:jc w:val="both"/>
        <w:rPr>
          <w:rFonts w:ascii="Arial" w:hAnsi="Arial" w:cs="Arial"/>
          <w:sz w:val="20"/>
          <w:szCs w:val="20"/>
        </w:rPr>
      </w:pPr>
      <w:r w:rsidRPr="000950FE">
        <w:rPr>
          <w:rFonts w:ascii="Arial" w:hAnsi="Arial" w:cs="Arial"/>
          <w:sz w:val="20"/>
          <w:szCs w:val="20"/>
        </w:rPr>
        <w:t>Tra le donne, nel 2020-2021 rispetto al periodo pre-pandemico, aumenta la frequenza di tutte queste diagnosi mentre si riduce solo quella relativa alle lesioni inflitte da altre persone (da 59,2% a 55,7%).</w:t>
      </w:r>
    </w:p>
    <w:p w14:paraId="3C2EAAF5" w14:textId="77777777" w:rsidR="0045624D" w:rsidRPr="000950FE" w:rsidRDefault="0045624D" w:rsidP="0045624D">
      <w:pPr>
        <w:pStyle w:val="Default"/>
        <w:spacing w:after="120"/>
        <w:jc w:val="both"/>
        <w:rPr>
          <w:rFonts w:ascii="Arial" w:hAnsi="Arial" w:cs="Arial"/>
          <w:b/>
          <w:bCs/>
          <w:color w:val="1F3864" w:themeColor="accent5" w:themeShade="80"/>
          <w:sz w:val="20"/>
          <w:szCs w:val="20"/>
        </w:rPr>
      </w:pPr>
    </w:p>
    <w:p w14:paraId="656149C6" w14:textId="74978ADF" w:rsidR="00FF62A3" w:rsidRPr="00DD1CCC" w:rsidRDefault="006E5288">
      <w:pPr>
        <w:pStyle w:val="Default"/>
        <w:keepNext/>
        <w:spacing w:after="120"/>
        <w:jc w:val="both"/>
        <w:rPr>
          <w:rFonts w:ascii="Arial Narrow" w:hAnsi="Arial Narrow" w:cs="Arial"/>
          <w:bCs/>
          <w:color w:val="1F3864" w:themeColor="accent5" w:themeShade="80"/>
          <w:sz w:val="19"/>
          <w:szCs w:val="19"/>
        </w:rPr>
      </w:pPr>
      <w:r w:rsidRPr="00DD1CCC">
        <w:rPr>
          <w:rFonts w:ascii="Arial Narrow" w:hAnsi="Arial Narrow" w:cs="Arial"/>
          <w:b/>
          <w:bCs/>
          <w:iCs/>
          <w:noProof/>
          <w:color w:val="1F4B78"/>
          <w:sz w:val="20"/>
          <w:szCs w:val="20"/>
        </w:rPr>
        <w:t xml:space="preserve">FIGURA </w:t>
      </w:r>
      <w:r w:rsidR="00FD102E" w:rsidRPr="00DD1CCC">
        <w:rPr>
          <w:rFonts w:ascii="Arial Narrow" w:hAnsi="Arial Narrow" w:cs="Arial"/>
          <w:b/>
          <w:bCs/>
          <w:iCs/>
          <w:noProof/>
          <w:color w:val="1F4B78"/>
          <w:sz w:val="20"/>
          <w:szCs w:val="20"/>
        </w:rPr>
        <w:t>10</w:t>
      </w:r>
      <w:r w:rsidR="007B7B0C" w:rsidRPr="00DD1CCC">
        <w:rPr>
          <w:rFonts w:ascii="Arial Narrow" w:hAnsi="Arial Narrow" w:cs="Arial"/>
          <w:b/>
          <w:bCs/>
          <w:iCs/>
          <w:noProof/>
          <w:color w:val="1F4B78"/>
          <w:sz w:val="20"/>
          <w:szCs w:val="20"/>
        </w:rPr>
        <w:t xml:space="preserve">. </w:t>
      </w:r>
      <w:r w:rsidRPr="00DD1CCC">
        <w:rPr>
          <w:rFonts w:ascii="Arial Narrow" w:hAnsi="Arial Narrow" w:cs="Arial"/>
          <w:b/>
          <w:bCs/>
          <w:iCs/>
          <w:noProof/>
          <w:color w:val="1F4B78"/>
          <w:sz w:val="20"/>
          <w:szCs w:val="20"/>
        </w:rPr>
        <w:t>DIMISSIONI OSPEDALIERE IN REGIME ORDINARIO CON INDICAZIONE DI VIOLENZA PER SESSO E TIPO DI DIAGNOSI DI VIOLENZA.</w:t>
      </w:r>
      <w:r w:rsidRPr="00CE5FFE">
        <w:rPr>
          <w:rFonts w:ascii="Arial Narrow" w:hAnsi="Arial Narrow" w:cs="Arial"/>
          <w:b/>
          <w:bCs/>
          <w:iCs/>
          <w:noProof/>
          <w:color w:val="44546A" w:themeColor="text2"/>
          <w:sz w:val="20"/>
          <w:szCs w:val="20"/>
        </w:rPr>
        <w:t xml:space="preserve"> </w:t>
      </w:r>
      <w:r w:rsidR="00753606" w:rsidRPr="00DD1CCC">
        <w:rPr>
          <w:rFonts w:ascii="Arial Narrow" w:hAnsi="Arial Narrow" w:cs="Arial"/>
          <w:bCs/>
          <w:color w:val="1F3864" w:themeColor="accent5" w:themeShade="80"/>
          <w:sz w:val="19"/>
          <w:szCs w:val="19"/>
        </w:rPr>
        <w:t>Ann</w:t>
      </w:r>
      <w:r w:rsidRPr="00DD1CCC">
        <w:rPr>
          <w:rFonts w:ascii="Arial Narrow" w:hAnsi="Arial Narrow" w:cs="Arial"/>
          <w:bCs/>
          <w:color w:val="1F3864" w:themeColor="accent5" w:themeShade="80"/>
          <w:sz w:val="19"/>
          <w:szCs w:val="19"/>
        </w:rPr>
        <w:t>i 2017-2019, 2020-2021</w:t>
      </w:r>
      <w:r w:rsidR="00FC34C1">
        <w:rPr>
          <w:rFonts w:ascii="Arial Narrow" w:hAnsi="Arial Narrow" w:cs="Arial"/>
          <w:bCs/>
          <w:color w:val="1F3864" w:themeColor="accent5" w:themeShade="80"/>
          <w:sz w:val="19"/>
          <w:szCs w:val="19"/>
        </w:rPr>
        <w:t xml:space="preserve">, </w:t>
      </w:r>
      <w:r w:rsidRPr="00DD1CCC">
        <w:rPr>
          <w:rFonts w:ascii="Arial Narrow" w:hAnsi="Arial Narrow" w:cs="Arial"/>
          <w:bCs/>
          <w:color w:val="1F3864" w:themeColor="accent5" w:themeShade="80"/>
          <w:sz w:val="19"/>
          <w:szCs w:val="19"/>
        </w:rPr>
        <w:t>valori percentuali</w:t>
      </w:r>
      <w:r w:rsidR="00FC34C1">
        <w:rPr>
          <w:rFonts w:ascii="Arial Narrow" w:hAnsi="Arial Narrow" w:cs="Arial"/>
          <w:bCs/>
          <w:color w:val="1F3864" w:themeColor="accent5" w:themeShade="80"/>
          <w:sz w:val="19"/>
          <w:szCs w:val="19"/>
        </w:rPr>
        <w:t>.</w:t>
      </w:r>
    </w:p>
    <w:p w14:paraId="605829CA" w14:textId="40BD2A8E" w:rsidR="00FF62A3" w:rsidRPr="000950FE" w:rsidRDefault="00AE3991" w:rsidP="00DD1CCC">
      <w:pPr>
        <w:spacing w:after="60" w:line="240" w:lineRule="auto"/>
        <w:jc w:val="both"/>
        <w:rPr>
          <w:rFonts w:ascii="Arial" w:hAnsi="Arial" w:cs="Arial"/>
        </w:rPr>
      </w:pPr>
      <w:r>
        <w:rPr>
          <w:noProof/>
          <w:lang w:eastAsia="it-IT"/>
        </w:rPr>
        <w:drawing>
          <wp:inline distT="0" distB="0" distL="0" distR="0" wp14:anchorId="24F99325" wp14:editId="45A62163">
            <wp:extent cx="6074797" cy="2905760"/>
            <wp:effectExtent l="0" t="0" r="2540" b="8890"/>
            <wp:docPr id="31" name="Grafico 3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BB1357" w14:textId="33B0BDE3" w:rsidR="00284DE1" w:rsidRPr="00DD1CCC" w:rsidRDefault="00284DE1" w:rsidP="00DD1CCC">
      <w:pPr>
        <w:spacing w:after="6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Istat su dati Scheda dimissione ospedaliera (SDO)</w:t>
      </w:r>
    </w:p>
    <w:p w14:paraId="1E717566" w14:textId="77777777" w:rsidR="00E507F7" w:rsidRPr="000950FE" w:rsidRDefault="00E507F7" w:rsidP="00DD1CCC">
      <w:pPr>
        <w:spacing w:after="60" w:line="240" w:lineRule="auto"/>
        <w:jc w:val="both"/>
        <w:rPr>
          <w:rFonts w:ascii="Arial" w:eastAsia="Times New Roman" w:hAnsi="Arial" w:cs="Arial"/>
          <w:color w:val="000000"/>
          <w:sz w:val="16"/>
          <w:szCs w:val="16"/>
          <w:lang w:eastAsia="it-IT"/>
        </w:rPr>
      </w:pPr>
    </w:p>
    <w:p w14:paraId="1577348A" w14:textId="77777777" w:rsidR="00AC50FC" w:rsidRPr="000950FE" w:rsidRDefault="00F313FE">
      <w:pPr>
        <w:pStyle w:val="Default"/>
        <w:spacing w:after="120"/>
        <w:jc w:val="both"/>
        <w:rPr>
          <w:rFonts w:ascii="Arial" w:hAnsi="Arial" w:cs="Arial"/>
          <w:sz w:val="20"/>
          <w:szCs w:val="20"/>
        </w:rPr>
      </w:pPr>
      <w:r w:rsidRPr="000950FE">
        <w:rPr>
          <w:rFonts w:ascii="Arial" w:hAnsi="Arial" w:cs="Arial"/>
          <w:sz w:val="20"/>
          <w:szCs w:val="20"/>
        </w:rPr>
        <w:t xml:space="preserve">L’esecutore dell’abuso è indicato nel 10,8% dei ricoveri ordinari di donne e nel 3,4% dei ricoveri di uomini nel biennio 2020-2021 e rispettivamente nel 10,1% e 3,6% nel triennio 2017-2019. </w:t>
      </w:r>
    </w:p>
    <w:p w14:paraId="72180D64" w14:textId="783FC240" w:rsidR="00656B09" w:rsidRPr="000950FE" w:rsidRDefault="00AC50FC">
      <w:pPr>
        <w:pStyle w:val="Default"/>
        <w:spacing w:after="120"/>
        <w:jc w:val="both"/>
        <w:rPr>
          <w:rFonts w:ascii="Arial" w:hAnsi="Arial" w:cs="Arial"/>
          <w:sz w:val="20"/>
          <w:szCs w:val="20"/>
        </w:rPr>
      </w:pPr>
      <w:r w:rsidRPr="000950FE">
        <w:rPr>
          <w:rFonts w:ascii="Arial" w:hAnsi="Arial" w:cs="Arial"/>
          <w:sz w:val="20"/>
          <w:szCs w:val="20"/>
        </w:rPr>
        <w:t>Quando è indicato l’esecutore, viene utilizzato in molti casi il codice riferito a</w:t>
      </w:r>
      <w:r w:rsidR="00F313FE" w:rsidRPr="000950FE">
        <w:rPr>
          <w:rFonts w:ascii="Arial" w:hAnsi="Arial" w:cs="Arial"/>
          <w:sz w:val="20"/>
          <w:szCs w:val="20"/>
        </w:rPr>
        <w:t xml:space="preserve"> “persona non specificata”</w:t>
      </w:r>
      <w:r w:rsidRPr="000950FE">
        <w:rPr>
          <w:rFonts w:ascii="Arial" w:hAnsi="Arial" w:cs="Arial"/>
          <w:sz w:val="20"/>
          <w:szCs w:val="20"/>
        </w:rPr>
        <w:t>:</w:t>
      </w:r>
      <w:r w:rsidR="00F313FE" w:rsidRPr="000950FE">
        <w:rPr>
          <w:rFonts w:ascii="Arial" w:hAnsi="Arial" w:cs="Arial"/>
          <w:sz w:val="20"/>
          <w:szCs w:val="20"/>
        </w:rPr>
        <w:t xml:space="preserve"> </w:t>
      </w:r>
      <w:r w:rsidRPr="000950FE">
        <w:rPr>
          <w:rFonts w:ascii="Arial" w:hAnsi="Arial" w:cs="Arial"/>
          <w:sz w:val="20"/>
          <w:szCs w:val="20"/>
        </w:rPr>
        <w:t xml:space="preserve">nel </w:t>
      </w:r>
      <w:r w:rsidR="00F313FE" w:rsidRPr="000950FE">
        <w:rPr>
          <w:rFonts w:ascii="Arial" w:hAnsi="Arial" w:cs="Arial"/>
          <w:sz w:val="20"/>
          <w:szCs w:val="20"/>
        </w:rPr>
        <w:t>2</w:t>
      </w:r>
      <w:r w:rsidR="00E269A5" w:rsidRPr="000950FE">
        <w:rPr>
          <w:rFonts w:ascii="Arial" w:hAnsi="Arial" w:cs="Arial"/>
          <w:sz w:val="20"/>
          <w:szCs w:val="20"/>
        </w:rPr>
        <w:t>,3</w:t>
      </w:r>
      <w:r w:rsidR="00F313FE" w:rsidRPr="000950FE">
        <w:rPr>
          <w:rFonts w:ascii="Arial" w:hAnsi="Arial" w:cs="Arial"/>
          <w:sz w:val="20"/>
          <w:szCs w:val="20"/>
        </w:rPr>
        <w:t xml:space="preserve">% </w:t>
      </w:r>
      <w:r w:rsidRPr="000950FE">
        <w:rPr>
          <w:rFonts w:ascii="Arial" w:hAnsi="Arial" w:cs="Arial"/>
          <w:sz w:val="20"/>
          <w:szCs w:val="20"/>
        </w:rPr>
        <w:t xml:space="preserve">dei ricoveri </w:t>
      </w:r>
      <w:r w:rsidR="00F313FE" w:rsidRPr="000950FE">
        <w:rPr>
          <w:rFonts w:ascii="Arial" w:hAnsi="Arial" w:cs="Arial"/>
          <w:sz w:val="20"/>
          <w:szCs w:val="20"/>
        </w:rPr>
        <w:t>nel 2017-2019 e 2</w:t>
      </w:r>
      <w:r w:rsidR="00E269A5" w:rsidRPr="000950FE">
        <w:rPr>
          <w:rFonts w:ascii="Arial" w:hAnsi="Arial" w:cs="Arial"/>
          <w:sz w:val="20"/>
          <w:szCs w:val="20"/>
        </w:rPr>
        <w:t>,5</w:t>
      </w:r>
      <w:r w:rsidR="00F313FE" w:rsidRPr="000950FE">
        <w:rPr>
          <w:rFonts w:ascii="Arial" w:hAnsi="Arial" w:cs="Arial"/>
          <w:sz w:val="20"/>
          <w:szCs w:val="20"/>
        </w:rPr>
        <w:t>% nel 2020-2021</w:t>
      </w:r>
      <w:r w:rsidRPr="000950FE">
        <w:rPr>
          <w:rFonts w:ascii="Arial" w:hAnsi="Arial" w:cs="Arial"/>
          <w:sz w:val="20"/>
          <w:szCs w:val="20"/>
        </w:rPr>
        <w:t xml:space="preserve"> nei ricoveri femminili per violenza</w:t>
      </w:r>
      <w:r w:rsidR="00F313FE" w:rsidRPr="000950FE">
        <w:rPr>
          <w:rFonts w:ascii="Arial" w:hAnsi="Arial" w:cs="Arial"/>
          <w:sz w:val="20"/>
          <w:szCs w:val="20"/>
        </w:rPr>
        <w:t xml:space="preserve">, </w:t>
      </w:r>
      <w:r w:rsidRPr="000950FE">
        <w:rPr>
          <w:rFonts w:ascii="Arial" w:hAnsi="Arial" w:cs="Arial"/>
          <w:sz w:val="20"/>
          <w:szCs w:val="20"/>
        </w:rPr>
        <w:t>nel</w:t>
      </w:r>
      <w:r w:rsidR="00B60B48">
        <w:rPr>
          <w:rFonts w:ascii="Arial" w:hAnsi="Arial" w:cs="Arial"/>
          <w:sz w:val="20"/>
          <w:szCs w:val="20"/>
        </w:rPr>
        <w:t>l’</w:t>
      </w:r>
      <w:r w:rsidR="00E269A5" w:rsidRPr="000950FE">
        <w:rPr>
          <w:rFonts w:ascii="Arial" w:hAnsi="Arial" w:cs="Arial"/>
          <w:sz w:val="20"/>
          <w:szCs w:val="20"/>
        </w:rPr>
        <w:t>1</w:t>
      </w:r>
      <w:r w:rsidRPr="000950FE">
        <w:rPr>
          <w:rFonts w:ascii="Arial" w:hAnsi="Arial" w:cs="Arial"/>
          <w:sz w:val="20"/>
          <w:szCs w:val="20"/>
        </w:rPr>
        <w:t xml:space="preserve">,8% e </w:t>
      </w:r>
      <w:r w:rsidR="00E269A5" w:rsidRPr="000950FE">
        <w:rPr>
          <w:rFonts w:ascii="Arial" w:hAnsi="Arial" w:cs="Arial"/>
          <w:sz w:val="20"/>
          <w:szCs w:val="20"/>
        </w:rPr>
        <w:t>1,5</w:t>
      </w:r>
      <w:r w:rsidRPr="000950FE">
        <w:rPr>
          <w:rFonts w:ascii="Arial" w:hAnsi="Arial" w:cs="Arial"/>
          <w:sz w:val="20"/>
          <w:szCs w:val="20"/>
        </w:rPr>
        <w:t>% in quelli maschili.</w:t>
      </w:r>
    </w:p>
    <w:p w14:paraId="4558B65F" w14:textId="472AA83B" w:rsidR="00C50A9C" w:rsidRPr="000950FE" w:rsidRDefault="00072FCF">
      <w:pPr>
        <w:pStyle w:val="Default"/>
        <w:spacing w:after="120"/>
        <w:jc w:val="both"/>
        <w:rPr>
          <w:rFonts w:ascii="Arial" w:hAnsi="Arial" w:cs="Arial"/>
          <w:sz w:val="20"/>
          <w:szCs w:val="20"/>
        </w:rPr>
      </w:pPr>
      <w:r>
        <w:rPr>
          <w:rFonts w:ascii="Arial" w:hAnsi="Arial" w:cs="Arial"/>
          <w:sz w:val="20"/>
          <w:szCs w:val="20"/>
        </w:rPr>
        <w:t>Nei dati 2020-2021</w:t>
      </w:r>
      <w:r w:rsidR="00AC50FC" w:rsidRPr="000950FE">
        <w:rPr>
          <w:rFonts w:ascii="Arial" w:hAnsi="Arial" w:cs="Arial"/>
          <w:sz w:val="20"/>
          <w:szCs w:val="20"/>
        </w:rPr>
        <w:t xml:space="preserve"> viene riportato </w:t>
      </w:r>
      <w:r w:rsidR="00D11736" w:rsidRPr="000950FE">
        <w:rPr>
          <w:rFonts w:ascii="Arial" w:hAnsi="Arial" w:cs="Arial"/>
          <w:sz w:val="20"/>
          <w:szCs w:val="20"/>
        </w:rPr>
        <w:t xml:space="preserve">come esecutore </w:t>
      </w:r>
      <w:r w:rsidR="00AC50FC" w:rsidRPr="000950FE">
        <w:rPr>
          <w:rFonts w:ascii="Arial" w:hAnsi="Arial" w:cs="Arial"/>
          <w:sz w:val="20"/>
          <w:szCs w:val="20"/>
        </w:rPr>
        <w:t xml:space="preserve">il padre o patrigno </w:t>
      </w:r>
      <w:r w:rsidR="00C50A9C" w:rsidRPr="000950FE">
        <w:rPr>
          <w:rFonts w:ascii="Arial" w:hAnsi="Arial" w:cs="Arial"/>
          <w:sz w:val="20"/>
          <w:szCs w:val="20"/>
        </w:rPr>
        <w:t>nel 2</w:t>
      </w:r>
      <w:r w:rsidR="00E269A5" w:rsidRPr="000950FE">
        <w:rPr>
          <w:rFonts w:ascii="Arial" w:hAnsi="Arial" w:cs="Arial"/>
          <w:sz w:val="20"/>
          <w:szCs w:val="20"/>
        </w:rPr>
        <w:t>,8</w:t>
      </w:r>
      <w:r w:rsidR="00C50A9C" w:rsidRPr="000950FE">
        <w:rPr>
          <w:rFonts w:ascii="Arial" w:hAnsi="Arial" w:cs="Arial"/>
          <w:sz w:val="20"/>
          <w:szCs w:val="20"/>
        </w:rPr>
        <w:t>% dei casi. Includendo anche partner</w:t>
      </w:r>
      <w:r w:rsidR="00AC50FC" w:rsidRPr="000950FE">
        <w:rPr>
          <w:rFonts w:ascii="Arial" w:hAnsi="Arial" w:cs="Arial"/>
          <w:sz w:val="20"/>
          <w:szCs w:val="20"/>
        </w:rPr>
        <w:t xml:space="preserve"> o</w:t>
      </w:r>
      <w:r w:rsidR="00C50A9C" w:rsidRPr="000950FE">
        <w:rPr>
          <w:rFonts w:ascii="Arial" w:hAnsi="Arial" w:cs="Arial"/>
          <w:sz w:val="20"/>
          <w:szCs w:val="20"/>
        </w:rPr>
        <w:t xml:space="preserve"> consorte </w:t>
      </w:r>
      <w:r w:rsidR="00AC50FC" w:rsidRPr="000950FE">
        <w:rPr>
          <w:rFonts w:ascii="Arial" w:hAnsi="Arial" w:cs="Arial"/>
          <w:sz w:val="20"/>
          <w:szCs w:val="20"/>
        </w:rPr>
        <w:t>(</w:t>
      </w:r>
      <w:r w:rsidR="00E269A5" w:rsidRPr="000950FE">
        <w:rPr>
          <w:rFonts w:ascii="Arial" w:hAnsi="Arial" w:cs="Arial"/>
          <w:sz w:val="20"/>
          <w:szCs w:val="20"/>
        </w:rPr>
        <w:t>2,2</w:t>
      </w:r>
      <w:r w:rsidR="00AC50FC" w:rsidRPr="000950FE">
        <w:rPr>
          <w:rFonts w:ascii="Arial" w:hAnsi="Arial" w:cs="Arial"/>
          <w:sz w:val="20"/>
          <w:szCs w:val="20"/>
        </w:rPr>
        <w:t xml:space="preserve">%) </w:t>
      </w:r>
      <w:r w:rsidR="00C50A9C" w:rsidRPr="000950FE">
        <w:rPr>
          <w:rFonts w:ascii="Arial" w:hAnsi="Arial" w:cs="Arial"/>
          <w:sz w:val="20"/>
          <w:szCs w:val="20"/>
        </w:rPr>
        <w:t xml:space="preserve">o altro parente </w:t>
      </w:r>
      <w:r w:rsidR="00AC50FC" w:rsidRPr="000950FE">
        <w:rPr>
          <w:rFonts w:ascii="Arial" w:hAnsi="Arial" w:cs="Arial"/>
          <w:sz w:val="20"/>
          <w:szCs w:val="20"/>
        </w:rPr>
        <w:t>(</w:t>
      </w:r>
      <w:r w:rsidR="00E269A5" w:rsidRPr="000950FE">
        <w:rPr>
          <w:rFonts w:ascii="Arial" w:hAnsi="Arial" w:cs="Arial"/>
          <w:sz w:val="20"/>
          <w:szCs w:val="20"/>
        </w:rPr>
        <w:t>0</w:t>
      </w:r>
      <w:r w:rsidR="00AC50FC" w:rsidRPr="000950FE">
        <w:rPr>
          <w:rFonts w:ascii="Arial" w:hAnsi="Arial" w:cs="Arial"/>
          <w:sz w:val="20"/>
          <w:szCs w:val="20"/>
        </w:rPr>
        <w:t xml:space="preserve">,2%), </w:t>
      </w:r>
      <w:r w:rsidR="00C50A9C" w:rsidRPr="000950FE">
        <w:rPr>
          <w:rFonts w:ascii="Arial" w:hAnsi="Arial" w:cs="Arial"/>
          <w:sz w:val="20"/>
          <w:szCs w:val="20"/>
        </w:rPr>
        <w:t xml:space="preserve">la quota attribuibile a un esecutore nell’ambito familiare sale al </w:t>
      </w:r>
      <w:r w:rsidR="00E269A5" w:rsidRPr="000950FE">
        <w:rPr>
          <w:rFonts w:ascii="Arial" w:hAnsi="Arial" w:cs="Arial"/>
          <w:sz w:val="20"/>
          <w:szCs w:val="20"/>
        </w:rPr>
        <w:t>5,2</w:t>
      </w:r>
      <w:r w:rsidR="00C50A9C" w:rsidRPr="000950FE">
        <w:rPr>
          <w:rFonts w:ascii="Arial" w:hAnsi="Arial" w:cs="Arial"/>
          <w:sz w:val="20"/>
          <w:szCs w:val="20"/>
        </w:rPr>
        <w:t>% (4</w:t>
      </w:r>
      <w:r w:rsidR="00E269A5" w:rsidRPr="000950FE">
        <w:rPr>
          <w:rFonts w:ascii="Arial" w:hAnsi="Arial" w:cs="Arial"/>
          <w:sz w:val="20"/>
          <w:szCs w:val="20"/>
        </w:rPr>
        <w:t>,1</w:t>
      </w:r>
      <w:r w:rsidR="00C50A9C" w:rsidRPr="000950FE">
        <w:rPr>
          <w:rFonts w:ascii="Arial" w:hAnsi="Arial" w:cs="Arial"/>
          <w:sz w:val="20"/>
          <w:szCs w:val="20"/>
        </w:rPr>
        <w:t>% nel periodo pre-pandemico</w:t>
      </w:r>
      <w:r w:rsidR="00D11736" w:rsidRPr="000950FE">
        <w:rPr>
          <w:rFonts w:ascii="Arial" w:hAnsi="Arial" w:cs="Arial"/>
          <w:sz w:val="20"/>
          <w:szCs w:val="20"/>
        </w:rPr>
        <w:t xml:space="preserve"> 2017-2019</w:t>
      </w:r>
      <w:r w:rsidR="00C50A9C" w:rsidRPr="000950FE">
        <w:rPr>
          <w:rFonts w:ascii="Arial" w:hAnsi="Arial" w:cs="Arial"/>
          <w:sz w:val="20"/>
          <w:szCs w:val="20"/>
        </w:rPr>
        <w:t>)</w:t>
      </w:r>
      <w:r w:rsidR="00D11736" w:rsidRPr="000950FE">
        <w:rPr>
          <w:rFonts w:ascii="Arial" w:hAnsi="Arial" w:cs="Arial"/>
          <w:sz w:val="20"/>
          <w:szCs w:val="20"/>
        </w:rPr>
        <w:t xml:space="preserve">, dato coerente con le richieste di aiuto pervenute al numero contro la violenza e lo </w:t>
      </w:r>
      <w:r w:rsidR="00D11736" w:rsidRPr="002A5B2A">
        <w:rPr>
          <w:rFonts w:ascii="Arial" w:hAnsi="Arial" w:cs="Arial"/>
          <w:i/>
          <w:sz w:val="20"/>
          <w:szCs w:val="20"/>
        </w:rPr>
        <w:t>stalking</w:t>
      </w:r>
      <w:r w:rsidR="00D11736" w:rsidRPr="000950FE">
        <w:rPr>
          <w:rFonts w:ascii="Arial" w:hAnsi="Arial" w:cs="Arial"/>
          <w:sz w:val="20"/>
          <w:szCs w:val="20"/>
        </w:rPr>
        <w:t xml:space="preserve"> </w:t>
      </w:r>
      <w:r w:rsidR="00C87D75">
        <w:rPr>
          <w:rFonts w:ascii="Arial" w:hAnsi="Arial" w:cs="Arial"/>
          <w:sz w:val="20"/>
          <w:szCs w:val="20"/>
        </w:rPr>
        <w:t>“</w:t>
      </w:r>
      <w:r w:rsidR="00D11736" w:rsidRPr="000950FE">
        <w:rPr>
          <w:rFonts w:ascii="Arial" w:hAnsi="Arial" w:cs="Arial"/>
          <w:sz w:val="20"/>
          <w:szCs w:val="20"/>
        </w:rPr>
        <w:t>1522</w:t>
      </w:r>
      <w:r w:rsidR="00C87D75">
        <w:rPr>
          <w:rFonts w:ascii="Arial" w:hAnsi="Arial" w:cs="Arial"/>
          <w:sz w:val="20"/>
          <w:szCs w:val="20"/>
        </w:rPr>
        <w:t>”</w:t>
      </w:r>
      <w:r w:rsidR="00C50A9C" w:rsidRPr="000950FE">
        <w:rPr>
          <w:rFonts w:ascii="Arial" w:hAnsi="Arial" w:cs="Arial"/>
          <w:sz w:val="20"/>
          <w:szCs w:val="20"/>
        </w:rPr>
        <w:t>. Ciò anche a causa della particolarità del periodo</w:t>
      </w:r>
      <w:r w:rsidR="00B60B48">
        <w:rPr>
          <w:rFonts w:ascii="Arial" w:hAnsi="Arial" w:cs="Arial"/>
          <w:sz w:val="20"/>
          <w:szCs w:val="20"/>
        </w:rPr>
        <w:t>:</w:t>
      </w:r>
      <w:r w:rsidR="00C50A9C" w:rsidRPr="000950FE">
        <w:rPr>
          <w:rFonts w:ascii="Arial" w:hAnsi="Arial" w:cs="Arial"/>
          <w:sz w:val="20"/>
          <w:szCs w:val="20"/>
        </w:rPr>
        <w:t xml:space="preserve"> le misure restrittive hanno ridotto infatti l’esposizione a rischio da parte di altri autori (le violenze “da altra persona esterna alla famiglia” sono passate da </w:t>
      </w:r>
      <w:r w:rsidR="00E269A5" w:rsidRPr="000950FE">
        <w:rPr>
          <w:rFonts w:ascii="Arial" w:hAnsi="Arial" w:cs="Arial"/>
          <w:sz w:val="20"/>
          <w:szCs w:val="20"/>
        </w:rPr>
        <w:t>2,7</w:t>
      </w:r>
      <w:r w:rsidR="00C50A9C" w:rsidRPr="000950FE">
        <w:rPr>
          <w:rFonts w:ascii="Arial" w:hAnsi="Arial" w:cs="Arial"/>
          <w:sz w:val="20"/>
          <w:szCs w:val="20"/>
        </w:rPr>
        <w:t xml:space="preserve">% </w:t>
      </w:r>
      <w:r w:rsidR="00D11736" w:rsidRPr="000950FE">
        <w:rPr>
          <w:rFonts w:ascii="Arial" w:hAnsi="Arial" w:cs="Arial"/>
          <w:sz w:val="20"/>
          <w:szCs w:val="20"/>
        </w:rPr>
        <w:t xml:space="preserve">nel 2017-2019 </w:t>
      </w:r>
      <w:r w:rsidR="00C50A9C" w:rsidRPr="000950FE">
        <w:rPr>
          <w:rFonts w:ascii="Arial" w:hAnsi="Arial" w:cs="Arial"/>
          <w:sz w:val="20"/>
          <w:szCs w:val="20"/>
        </w:rPr>
        <w:t xml:space="preserve">a </w:t>
      </w:r>
      <w:r w:rsidR="00E269A5" w:rsidRPr="000950FE">
        <w:rPr>
          <w:rFonts w:ascii="Arial" w:hAnsi="Arial" w:cs="Arial"/>
          <w:sz w:val="20"/>
          <w:szCs w:val="20"/>
        </w:rPr>
        <w:t>2,3</w:t>
      </w:r>
      <w:r w:rsidR="00C50A9C" w:rsidRPr="000950FE">
        <w:rPr>
          <w:rFonts w:ascii="Arial" w:hAnsi="Arial" w:cs="Arial"/>
          <w:sz w:val="20"/>
          <w:szCs w:val="20"/>
        </w:rPr>
        <w:t>%</w:t>
      </w:r>
      <w:r w:rsidR="00D11736" w:rsidRPr="000950FE">
        <w:rPr>
          <w:rFonts w:ascii="Arial" w:hAnsi="Arial" w:cs="Arial"/>
          <w:sz w:val="20"/>
          <w:szCs w:val="20"/>
        </w:rPr>
        <w:t xml:space="preserve"> nel 2020-2021</w:t>
      </w:r>
      <w:r w:rsidR="00C50A9C" w:rsidRPr="000950FE">
        <w:rPr>
          <w:rFonts w:ascii="Arial" w:hAnsi="Arial" w:cs="Arial"/>
          <w:sz w:val="20"/>
          <w:szCs w:val="20"/>
        </w:rPr>
        <w:t>)</w:t>
      </w:r>
      <w:r w:rsidR="00D11736" w:rsidRPr="000950FE">
        <w:rPr>
          <w:rFonts w:ascii="Arial" w:hAnsi="Arial" w:cs="Arial"/>
          <w:sz w:val="20"/>
          <w:szCs w:val="20"/>
        </w:rPr>
        <w:t>.</w:t>
      </w:r>
    </w:p>
    <w:p w14:paraId="573844D7" w14:textId="77777777" w:rsidR="00E62FD6" w:rsidRPr="000950FE" w:rsidRDefault="00E62FD6">
      <w:pPr>
        <w:pStyle w:val="Default"/>
        <w:spacing w:after="120"/>
        <w:jc w:val="both"/>
        <w:rPr>
          <w:rFonts w:ascii="Arial" w:eastAsiaTheme="minorHAnsi" w:hAnsi="Arial" w:cs="Arial"/>
          <w:b/>
          <w:bCs/>
          <w:color w:val="44546A" w:themeColor="text2"/>
          <w:sz w:val="22"/>
          <w:szCs w:val="22"/>
          <w:lang w:eastAsia="en-US"/>
        </w:rPr>
      </w:pPr>
    </w:p>
    <w:p w14:paraId="11866186" w14:textId="72F90B6D" w:rsidR="00E936F9" w:rsidRPr="000950FE" w:rsidRDefault="00E936F9">
      <w:pPr>
        <w:pStyle w:val="Defaul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t>Più frequente la dimissione volontaria</w:t>
      </w:r>
    </w:p>
    <w:p w14:paraId="6B5813C4" w14:textId="023D7658" w:rsidR="00E936F9" w:rsidRPr="000950FE" w:rsidRDefault="00E936F9">
      <w:pPr>
        <w:spacing w:after="120" w:line="240" w:lineRule="auto"/>
        <w:jc w:val="both"/>
        <w:rPr>
          <w:rFonts w:ascii="Arial" w:hAnsi="Arial" w:cs="Arial"/>
          <w:sz w:val="20"/>
          <w:szCs w:val="20"/>
        </w:rPr>
      </w:pPr>
      <w:r w:rsidRPr="000950FE">
        <w:rPr>
          <w:rFonts w:ascii="Arial" w:hAnsi="Arial" w:cs="Arial"/>
          <w:sz w:val="20"/>
          <w:szCs w:val="20"/>
        </w:rPr>
        <w:t xml:space="preserve">Nei ricoveri con indicazione di violenza è più frequente la provenienza dal </w:t>
      </w:r>
      <w:r w:rsidR="00B60B48">
        <w:rPr>
          <w:rFonts w:ascii="Arial" w:hAnsi="Arial" w:cs="Arial"/>
          <w:sz w:val="20"/>
          <w:szCs w:val="20"/>
        </w:rPr>
        <w:t>P</w:t>
      </w:r>
      <w:r w:rsidRPr="000950FE">
        <w:rPr>
          <w:rFonts w:ascii="Arial" w:hAnsi="Arial" w:cs="Arial"/>
          <w:sz w:val="20"/>
          <w:szCs w:val="20"/>
        </w:rPr>
        <w:t xml:space="preserve">ronto </w:t>
      </w:r>
      <w:r w:rsidR="00B60B48">
        <w:rPr>
          <w:rFonts w:ascii="Arial" w:hAnsi="Arial" w:cs="Arial"/>
          <w:sz w:val="20"/>
          <w:szCs w:val="20"/>
        </w:rPr>
        <w:t>S</w:t>
      </w:r>
      <w:r w:rsidRPr="000950FE">
        <w:rPr>
          <w:rFonts w:ascii="Arial" w:hAnsi="Arial" w:cs="Arial"/>
          <w:sz w:val="20"/>
          <w:szCs w:val="20"/>
        </w:rPr>
        <w:t xml:space="preserve">occorso o dall’Osservazione breve intensiva (OBI) rispetto ai ricoveri totali: 80,8% </w:t>
      </w:r>
      <w:r w:rsidR="00B60B48">
        <w:rPr>
          <w:rFonts w:ascii="Arial" w:hAnsi="Arial" w:cs="Arial"/>
          <w:sz w:val="20"/>
          <w:szCs w:val="20"/>
        </w:rPr>
        <w:t>contro</w:t>
      </w:r>
      <w:r w:rsidRPr="000950FE">
        <w:rPr>
          <w:rFonts w:ascii="Arial" w:hAnsi="Arial" w:cs="Arial"/>
          <w:sz w:val="20"/>
          <w:szCs w:val="20"/>
        </w:rPr>
        <w:t xml:space="preserve"> 42,8% nel 2020-2021, in crescita rispetto al periodo pre-pandemia (66,1% </w:t>
      </w:r>
      <w:r w:rsidR="00B60B48">
        <w:rPr>
          <w:rFonts w:ascii="Arial" w:hAnsi="Arial" w:cs="Arial"/>
          <w:sz w:val="20"/>
          <w:szCs w:val="20"/>
        </w:rPr>
        <w:t>contro</w:t>
      </w:r>
      <w:r w:rsidRPr="000950FE">
        <w:rPr>
          <w:rFonts w:ascii="Arial" w:hAnsi="Arial" w:cs="Arial"/>
          <w:sz w:val="20"/>
          <w:szCs w:val="20"/>
        </w:rPr>
        <w:t xml:space="preserve"> 35,5%). </w:t>
      </w:r>
    </w:p>
    <w:p w14:paraId="2CFB27FC" w14:textId="49C65CBC" w:rsidR="00E936F9" w:rsidRPr="000950FE" w:rsidRDefault="00E936F9">
      <w:pPr>
        <w:spacing w:after="120" w:line="240" w:lineRule="auto"/>
        <w:jc w:val="both"/>
        <w:rPr>
          <w:rFonts w:ascii="Arial" w:hAnsi="Arial" w:cs="Arial"/>
          <w:sz w:val="20"/>
          <w:szCs w:val="20"/>
        </w:rPr>
      </w:pPr>
      <w:r w:rsidRPr="000950FE">
        <w:rPr>
          <w:rFonts w:ascii="Arial" w:hAnsi="Arial" w:cs="Arial"/>
          <w:sz w:val="20"/>
          <w:szCs w:val="20"/>
        </w:rPr>
        <w:t>La modalità di dimissione è nella maggior parte dei casi al domicilio, anche se in misura inferiore rispetto ai ricoveri totali</w:t>
      </w:r>
      <w:r w:rsidR="00C87D75">
        <w:rPr>
          <w:rFonts w:ascii="Arial" w:hAnsi="Arial" w:cs="Arial"/>
          <w:sz w:val="20"/>
          <w:szCs w:val="20"/>
        </w:rPr>
        <w:t xml:space="preserve"> </w:t>
      </w:r>
      <w:r w:rsidR="00B60B48">
        <w:rPr>
          <w:rFonts w:ascii="Arial" w:hAnsi="Arial" w:cs="Arial"/>
          <w:sz w:val="20"/>
          <w:szCs w:val="20"/>
        </w:rPr>
        <w:t>(</w:t>
      </w:r>
      <w:r w:rsidRPr="000950FE">
        <w:rPr>
          <w:rFonts w:ascii="Arial" w:hAnsi="Arial" w:cs="Arial"/>
          <w:sz w:val="20"/>
          <w:szCs w:val="20"/>
        </w:rPr>
        <w:t xml:space="preserve">79,5% </w:t>
      </w:r>
      <w:r w:rsidR="00B60B48">
        <w:rPr>
          <w:rFonts w:ascii="Arial" w:hAnsi="Arial" w:cs="Arial"/>
          <w:sz w:val="20"/>
          <w:szCs w:val="20"/>
        </w:rPr>
        <w:t>contro</w:t>
      </w:r>
      <w:r w:rsidRPr="000950FE">
        <w:rPr>
          <w:rFonts w:ascii="Arial" w:hAnsi="Arial" w:cs="Arial"/>
          <w:sz w:val="20"/>
          <w:szCs w:val="20"/>
        </w:rPr>
        <w:t xml:space="preserve"> 81,5% nel 2020-2021</w:t>
      </w:r>
      <w:r w:rsidR="00B60B48">
        <w:rPr>
          <w:rFonts w:ascii="Arial" w:hAnsi="Arial" w:cs="Arial"/>
          <w:sz w:val="20"/>
          <w:szCs w:val="20"/>
        </w:rPr>
        <w:t>)</w:t>
      </w:r>
      <w:r w:rsidRPr="000950FE">
        <w:rPr>
          <w:rFonts w:ascii="Arial" w:hAnsi="Arial" w:cs="Arial"/>
          <w:sz w:val="20"/>
          <w:szCs w:val="20"/>
        </w:rPr>
        <w:t xml:space="preserve">, mentre la dimissione volontaria caratterizza fortemente i ricoveri con indicazione di violenza: 8,3% </w:t>
      </w:r>
      <w:r w:rsidR="00B60B48">
        <w:rPr>
          <w:rFonts w:ascii="Arial" w:hAnsi="Arial" w:cs="Arial"/>
          <w:sz w:val="20"/>
          <w:szCs w:val="20"/>
        </w:rPr>
        <w:t>contro</w:t>
      </w:r>
      <w:r w:rsidRPr="000950FE">
        <w:rPr>
          <w:rFonts w:ascii="Arial" w:hAnsi="Arial" w:cs="Arial"/>
          <w:sz w:val="20"/>
          <w:szCs w:val="20"/>
        </w:rPr>
        <w:t xml:space="preserve"> 1,9%. La quota di dimissioni volontarie è comunque diminuita nel biennio 2020-2021 (era il 10,6% prima della pandemia); in particolare, si è dimezzata tra le minorenni (da 6,6% a 3,2%) ed è passata da 17,4% a 15,5% nella classe di età 18-34 anni, per le quali è massima. Di contro è aumentata la frequenza delle dimissioni per trasferimento a un’altra struttura (ospedaliera o non) ed è aumentata leggermente la quota di decessi (da 0,7% a 0,9%).</w:t>
      </w:r>
    </w:p>
    <w:p w14:paraId="3A39CA09" w14:textId="1C5E04DC" w:rsidR="00E936F9" w:rsidRDefault="00E936F9">
      <w:pPr>
        <w:spacing w:after="120" w:line="240" w:lineRule="auto"/>
        <w:jc w:val="both"/>
        <w:rPr>
          <w:rFonts w:ascii="Arial" w:hAnsi="Arial" w:cs="Arial"/>
          <w:sz w:val="20"/>
          <w:szCs w:val="20"/>
        </w:rPr>
      </w:pPr>
      <w:r w:rsidRPr="000950FE">
        <w:rPr>
          <w:rFonts w:ascii="Arial" w:hAnsi="Arial" w:cs="Arial"/>
          <w:sz w:val="20"/>
          <w:szCs w:val="20"/>
        </w:rPr>
        <w:t xml:space="preserve">La dimissione volontaria è più frequente nelle donne straniere (12,2% </w:t>
      </w:r>
      <w:r w:rsidR="00C8459C">
        <w:rPr>
          <w:rFonts w:ascii="Arial" w:hAnsi="Arial" w:cs="Arial"/>
          <w:sz w:val="20"/>
          <w:szCs w:val="20"/>
        </w:rPr>
        <w:t>contro</w:t>
      </w:r>
      <w:r w:rsidRPr="000950FE">
        <w:rPr>
          <w:rFonts w:ascii="Arial" w:hAnsi="Arial" w:cs="Arial"/>
          <w:sz w:val="20"/>
          <w:szCs w:val="20"/>
        </w:rPr>
        <w:t xml:space="preserve"> 6,8% nelle italiane), in particolare nelle classi di età dove si registrano più ricoveri con indicazione di violenza: 18,5% dei ricoveri di donne straniere di 18-34 anni e 13,3% nella classe 35-49 anni (Figura 1</w:t>
      </w:r>
      <w:r w:rsidR="00E62FD6" w:rsidRPr="000950FE">
        <w:rPr>
          <w:rFonts w:ascii="Arial" w:hAnsi="Arial" w:cs="Arial"/>
          <w:sz w:val="20"/>
          <w:szCs w:val="20"/>
        </w:rPr>
        <w:t>1</w:t>
      </w:r>
      <w:r w:rsidRPr="000950FE">
        <w:rPr>
          <w:rFonts w:ascii="Arial" w:hAnsi="Arial" w:cs="Arial"/>
          <w:sz w:val="20"/>
          <w:szCs w:val="20"/>
        </w:rPr>
        <w:t xml:space="preserve">). </w:t>
      </w:r>
    </w:p>
    <w:p w14:paraId="2C1FB78F" w14:textId="77777777" w:rsidR="00AE3991" w:rsidRPr="000950FE" w:rsidRDefault="00AE3991">
      <w:pPr>
        <w:spacing w:after="120" w:line="240" w:lineRule="auto"/>
        <w:jc w:val="both"/>
        <w:rPr>
          <w:rFonts w:ascii="Arial" w:hAnsi="Arial" w:cs="Arial"/>
          <w:sz w:val="20"/>
          <w:szCs w:val="20"/>
        </w:rPr>
      </w:pPr>
    </w:p>
    <w:p w14:paraId="52F0B8F3" w14:textId="4B3B918D" w:rsidR="00CB4686" w:rsidRPr="000950FE" w:rsidRDefault="00E936F9" w:rsidP="00DD1CCC">
      <w:pPr>
        <w:keepNext/>
        <w:spacing w:after="120" w:line="240" w:lineRule="auto"/>
        <w:jc w:val="both"/>
        <w:rPr>
          <w:rFonts w:ascii="Arial" w:hAnsi="Arial" w:cs="Arial"/>
          <w:b/>
          <w:bCs/>
          <w:color w:val="44546A" w:themeColor="text2"/>
          <w14:props3d w14:extrusionH="0" w14:contourW="0" w14:prstMaterial="matte"/>
        </w:rPr>
      </w:pPr>
      <w:r w:rsidRPr="00DD1CCC">
        <w:rPr>
          <w:rFonts w:ascii="Arial Narrow" w:eastAsia="Times New Roman" w:hAnsi="Arial Narrow" w:cs="Arial"/>
          <w:b/>
          <w:bCs/>
          <w:iCs/>
          <w:noProof/>
          <w:color w:val="1F4B78"/>
          <w:sz w:val="20"/>
          <w:szCs w:val="20"/>
          <w:lang w:eastAsia="it-IT"/>
        </w:rPr>
        <w:t>FIGURA 1</w:t>
      </w:r>
      <w:r w:rsidR="00E62FD6" w:rsidRPr="00DD1CCC">
        <w:rPr>
          <w:rFonts w:ascii="Arial Narrow" w:eastAsia="Times New Roman" w:hAnsi="Arial Narrow" w:cs="Arial"/>
          <w:b/>
          <w:bCs/>
          <w:iCs/>
          <w:noProof/>
          <w:color w:val="1F4B78"/>
          <w:sz w:val="20"/>
          <w:szCs w:val="20"/>
          <w:lang w:eastAsia="it-IT"/>
        </w:rPr>
        <w:t>1</w:t>
      </w:r>
      <w:r w:rsidRPr="00DD1CCC">
        <w:rPr>
          <w:rFonts w:ascii="Arial Narrow" w:eastAsia="Times New Roman" w:hAnsi="Arial Narrow" w:cs="Arial"/>
          <w:b/>
          <w:bCs/>
          <w:iCs/>
          <w:noProof/>
          <w:color w:val="1F4B78"/>
          <w:sz w:val="20"/>
          <w:szCs w:val="20"/>
          <w:lang w:eastAsia="it-IT"/>
        </w:rPr>
        <w:t xml:space="preserve">. DIMISSIONI VOLONTARIE NEI RICOVERI IN REGIME ORDINARIO DI DONNE CON INDICAZIONE DI VIOLENZA PER CITTADINANZA E CLASSI DI ETA’. </w:t>
      </w:r>
      <w:r w:rsidRPr="00DD1CCC">
        <w:rPr>
          <w:rFonts w:ascii="Arial Narrow" w:eastAsia="Times New Roman" w:hAnsi="Arial Narrow" w:cs="Arial"/>
          <w:bCs/>
          <w:color w:val="1F3864" w:themeColor="accent5" w:themeShade="80"/>
          <w:sz w:val="19"/>
          <w:szCs w:val="19"/>
          <w:lang w:eastAsia="it-IT"/>
        </w:rPr>
        <w:t>Anni 2017-2019, 2020-2021</w:t>
      </w:r>
      <w:r w:rsidR="00FC34C1">
        <w:rPr>
          <w:rFonts w:ascii="Arial Narrow" w:eastAsia="Times New Roman" w:hAnsi="Arial Narrow" w:cs="Arial"/>
          <w:bCs/>
          <w:color w:val="1F3864" w:themeColor="accent5" w:themeShade="80"/>
          <w:sz w:val="19"/>
          <w:szCs w:val="19"/>
          <w:lang w:eastAsia="it-IT"/>
        </w:rPr>
        <w:t xml:space="preserve">, </w:t>
      </w:r>
      <w:r w:rsidR="00C87D75">
        <w:rPr>
          <w:rFonts w:ascii="Arial Narrow" w:eastAsia="Times New Roman" w:hAnsi="Arial Narrow" w:cs="Arial"/>
          <w:bCs/>
          <w:color w:val="1F3864" w:themeColor="accent5" w:themeShade="80"/>
          <w:sz w:val="19"/>
          <w:szCs w:val="19"/>
          <w:lang w:eastAsia="it-IT"/>
        </w:rPr>
        <w:t>per 100 ricoveri</w:t>
      </w:r>
      <w:r w:rsidR="00FC34C1">
        <w:rPr>
          <w:rFonts w:ascii="Arial Narrow" w:eastAsia="Times New Roman" w:hAnsi="Arial Narrow" w:cs="Arial"/>
          <w:bCs/>
          <w:color w:val="1F3864" w:themeColor="accent5" w:themeShade="80"/>
          <w:sz w:val="19"/>
          <w:szCs w:val="19"/>
          <w:lang w:eastAsia="it-IT"/>
        </w:rPr>
        <w:t>.</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50"/>
        <w:gridCol w:w="5073"/>
      </w:tblGrid>
      <w:tr w:rsidR="00CB4686" w14:paraId="4752BAA5" w14:textId="77777777" w:rsidTr="00DD1CCC">
        <w:tc>
          <w:tcPr>
            <w:tcW w:w="4850" w:type="dxa"/>
          </w:tcPr>
          <w:p w14:paraId="2848B626" w14:textId="36408F44" w:rsidR="00CB4686" w:rsidRDefault="00CB4686" w:rsidP="00E936F9">
            <w:pPr>
              <w:pStyle w:val="Default"/>
              <w:spacing w:after="120"/>
              <w:jc w:val="both"/>
              <w:rPr>
                <w:rFonts w:ascii="Arial" w:eastAsiaTheme="minorHAnsi" w:hAnsi="Arial" w:cs="Arial"/>
                <w:b/>
                <w:bCs/>
                <w:color w:val="44546A" w:themeColor="text2"/>
                <w:sz w:val="22"/>
                <w:szCs w:val="22"/>
                <w:lang w:eastAsia="en-US"/>
                <w14:props3d w14:extrusionH="0" w14:contourW="0" w14:prstMaterial="matte"/>
              </w:rPr>
            </w:pPr>
            <w:r>
              <w:rPr>
                <w:noProof/>
              </w:rPr>
              <w:drawing>
                <wp:inline distT="0" distB="0" distL="0" distR="0" wp14:anchorId="65C4EE08" wp14:editId="3A76E254">
                  <wp:extent cx="2990850" cy="2159635"/>
                  <wp:effectExtent l="0" t="0" r="0" b="12065"/>
                  <wp:docPr id="32" name="Grafico 3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073" w:type="dxa"/>
          </w:tcPr>
          <w:p w14:paraId="0880914C" w14:textId="739C9FFD" w:rsidR="00CB4686" w:rsidRDefault="00CB4686" w:rsidP="00E936F9">
            <w:pPr>
              <w:pStyle w:val="Default"/>
              <w:spacing w:after="120"/>
              <w:jc w:val="both"/>
              <w:rPr>
                <w:rFonts w:ascii="Arial" w:eastAsiaTheme="minorHAnsi" w:hAnsi="Arial" w:cs="Arial"/>
                <w:b/>
                <w:bCs/>
                <w:color w:val="44546A" w:themeColor="text2"/>
                <w:sz w:val="22"/>
                <w:szCs w:val="22"/>
                <w:lang w:eastAsia="en-US"/>
                <w14:props3d w14:extrusionH="0" w14:contourW="0" w14:prstMaterial="matte"/>
              </w:rPr>
            </w:pPr>
            <w:r>
              <w:rPr>
                <w:noProof/>
              </w:rPr>
              <w:drawing>
                <wp:inline distT="0" distB="0" distL="0" distR="0" wp14:anchorId="5AB2A911" wp14:editId="52A961AC">
                  <wp:extent cx="3019425" cy="2159635"/>
                  <wp:effectExtent l="0" t="0" r="9525" b="12065"/>
                  <wp:docPr id="33" name="Grafico 33">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257D372F" w14:textId="77777777" w:rsidR="00284DE1" w:rsidRPr="00DD1CCC" w:rsidRDefault="00284DE1" w:rsidP="004B1EE6">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Istat su dati Scheda dimissione ospedaliera (SDO)</w:t>
      </w:r>
    </w:p>
    <w:p w14:paraId="4806ED48" w14:textId="77777777" w:rsidR="00E936F9" w:rsidRPr="000950FE" w:rsidRDefault="00E936F9" w:rsidP="006A32E2">
      <w:pPr>
        <w:pStyle w:val="Default"/>
        <w:spacing w:after="120"/>
        <w:jc w:val="both"/>
        <w:rPr>
          <w:rFonts w:ascii="Arial" w:eastAsiaTheme="minorHAnsi" w:hAnsi="Arial" w:cs="Arial"/>
          <w:b/>
          <w:bCs/>
          <w:color w:val="44546A" w:themeColor="text2"/>
          <w:sz w:val="22"/>
          <w:szCs w:val="22"/>
          <w:lang w:eastAsia="en-US"/>
        </w:rPr>
      </w:pPr>
    </w:p>
    <w:p w14:paraId="6ACD130E" w14:textId="466FBF33" w:rsidR="006A32E2" w:rsidRPr="000950FE" w:rsidRDefault="00B77745" w:rsidP="006A32E2">
      <w:pPr>
        <w:pStyle w:val="Default"/>
        <w:spacing w:after="120"/>
        <w:jc w:val="both"/>
        <w:rPr>
          <w:rFonts w:ascii="Arial" w:eastAsiaTheme="minorHAnsi" w:hAnsi="Arial" w:cs="Arial"/>
          <w:b/>
          <w:bCs/>
          <w:color w:val="44546A" w:themeColor="text2"/>
          <w:sz w:val="22"/>
          <w:szCs w:val="22"/>
          <w:lang w:eastAsia="en-US"/>
        </w:rPr>
      </w:pPr>
      <w:r w:rsidRPr="000950FE">
        <w:rPr>
          <w:rFonts w:ascii="Arial" w:eastAsiaTheme="minorHAnsi" w:hAnsi="Arial" w:cs="Arial"/>
          <w:b/>
          <w:bCs/>
          <w:color w:val="44546A" w:themeColor="text2"/>
          <w:sz w:val="22"/>
          <w:szCs w:val="22"/>
          <w:lang w:eastAsia="en-US"/>
        </w:rPr>
        <w:t>Ricoveri ripetuti più frequenti per l</w:t>
      </w:r>
      <w:r w:rsidR="006A32E2" w:rsidRPr="000950FE">
        <w:rPr>
          <w:rFonts w:ascii="Arial" w:eastAsiaTheme="minorHAnsi" w:hAnsi="Arial" w:cs="Arial"/>
          <w:b/>
          <w:bCs/>
          <w:color w:val="44546A" w:themeColor="text2"/>
          <w:sz w:val="22"/>
          <w:szCs w:val="22"/>
          <w:lang w:eastAsia="en-US"/>
        </w:rPr>
        <w:t>e donne ricoverate per violenza</w:t>
      </w:r>
    </w:p>
    <w:p w14:paraId="5860E816" w14:textId="71C2E310" w:rsidR="006A32E2" w:rsidRPr="000950FE" w:rsidRDefault="006A32E2" w:rsidP="006A32E2">
      <w:pPr>
        <w:spacing w:after="120" w:line="240" w:lineRule="auto"/>
        <w:jc w:val="both"/>
        <w:rPr>
          <w:rFonts w:ascii="Arial" w:hAnsi="Arial" w:cs="Arial"/>
          <w:sz w:val="20"/>
          <w:szCs w:val="20"/>
        </w:rPr>
      </w:pPr>
      <w:r w:rsidRPr="000950FE">
        <w:rPr>
          <w:rFonts w:ascii="Arial" w:hAnsi="Arial" w:cs="Arial"/>
          <w:sz w:val="20"/>
          <w:szCs w:val="20"/>
        </w:rPr>
        <w:t>Nel complesso dei cinque anni analizzati (2017-2021) sono state 6.211 le donne con almeno un ricovero con indicazione di violenza, per un totale di 8.645 ricoveri complessivi</w:t>
      </w:r>
      <w:r w:rsidR="001E5D24" w:rsidRPr="000950FE">
        <w:rPr>
          <w:rFonts w:ascii="Arial" w:hAnsi="Arial" w:cs="Arial"/>
          <w:sz w:val="20"/>
          <w:szCs w:val="20"/>
        </w:rPr>
        <w:t xml:space="preserve"> (</w:t>
      </w:r>
      <w:r w:rsidRPr="000950FE">
        <w:rPr>
          <w:rFonts w:ascii="Arial" w:hAnsi="Arial" w:cs="Arial"/>
          <w:sz w:val="20"/>
          <w:szCs w:val="20"/>
        </w:rPr>
        <w:t>6.382 con indicazione di violenza</w:t>
      </w:r>
      <w:r w:rsidR="001E5D24" w:rsidRPr="000950FE">
        <w:rPr>
          <w:rFonts w:ascii="Arial" w:hAnsi="Arial" w:cs="Arial"/>
          <w:sz w:val="20"/>
          <w:szCs w:val="20"/>
        </w:rPr>
        <w:t>)</w:t>
      </w:r>
      <w:r w:rsidRPr="000950FE">
        <w:rPr>
          <w:rFonts w:ascii="Arial" w:hAnsi="Arial" w:cs="Arial"/>
          <w:sz w:val="20"/>
          <w:szCs w:val="20"/>
        </w:rPr>
        <w:t xml:space="preserve">. Il 97,4% delle donne ha avuto un solo ricovero per violenza, il 2,5% ne ha avuti due. </w:t>
      </w:r>
    </w:p>
    <w:p w14:paraId="18B47254" w14:textId="1AC2B689" w:rsidR="006A32E2" w:rsidRPr="000950FE" w:rsidRDefault="00285D26" w:rsidP="006A32E2">
      <w:pPr>
        <w:spacing w:after="120" w:line="240" w:lineRule="auto"/>
        <w:jc w:val="both"/>
        <w:rPr>
          <w:rFonts w:ascii="Arial" w:hAnsi="Arial" w:cs="Arial"/>
          <w:sz w:val="20"/>
          <w:szCs w:val="20"/>
        </w:rPr>
      </w:pPr>
      <w:r w:rsidRPr="000950FE">
        <w:rPr>
          <w:rFonts w:ascii="Arial" w:hAnsi="Arial" w:cs="Arial"/>
          <w:sz w:val="20"/>
          <w:szCs w:val="20"/>
        </w:rPr>
        <w:t xml:space="preserve">La frequenza dei ricoveri ripetuti, anche non dovuti a violenza, esclusi i ricoveri per parto, è più elevata per queste donne rispetto alle altre: nel periodo 2017-2021 hanno avuto 1,39 ricoveri pro-capite rispetto a 1,34 e il divario è più ampio nella classe 18-34 anni (1,36 </w:t>
      </w:r>
      <w:r w:rsidR="00C8459C">
        <w:rPr>
          <w:rFonts w:ascii="Arial" w:hAnsi="Arial" w:cs="Arial"/>
          <w:sz w:val="20"/>
          <w:szCs w:val="20"/>
        </w:rPr>
        <w:t>contro</w:t>
      </w:r>
      <w:r w:rsidRPr="000950FE">
        <w:rPr>
          <w:rFonts w:ascii="Arial" w:hAnsi="Arial" w:cs="Arial"/>
          <w:sz w:val="20"/>
          <w:szCs w:val="20"/>
        </w:rPr>
        <w:t xml:space="preserve"> 1,20) (Figura </w:t>
      </w:r>
      <w:r w:rsidR="00FD102E" w:rsidRPr="000950FE">
        <w:rPr>
          <w:rFonts w:ascii="Arial" w:hAnsi="Arial" w:cs="Arial"/>
          <w:sz w:val="20"/>
          <w:szCs w:val="20"/>
        </w:rPr>
        <w:t>1</w:t>
      </w:r>
      <w:r w:rsidR="00E62FD6" w:rsidRPr="000950FE">
        <w:rPr>
          <w:rFonts w:ascii="Arial" w:hAnsi="Arial" w:cs="Arial"/>
          <w:sz w:val="20"/>
          <w:szCs w:val="20"/>
        </w:rPr>
        <w:t>2</w:t>
      </w:r>
      <w:r w:rsidRPr="000950FE">
        <w:rPr>
          <w:rFonts w:ascii="Arial" w:hAnsi="Arial" w:cs="Arial"/>
          <w:sz w:val="20"/>
          <w:szCs w:val="20"/>
        </w:rPr>
        <w:t>).</w:t>
      </w:r>
    </w:p>
    <w:p w14:paraId="5D92CE4A" w14:textId="75C1EF92" w:rsidR="006A32E2" w:rsidRPr="00DD1CCC" w:rsidRDefault="006A32E2" w:rsidP="006A32E2">
      <w:pPr>
        <w:pStyle w:val="Default"/>
        <w:keepNext/>
        <w:spacing w:after="120"/>
        <w:jc w:val="both"/>
        <w:rPr>
          <w:rFonts w:ascii="Arial Narrow" w:hAnsi="Arial Narrow" w:cs="Arial"/>
          <w:bCs/>
          <w:color w:val="1F3864" w:themeColor="accent5" w:themeShade="80"/>
          <w:sz w:val="19"/>
          <w:szCs w:val="19"/>
        </w:rPr>
      </w:pPr>
      <w:r w:rsidRPr="00DD1CCC">
        <w:rPr>
          <w:rFonts w:ascii="Arial Narrow" w:hAnsi="Arial Narrow" w:cs="Arial"/>
          <w:b/>
          <w:bCs/>
          <w:iCs/>
          <w:noProof/>
          <w:color w:val="1F4B78"/>
          <w:sz w:val="20"/>
          <w:szCs w:val="20"/>
        </w:rPr>
        <w:lastRenderedPageBreak/>
        <w:t xml:space="preserve">FIGURA </w:t>
      </w:r>
      <w:r w:rsidR="00FD102E" w:rsidRPr="00DD1CCC">
        <w:rPr>
          <w:rFonts w:ascii="Arial Narrow" w:hAnsi="Arial Narrow" w:cs="Arial"/>
          <w:b/>
          <w:bCs/>
          <w:iCs/>
          <w:noProof/>
          <w:color w:val="1F4B78"/>
          <w:sz w:val="20"/>
          <w:szCs w:val="20"/>
        </w:rPr>
        <w:t>1</w:t>
      </w:r>
      <w:r w:rsidR="00E62FD6" w:rsidRPr="00DD1CCC">
        <w:rPr>
          <w:rFonts w:ascii="Arial Narrow" w:hAnsi="Arial Narrow" w:cs="Arial"/>
          <w:b/>
          <w:bCs/>
          <w:iCs/>
          <w:noProof/>
          <w:color w:val="1F4B78"/>
          <w:sz w:val="20"/>
          <w:szCs w:val="20"/>
        </w:rPr>
        <w:t>2</w:t>
      </w:r>
      <w:r w:rsidRPr="00DD1CCC">
        <w:rPr>
          <w:rFonts w:ascii="Arial Narrow" w:hAnsi="Arial Narrow" w:cs="Arial"/>
          <w:b/>
          <w:bCs/>
          <w:iCs/>
          <w:noProof/>
          <w:color w:val="1F4B78"/>
          <w:sz w:val="20"/>
          <w:szCs w:val="20"/>
        </w:rPr>
        <w:t>. RICOVERI RIPETUTI DI DONNE PER CLASSE DI ETÀ.</w:t>
      </w:r>
      <w:r w:rsidRPr="000950FE">
        <w:rPr>
          <w:rFonts w:ascii="Arial" w:hAnsi="Arial" w:cs="Arial"/>
          <w:b/>
          <w:bCs/>
          <w:iCs/>
          <w:noProof/>
          <w:color w:val="44546A" w:themeColor="text2"/>
          <w:sz w:val="20"/>
          <w:szCs w:val="20"/>
        </w:rPr>
        <w:t xml:space="preserve"> </w:t>
      </w:r>
      <w:r w:rsidRPr="00DD1CCC">
        <w:rPr>
          <w:rFonts w:ascii="Arial Narrow" w:hAnsi="Arial Narrow" w:cs="Arial"/>
          <w:bCs/>
          <w:color w:val="1F3864" w:themeColor="accent5" w:themeShade="80"/>
          <w:sz w:val="19"/>
          <w:szCs w:val="19"/>
        </w:rPr>
        <w:t>Anni 2017-2021, valori pro-capite</w:t>
      </w:r>
    </w:p>
    <w:p w14:paraId="6400DB8D" w14:textId="3AE1660F" w:rsidR="006A32E2" w:rsidRPr="000950FE" w:rsidRDefault="00C93343" w:rsidP="00DD1CCC">
      <w:pPr>
        <w:pStyle w:val="Default"/>
        <w:spacing w:after="60"/>
        <w:jc w:val="both"/>
        <w:rPr>
          <w:rFonts w:ascii="Arial" w:hAnsi="Arial" w:cs="Arial"/>
          <w:bCs/>
          <w:color w:val="1F3864" w:themeColor="accent5" w:themeShade="80"/>
          <w:sz w:val="20"/>
          <w:szCs w:val="20"/>
        </w:rPr>
      </w:pPr>
      <w:r>
        <w:rPr>
          <w:noProof/>
        </w:rPr>
        <w:drawing>
          <wp:inline distT="0" distB="0" distL="0" distR="0" wp14:anchorId="5B55CBF6" wp14:editId="66138CF7">
            <wp:extent cx="5860187" cy="2320119"/>
            <wp:effectExtent l="0" t="0" r="7620" b="4445"/>
            <wp:docPr id="34" name="Grafico 34">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5C822B" w14:textId="77777777" w:rsidR="00284DE1" w:rsidRPr="00DD1CCC" w:rsidRDefault="00284DE1" w:rsidP="00284DE1">
      <w:pPr>
        <w:spacing w:after="0" w:line="240" w:lineRule="auto"/>
        <w:jc w:val="both"/>
        <w:rPr>
          <w:rFonts w:ascii="Arial" w:eastAsia="Times New Roman" w:hAnsi="Arial" w:cs="Arial"/>
          <w:color w:val="000000"/>
          <w:sz w:val="15"/>
          <w:szCs w:val="15"/>
          <w:lang w:eastAsia="it-IT"/>
        </w:rPr>
      </w:pPr>
      <w:r w:rsidRPr="00DD1CCC">
        <w:rPr>
          <w:rFonts w:ascii="Arial" w:eastAsia="Times New Roman" w:hAnsi="Arial" w:cs="Arial"/>
          <w:color w:val="000000"/>
          <w:sz w:val="15"/>
          <w:szCs w:val="15"/>
          <w:lang w:eastAsia="it-IT"/>
        </w:rPr>
        <w:t>Fonte: Elaborazioni Istat su dati Scheda dimissione ospedaliera (SDO)</w:t>
      </w:r>
    </w:p>
    <w:p w14:paraId="0EA526BC" w14:textId="77777777" w:rsidR="006A32E2" w:rsidRPr="000950FE" w:rsidRDefault="006A32E2" w:rsidP="006A32E2">
      <w:pPr>
        <w:spacing w:after="120" w:line="240" w:lineRule="auto"/>
        <w:jc w:val="both"/>
        <w:rPr>
          <w:rFonts w:ascii="Arial" w:hAnsi="Arial" w:cs="Arial"/>
          <w:sz w:val="20"/>
          <w:szCs w:val="20"/>
        </w:rPr>
      </w:pPr>
    </w:p>
    <w:p w14:paraId="70CBBD94" w14:textId="55A40B88" w:rsidR="006A32E2" w:rsidRPr="00DD1CCC" w:rsidRDefault="002C6405" w:rsidP="006A32E2">
      <w:pPr>
        <w:pStyle w:val="Default"/>
        <w:spacing w:after="120"/>
        <w:jc w:val="both"/>
        <w:rPr>
          <w:rFonts w:ascii="Arial" w:eastAsiaTheme="minorHAnsi" w:hAnsi="Arial" w:cs="Arial"/>
          <w:b/>
          <w:bCs/>
          <w:color w:val="1F4B78"/>
          <w:sz w:val="22"/>
          <w:szCs w:val="22"/>
          <w:lang w:eastAsia="en-US"/>
        </w:rPr>
      </w:pPr>
      <w:r>
        <w:rPr>
          <w:rFonts w:ascii="Arial" w:eastAsiaTheme="minorHAnsi" w:hAnsi="Arial" w:cs="Arial"/>
          <w:b/>
          <w:bCs/>
          <w:color w:val="1F4B78"/>
          <w:sz w:val="22"/>
          <w:szCs w:val="22"/>
          <w:lang w:eastAsia="en-US"/>
        </w:rPr>
        <w:t>T</w:t>
      </w:r>
      <w:r w:rsidR="006A32E2" w:rsidRPr="00DD1CCC">
        <w:rPr>
          <w:rFonts w:ascii="Arial" w:eastAsiaTheme="minorHAnsi" w:hAnsi="Arial" w:cs="Arial"/>
          <w:b/>
          <w:bCs/>
          <w:color w:val="1F4B78"/>
          <w:sz w:val="22"/>
          <w:szCs w:val="22"/>
          <w:lang w:eastAsia="en-US"/>
        </w:rPr>
        <w:t xml:space="preserve">raumatismi, avvelenamenti e </w:t>
      </w:r>
      <w:r w:rsidR="00466664" w:rsidRPr="00DD1CCC">
        <w:rPr>
          <w:rFonts w:ascii="Arial" w:eastAsiaTheme="minorHAnsi" w:hAnsi="Arial" w:cs="Arial"/>
          <w:b/>
          <w:bCs/>
          <w:color w:val="1F4B78"/>
          <w:sz w:val="22"/>
          <w:szCs w:val="22"/>
          <w:lang w:eastAsia="en-US"/>
        </w:rPr>
        <w:t>alcuni</w:t>
      </w:r>
      <w:r w:rsidR="006A32E2" w:rsidRPr="00DD1CCC">
        <w:rPr>
          <w:rFonts w:ascii="Arial" w:eastAsiaTheme="minorHAnsi" w:hAnsi="Arial" w:cs="Arial"/>
          <w:b/>
          <w:bCs/>
          <w:color w:val="1F4B78"/>
          <w:sz w:val="22"/>
          <w:szCs w:val="22"/>
          <w:lang w:eastAsia="en-US"/>
        </w:rPr>
        <w:t xml:space="preserve"> disturbi psichici caratterizzano i ricoveri per violenza</w:t>
      </w:r>
    </w:p>
    <w:p w14:paraId="6811D6CE" w14:textId="2978DE72" w:rsidR="000D5742" w:rsidRPr="000950FE" w:rsidRDefault="000D5742" w:rsidP="000D5742">
      <w:pPr>
        <w:spacing w:after="120" w:line="240" w:lineRule="auto"/>
        <w:jc w:val="both"/>
        <w:rPr>
          <w:rFonts w:ascii="Arial" w:hAnsi="Arial" w:cs="Arial"/>
          <w:sz w:val="20"/>
          <w:szCs w:val="20"/>
        </w:rPr>
      </w:pPr>
      <w:r w:rsidRPr="000950FE">
        <w:rPr>
          <w:rFonts w:ascii="Arial" w:hAnsi="Arial" w:cs="Arial"/>
          <w:sz w:val="20"/>
          <w:szCs w:val="20"/>
        </w:rPr>
        <w:t xml:space="preserve">Le diagnosi più frequentemente associate agli accessi </w:t>
      </w:r>
      <w:r w:rsidR="00FD102E" w:rsidRPr="000950FE">
        <w:rPr>
          <w:rFonts w:ascii="Arial" w:hAnsi="Arial" w:cs="Arial"/>
          <w:sz w:val="20"/>
          <w:szCs w:val="20"/>
        </w:rPr>
        <w:t>in</w:t>
      </w:r>
      <w:r w:rsidRPr="000950FE">
        <w:rPr>
          <w:rFonts w:ascii="Arial" w:hAnsi="Arial" w:cs="Arial"/>
          <w:sz w:val="20"/>
          <w:szCs w:val="20"/>
        </w:rPr>
        <w:t xml:space="preserve"> PS </w:t>
      </w:r>
      <w:r w:rsidR="00FD102E" w:rsidRPr="000950FE">
        <w:rPr>
          <w:rFonts w:ascii="Arial" w:hAnsi="Arial" w:cs="Arial"/>
          <w:sz w:val="20"/>
          <w:szCs w:val="20"/>
        </w:rPr>
        <w:t xml:space="preserve">e ai ricoveri in regime ordinario </w:t>
      </w:r>
      <w:r w:rsidRPr="000950FE">
        <w:rPr>
          <w:rFonts w:ascii="Arial" w:hAnsi="Arial" w:cs="Arial"/>
          <w:sz w:val="20"/>
          <w:szCs w:val="20"/>
        </w:rPr>
        <w:t>con indicazioni di violenza (selezionate per gli anni 2017-2021 in base alla significatività statistica del rapporto proporzionale di ospedalizzazione standardizzato</w:t>
      </w:r>
      <w:r w:rsidRPr="000950FE">
        <w:rPr>
          <w:rStyle w:val="Rimandonotaapidipagina"/>
          <w:rFonts w:ascii="Arial" w:hAnsi="Arial" w:cs="Arial"/>
          <w:sz w:val="20"/>
          <w:szCs w:val="20"/>
        </w:rPr>
        <w:footnoteReference w:id="7"/>
      </w:r>
      <w:r w:rsidRPr="000950FE">
        <w:rPr>
          <w:rFonts w:ascii="Arial" w:hAnsi="Arial" w:cs="Arial"/>
          <w:sz w:val="20"/>
          <w:szCs w:val="20"/>
        </w:rPr>
        <w:t xml:space="preserve">) appartengono al Capitolo 17 </w:t>
      </w:r>
      <w:r w:rsidR="008E01E3" w:rsidRPr="000950FE">
        <w:rPr>
          <w:rFonts w:ascii="Arial" w:hAnsi="Arial" w:cs="Arial"/>
          <w:sz w:val="20"/>
          <w:szCs w:val="20"/>
        </w:rPr>
        <w:t>“</w:t>
      </w:r>
      <w:r w:rsidRPr="000950FE">
        <w:rPr>
          <w:rFonts w:ascii="Arial" w:hAnsi="Arial" w:cs="Arial"/>
          <w:sz w:val="20"/>
          <w:szCs w:val="20"/>
        </w:rPr>
        <w:t>Traumatismi e avvelenamenti</w:t>
      </w:r>
      <w:r w:rsidR="008E01E3" w:rsidRPr="000950FE">
        <w:rPr>
          <w:rFonts w:ascii="Arial" w:hAnsi="Arial" w:cs="Arial"/>
          <w:sz w:val="20"/>
          <w:szCs w:val="20"/>
        </w:rPr>
        <w:t>”</w:t>
      </w:r>
      <w:r w:rsidRPr="000950FE">
        <w:rPr>
          <w:rFonts w:ascii="Arial" w:hAnsi="Arial" w:cs="Arial"/>
          <w:sz w:val="20"/>
          <w:szCs w:val="20"/>
        </w:rPr>
        <w:t xml:space="preserve"> (ICD</w:t>
      </w:r>
      <w:r w:rsidR="00FD102E" w:rsidRPr="000950FE">
        <w:rPr>
          <w:rFonts w:ascii="Arial" w:hAnsi="Arial" w:cs="Arial"/>
          <w:sz w:val="20"/>
          <w:szCs w:val="20"/>
        </w:rPr>
        <w:t>-</w:t>
      </w:r>
      <w:r w:rsidRPr="000950FE">
        <w:rPr>
          <w:rFonts w:ascii="Arial" w:hAnsi="Arial" w:cs="Arial"/>
          <w:sz w:val="20"/>
          <w:szCs w:val="20"/>
        </w:rPr>
        <w:t>9</w:t>
      </w:r>
      <w:r w:rsidR="00FD102E" w:rsidRPr="000950FE">
        <w:rPr>
          <w:rFonts w:ascii="Arial" w:hAnsi="Arial" w:cs="Arial"/>
          <w:sz w:val="20"/>
          <w:szCs w:val="20"/>
        </w:rPr>
        <w:t>-</w:t>
      </w:r>
      <w:r w:rsidRPr="000950FE">
        <w:rPr>
          <w:rFonts w:ascii="Arial" w:hAnsi="Arial" w:cs="Arial"/>
          <w:sz w:val="20"/>
          <w:szCs w:val="20"/>
        </w:rPr>
        <w:t>CM: 800-999)</w:t>
      </w:r>
      <w:r w:rsidR="00FD102E" w:rsidRPr="000950FE">
        <w:rPr>
          <w:rFonts w:ascii="Arial" w:hAnsi="Arial" w:cs="Arial"/>
          <w:sz w:val="20"/>
          <w:szCs w:val="20"/>
        </w:rPr>
        <w:t xml:space="preserve"> e</w:t>
      </w:r>
      <w:r w:rsidRPr="000950FE">
        <w:rPr>
          <w:rFonts w:ascii="Arial" w:hAnsi="Arial" w:cs="Arial"/>
          <w:sz w:val="20"/>
          <w:szCs w:val="20"/>
        </w:rPr>
        <w:t xml:space="preserve"> al Capitolo 5 </w:t>
      </w:r>
      <w:r w:rsidR="008E01E3" w:rsidRPr="000950FE">
        <w:rPr>
          <w:rFonts w:ascii="Arial" w:hAnsi="Arial" w:cs="Arial"/>
          <w:sz w:val="20"/>
          <w:szCs w:val="20"/>
        </w:rPr>
        <w:t>“</w:t>
      </w:r>
      <w:r w:rsidRPr="000950FE">
        <w:rPr>
          <w:rFonts w:ascii="Arial" w:hAnsi="Arial" w:cs="Arial"/>
          <w:sz w:val="20"/>
          <w:szCs w:val="20"/>
        </w:rPr>
        <w:t>Disturbi mentali</w:t>
      </w:r>
      <w:r w:rsidR="008E01E3" w:rsidRPr="000950FE">
        <w:rPr>
          <w:rFonts w:ascii="Arial" w:hAnsi="Arial" w:cs="Arial"/>
          <w:sz w:val="20"/>
          <w:szCs w:val="20"/>
        </w:rPr>
        <w:t>”</w:t>
      </w:r>
      <w:r w:rsidRPr="000950FE">
        <w:rPr>
          <w:rFonts w:ascii="Arial" w:hAnsi="Arial" w:cs="Arial"/>
          <w:sz w:val="20"/>
          <w:szCs w:val="20"/>
        </w:rPr>
        <w:t xml:space="preserve"> (ICD</w:t>
      </w:r>
      <w:r w:rsidR="00FD102E" w:rsidRPr="000950FE">
        <w:rPr>
          <w:rFonts w:ascii="Arial" w:hAnsi="Arial" w:cs="Arial"/>
          <w:sz w:val="20"/>
          <w:szCs w:val="20"/>
        </w:rPr>
        <w:t>-</w:t>
      </w:r>
      <w:r w:rsidRPr="000950FE">
        <w:rPr>
          <w:rFonts w:ascii="Arial" w:hAnsi="Arial" w:cs="Arial"/>
          <w:sz w:val="20"/>
          <w:szCs w:val="20"/>
        </w:rPr>
        <w:t>9</w:t>
      </w:r>
      <w:r w:rsidR="00FD102E" w:rsidRPr="000950FE">
        <w:rPr>
          <w:rFonts w:ascii="Arial" w:hAnsi="Arial" w:cs="Arial"/>
          <w:sz w:val="20"/>
          <w:szCs w:val="20"/>
        </w:rPr>
        <w:t>-</w:t>
      </w:r>
      <w:r w:rsidRPr="000950FE">
        <w:rPr>
          <w:rFonts w:ascii="Arial" w:hAnsi="Arial" w:cs="Arial"/>
          <w:sz w:val="20"/>
          <w:szCs w:val="20"/>
        </w:rPr>
        <w:t xml:space="preserve">CM: 290-319) della Classificazione internazionale delle </w:t>
      </w:r>
      <w:r w:rsidR="008A7005">
        <w:rPr>
          <w:rFonts w:ascii="Arial" w:hAnsi="Arial" w:cs="Arial"/>
          <w:sz w:val="20"/>
          <w:szCs w:val="20"/>
        </w:rPr>
        <w:t>M</w:t>
      </w:r>
      <w:r w:rsidR="008A7005" w:rsidRPr="000D5742">
        <w:rPr>
          <w:rFonts w:ascii="Arial" w:hAnsi="Arial" w:cs="Arial"/>
          <w:sz w:val="20"/>
          <w:szCs w:val="20"/>
        </w:rPr>
        <w:t>alattie</w:t>
      </w:r>
      <w:r w:rsidR="008A7005">
        <w:rPr>
          <w:rFonts w:ascii="Arial" w:hAnsi="Arial" w:cs="Arial"/>
          <w:sz w:val="20"/>
          <w:szCs w:val="20"/>
        </w:rPr>
        <w:t>, dei Traumatismi, degli Interventi chirurgici e delle procedure diagnostiche e terapeutiche</w:t>
      </w:r>
      <w:r w:rsidR="00FD102E" w:rsidRPr="000950FE">
        <w:rPr>
          <w:rFonts w:ascii="Arial" w:hAnsi="Arial" w:cs="Arial"/>
          <w:sz w:val="20"/>
          <w:szCs w:val="20"/>
        </w:rPr>
        <w:t xml:space="preserve">. </w:t>
      </w:r>
    </w:p>
    <w:p w14:paraId="577FB0D4" w14:textId="51A155F4" w:rsidR="00FD102E" w:rsidRPr="000950FE" w:rsidRDefault="00FD102E" w:rsidP="00FD102E">
      <w:pPr>
        <w:spacing w:after="120" w:line="240" w:lineRule="auto"/>
        <w:jc w:val="both"/>
        <w:rPr>
          <w:rFonts w:ascii="Arial" w:hAnsi="Arial" w:cs="Arial"/>
          <w:sz w:val="20"/>
          <w:szCs w:val="20"/>
        </w:rPr>
      </w:pPr>
      <w:r w:rsidRPr="000950FE">
        <w:rPr>
          <w:rFonts w:ascii="Arial" w:hAnsi="Arial" w:cs="Arial"/>
          <w:sz w:val="20"/>
          <w:szCs w:val="20"/>
        </w:rPr>
        <w:t>Nell’ambito dei traumatismi e avvelenamenti, si osservano alcune ricorrenze trasversali a tutte le classi di età</w:t>
      </w:r>
      <w:r w:rsidR="00924D98" w:rsidRPr="000950FE">
        <w:rPr>
          <w:rFonts w:ascii="Arial" w:hAnsi="Arial" w:cs="Arial"/>
          <w:sz w:val="20"/>
          <w:szCs w:val="20"/>
        </w:rPr>
        <w:t xml:space="preserve"> per </w:t>
      </w:r>
      <w:r w:rsidR="00747065" w:rsidRPr="000950FE">
        <w:rPr>
          <w:rFonts w:ascii="Arial" w:hAnsi="Arial" w:cs="Arial"/>
          <w:sz w:val="20"/>
          <w:szCs w:val="20"/>
        </w:rPr>
        <w:t>gli accessi al PS e per i ricoveri</w:t>
      </w:r>
      <w:r w:rsidRPr="000950FE">
        <w:rPr>
          <w:rFonts w:ascii="Arial" w:hAnsi="Arial" w:cs="Arial"/>
          <w:sz w:val="20"/>
          <w:szCs w:val="20"/>
        </w:rPr>
        <w:t xml:space="preserve">: le fratture delle ossa della faccia, le concussioni, i traumatismi intracranici, </w:t>
      </w:r>
      <w:r w:rsidR="00924D98" w:rsidRPr="000950FE">
        <w:rPr>
          <w:rFonts w:ascii="Arial" w:hAnsi="Arial" w:cs="Arial"/>
          <w:sz w:val="20"/>
          <w:szCs w:val="20"/>
        </w:rPr>
        <w:t xml:space="preserve">i traumatismi superficiali di altre multiple e non specificate sedi, </w:t>
      </w:r>
      <w:r w:rsidRPr="000950FE">
        <w:rPr>
          <w:rFonts w:ascii="Arial" w:hAnsi="Arial" w:cs="Arial"/>
          <w:sz w:val="20"/>
          <w:szCs w:val="20"/>
        </w:rPr>
        <w:t>le altre ferite della testa, le contusioni della faccia, del cuoio capelluto e del collo</w:t>
      </w:r>
      <w:r w:rsidR="00924D98" w:rsidRPr="000950FE">
        <w:rPr>
          <w:rFonts w:ascii="Arial" w:hAnsi="Arial" w:cs="Arial"/>
          <w:sz w:val="20"/>
          <w:szCs w:val="20"/>
        </w:rPr>
        <w:t xml:space="preserve"> escluso l’occhio</w:t>
      </w:r>
      <w:r w:rsidRPr="000950FE">
        <w:rPr>
          <w:rFonts w:ascii="Arial" w:hAnsi="Arial" w:cs="Arial"/>
          <w:sz w:val="20"/>
          <w:szCs w:val="20"/>
        </w:rPr>
        <w:t xml:space="preserve">, le contusioni dell'occhio e dei suoi annessi, le contusioni del tronco, le contusioni degli arti superiori e inferiori. Altre diagnosi relative a fratture, ferite, contusioni, ustioni e avvelenamenti risultano significativamente associate </w:t>
      </w:r>
      <w:r w:rsidR="00924D98" w:rsidRPr="000950FE">
        <w:rPr>
          <w:rFonts w:ascii="Arial" w:hAnsi="Arial" w:cs="Arial"/>
          <w:sz w:val="20"/>
          <w:szCs w:val="20"/>
        </w:rPr>
        <w:t xml:space="preserve">agli accessi e </w:t>
      </w:r>
      <w:r w:rsidRPr="000950FE">
        <w:rPr>
          <w:rFonts w:ascii="Arial" w:hAnsi="Arial" w:cs="Arial"/>
          <w:sz w:val="20"/>
          <w:szCs w:val="20"/>
        </w:rPr>
        <w:t>ai ricoveri per violenza solo per alcune classi di età (tabelle in appendice statistica).</w:t>
      </w:r>
    </w:p>
    <w:p w14:paraId="0781E109" w14:textId="196FCD4A" w:rsidR="000D5742" w:rsidRPr="000950FE" w:rsidRDefault="00255293" w:rsidP="000D5742">
      <w:pPr>
        <w:spacing w:after="120" w:line="240" w:lineRule="auto"/>
        <w:jc w:val="both"/>
        <w:rPr>
          <w:rFonts w:ascii="Arial" w:hAnsi="Arial" w:cs="Arial"/>
          <w:sz w:val="20"/>
          <w:szCs w:val="20"/>
        </w:rPr>
      </w:pPr>
      <w:r w:rsidRPr="000950FE">
        <w:rPr>
          <w:rFonts w:ascii="Arial" w:hAnsi="Arial" w:cs="Arial"/>
          <w:sz w:val="20"/>
          <w:szCs w:val="20"/>
        </w:rPr>
        <w:t>Per i disturbi mentali, g</w:t>
      </w:r>
      <w:r w:rsidR="000D5742" w:rsidRPr="000950FE">
        <w:rPr>
          <w:rFonts w:ascii="Arial" w:hAnsi="Arial" w:cs="Arial"/>
          <w:sz w:val="20"/>
          <w:szCs w:val="20"/>
        </w:rPr>
        <w:t xml:space="preserve">li accessi </w:t>
      </w:r>
      <w:r w:rsidRPr="000950FE">
        <w:rPr>
          <w:rFonts w:ascii="Arial" w:hAnsi="Arial" w:cs="Arial"/>
          <w:sz w:val="20"/>
          <w:szCs w:val="20"/>
        </w:rPr>
        <w:t>in</w:t>
      </w:r>
      <w:r w:rsidR="000D5742" w:rsidRPr="000950FE">
        <w:rPr>
          <w:rFonts w:ascii="Arial" w:hAnsi="Arial" w:cs="Arial"/>
          <w:sz w:val="20"/>
          <w:szCs w:val="20"/>
        </w:rPr>
        <w:t xml:space="preserve"> PS con indicazione di violenza sono caratterizzati </w:t>
      </w:r>
      <w:r w:rsidR="00E35E99">
        <w:rPr>
          <w:rFonts w:ascii="Arial" w:hAnsi="Arial" w:cs="Arial"/>
          <w:sz w:val="20"/>
          <w:szCs w:val="20"/>
        </w:rPr>
        <w:t xml:space="preserve">in tutte le classi di età </w:t>
      </w:r>
      <w:r w:rsidR="000D5742" w:rsidRPr="000950FE">
        <w:rPr>
          <w:rFonts w:ascii="Arial" w:hAnsi="Arial" w:cs="Arial"/>
          <w:sz w:val="20"/>
          <w:szCs w:val="20"/>
        </w:rPr>
        <w:t xml:space="preserve">dai </w:t>
      </w:r>
      <w:r w:rsidRPr="000950FE">
        <w:rPr>
          <w:rFonts w:ascii="Arial" w:hAnsi="Arial" w:cs="Arial"/>
          <w:sz w:val="20"/>
          <w:szCs w:val="20"/>
        </w:rPr>
        <w:t>d</w:t>
      </w:r>
      <w:r w:rsidR="000D5742" w:rsidRPr="000950FE">
        <w:rPr>
          <w:rFonts w:ascii="Arial" w:hAnsi="Arial" w:cs="Arial"/>
          <w:sz w:val="20"/>
          <w:szCs w:val="20"/>
        </w:rPr>
        <w:t xml:space="preserve">isturbi d’ansia, dissociativi e somatoformi. Tra le minorenni </w:t>
      </w:r>
      <w:r w:rsidR="00E35E99">
        <w:rPr>
          <w:rFonts w:ascii="Arial" w:hAnsi="Arial" w:cs="Arial"/>
          <w:sz w:val="20"/>
          <w:szCs w:val="20"/>
        </w:rPr>
        <w:t xml:space="preserve">e le donne di 50-64 anni </w:t>
      </w:r>
      <w:r w:rsidR="000D5742" w:rsidRPr="000950FE">
        <w:rPr>
          <w:rFonts w:ascii="Arial" w:hAnsi="Arial" w:cs="Arial"/>
          <w:sz w:val="20"/>
          <w:szCs w:val="20"/>
        </w:rPr>
        <w:t xml:space="preserve">si rileva l’associazione </w:t>
      </w:r>
      <w:r w:rsidRPr="000950FE">
        <w:rPr>
          <w:rFonts w:ascii="Arial" w:hAnsi="Arial" w:cs="Arial"/>
          <w:sz w:val="20"/>
          <w:szCs w:val="20"/>
        </w:rPr>
        <w:t xml:space="preserve">anche </w:t>
      </w:r>
      <w:r w:rsidR="000D5742" w:rsidRPr="000950FE">
        <w:rPr>
          <w:rFonts w:ascii="Arial" w:hAnsi="Arial" w:cs="Arial"/>
          <w:sz w:val="20"/>
          <w:szCs w:val="20"/>
        </w:rPr>
        <w:t xml:space="preserve">con </w:t>
      </w:r>
      <w:r w:rsidR="00E35E99">
        <w:rPr>
          <w:rFonts w:ascii="Arial" w:hAnsi="Arial" w:cs="Arial"/>
          <w:sz w:val="20"/>
          <w:szCs w:val="20"/>
        </w:rPr>
        <w:t xml:space="preserve">l’abuso di alcol </w:t>
      </w:r>
      <w:r w:rsidR="000D5742" w:rsidRPr="000950FE">
        <w:rPr>
          <w:rFonts w:ascii="Arial" w:hAnsi="Arial" w:cs="Arial"/>
          <w:sz w:val="20"/>
          <w:szCs w:val="20"/>
        </w:rPr>
        <w:t>e l’abuso di droghe senza dipendenza</w:t>
      </w:r>
      <w:r w:rsidR="00E35E99">
        <w:rPr>
          <w:rFonts w:ascii="Arial" w:hAnsi="Arial" w:cs="Arial"/>
          <w:sz w:val="20"/>
          <w:szCs w:val="20"/>
        </w:rPr>
        <w:t xml:space="preserve"> (quest’ultimo caratterizza anche gli accessi delle donne di 18-34 anni)</w:t>
      </w:r>
      <w:r w:rsidR="000D5742" w:rsidRPr="000950FE">
        <w:rPr>
          <w:rFonts w:ascii="Arial" w:hAnsi="Arial" w:cs="Arial"/>
          <w:sz w:val="20"/>
          <w:szCs w:val="20"/>
        </w:rPr>
        <w:t>.</w:t>
      </w:r>
    </w:p>
    <w:p w14:paraId="72046466" w14:textId="73BC5701" w:rsidR="00924D98" w:rsidRPr="000950FE" w:rsidRDefault="00255293" w:rsidP="00924D98">
      <w:pPr>
        <w:spacing w:after="120" w:line="240" w:lineRule="auto"/>
        <w:jc w:val="both"/>
        <w:rPr>
          <w:rFonts w:ascii="Arial" w:hAnsi="Arial" w:cs="Arial"/>
          <w:sz w:val="20"/>
          <w:szCs w:val="20"/>
        </w:rPr>
      </w:pPr>
      <w:r w:rsidRPr="000950FE">
        <w:rPr>
          <w:rFonts w:ascii="Arial" w:hAnsi="Arial" w:cs="Arial"/>
          <w:sz w:val="20"/>
          <w:szCs w:val="20"/>
        </w:rPr>
        <w:t>Nei ricoveri con indicazione di violenza d</w:t>
      </w:r>
      <w:r w:rsidR="00924D98" w:rsidRPr="000950FE">
        <w:rPr>
          <w:rFonts w:ascii="Arial" w:hAnsi="Arial" w:cs="Arial"/>
          <w:sz w:val="20"/>
          <w:szCs w:val="20"/>
        </w:rPr>
        <w:t xml:space="preserve">iverse diagnosi di disturbo mentale caratterizzano le minorenni: </w:t>
      </w:r>
      <w:r w:rsidRPr="000950FE">
        <w:rPr>
          <w:rFonts w:ascii="Arial" w:hAnsi="Arial" w:cs="Arial"/>
          <w:sz w:val="20"/>
          <w:szCs w:val="20"/>
        </w:rPr>
        <w:t xml:space="preserve">oltre ai disturbi d’ansia, dissociativi e somatoformi, risultano associati </w:t>
      </w:r>
      <w:r w:rsidR="00924D98" w:rsidRPr="000950FE">
        <w:rPr>
          <w:rFonts w:ascii="Arial" w:hAnsi="Arial" w:cs="Arial"/>
          <w:sz w:val="20"/>
          <w:szCs w:val="20"/>
        </w:rPr>
        <w:t>i disturbi predominanti dell’emotività, alcun</w:t>
      </w:r>
      <w:r w:rsidR="00C8459C">
        <w:rPr>
          <w:rFonts w:ascii="Arial" w:hAnsi="Arial" w:cs="Arial"/>
          <w:sz w:val="20"/>
          <w:szCs w:val="20"/>
        </w:rPr>
        <w:t>i</w:t>
      </w:r>
      <w:r w:rsidR="00924D98" w:rsidRPr="000950FE">
        <w:rPr>
          <w:rFonts w:ascii="Arial" w:hAnsi="Arial" w:cs="Arial"/>
          <w:sz w:val="20"/>
          <w:szCs w:val="20"/>
        </w:rPr>
        <w:t xml:space="preserve"> disturbi e reazioni dell’adattamento, l’abuso di cannabinoidi e l’abuso di droghe senza dipendenza. Nelle altre classi di età, sebbene la misura di associazione risulti statisticamente significativa per diversi disturbi mentali, i valori sia di frequenza che di associazione sono generalmente più bassi (tabelle in appendice statistica). </w:t>
      </w:r>
    </w:p>
    <w:p w14:paraId="433AB5E1" w14:textId="2A52EB45" w:rsidR="00255293" w:rsidRPr="000950FE" w:rsidRDefault="00255293" w:rsidP="00255293">
      <w:pPr>
        <w:spacing w:after="120" w:line="240" w:lineRule="auto"/>
        <w:jc w:val="both"/>
        <w:rPr>
          <w:rFonts w:ascii="Arial" w:hAnsi="Arial" w:cs="Arial"/>
          <w:sz w:val="20"/>
          <w:szCs w:val="20"/>
        </w:rPr>
      </w:pPr>
      <w:r w:rsidRPr="000950FE">
        <w:rPr>
          <w:rFonts w:ascii="Arial" w:hAnsi="Arial" w:cs="Arial"/>
          <w:sz w:val="20"/>
          <w:szCs w:val="20"/>
        </w:rPr>
        <w:t>Limitatamente al PS, in tutte le fasce d’età si osserva un’associazione significativa con la diagnosi “Altre patologie della regione cervicale”</w:t>
      </w:r>
      <w:r w:rsidR="00E35E99" w:rsidRPr="00E35E99">
        <w:rPr>
          <w:rFonts w:ascii="Arial" w:hAnsi="Arial" w:cs="Arial"/>
          <w:sz w:val="20"/>
          <w:szCs w:val="20"/>
        </w:rPr>
        <w:t xml:space="preserve"> </w:t>
      </w:r>
      <w:r w:rsidR="00E35E99">
        <w:rPr>
          <w:rFonts w:ascii="Arial" w:hAnsi="Arial" w:cs="Arial"/>
          <w:sz w:val="20"/>
          <w:szCs w:val="20"/>
        </w:rPr>
        <w:t>appartenenti a</w:t>
      </w:r>
      <w:r w:rsidR="00E35E99" w:rsidRPr="000950FE">
        <w:rPr>
          <w:rFonts w:ascii="Arial" w:hAnsi="Arial" w:cs="Arial"/>
          <w:sz w:val="20"/>
          <w:szCs w:val="20"/>
        </w:rPr>
        <w:t>l Capitolo 13 “Malattie del sistema osteomuscolare e del tessuto connettivo” (ICD-9-CM: 710-739)</w:t>
      </w:r>
      <w:r w:rsidR="003C56B1">
        <w:rPr>
          <w:rFonts w:ascii="Arial" w:hAnsi="Arial" w:cs="Arial"/>
          <w:sz w:val="20"/>
          <w:szCs w:val="20"/>
        </w:rPr>
        <w:t>. Anche il dolore acuto (ICD-9-CM: 338.1) caratterizza gli accessi in PS per violenza delle donne fino a 34 anni e delle donne anziane</w:t>
      </w:r>
      <w:r w:rsidRPr="000950FE">
        <w:rPr>
          <w:rFonts w:ascii="Arial" w:hAnsi="Arial" w:cs="Arial"/>
          <w:sz w:val="20"/>
          <w:szCs w:val="20"/>
        </w:rPr>
        <w:t>, anche se con un valore della misura di associazione non molto elevato</w:t>
      </w:r>
      <w:r w:rsidR="003C56B1">
        <w:rPr>
          <w:rFonts w:ascii="Arial" w:hAnsi="Arial" w:cs="Arial"/>
          <w:sz w:val="20"/>
          <w:szCs w:val="20"/>
        </w:rPr>
        <w:t xml:space="preserve"> </w:t>
      </w:r>
      <w:r w:rsidRPr="000950FE">
        <w:rPr>
          <w:rFonts w:ascii="Arial" w:hAnsi="Arial" w:cs="Arial"/>
          <w:sz w:val="20"/>
          <w:szCs w:val="20"/>
        </w:rPr>
        <w:t>(tabelle in appendice statistica).</w:t>
      </w:r>
      <w:r w:rsidR="00E35E99" w:rsidRPr="00E35E99">
        <w:rPr>
          <w:rFonts w:ascii="Arial" w:hAnsi="Arial" w:cs="Arial"/>
          <w:sz w:val="20"/>
          <w:szCs w:val="20"/>
        </w:rPr>
        <w:t xml:space="preserve"> </w:t>
      </w:r>
    </w:p>
    <w:p w14:paraId="20E03D90" w14:textId="5A7211EA" w:rsidR="00BB6DC8" w:rsidRPr="000950FE" w:rsidRDefault="00255293" w:rsidP="00620138">
      <w:pPr>
        <w:jc w:val="both"/>
        <w:rPr>
          <w:rFonts w:ascii="Arial" w:hAnsi="Arial" w:cs="Arial"/>
          <w:b/>
          <w:bCs/>
          <w:color w:val="44546A" w:themeColor="text2"/>
        </w:rPr>
      </w:pPr>
      <w:r w:rsidRPr="000950FE">
        <w:rPr>
          <w:rFonts w:ascii="Arial" w:hAnsi="Arial" w:cs="Arial"/>
          <w:sz w:val="20"/>
          <w:szCs w:val="20"/>
        </w:rPr>
        <w:t>Nei ricoveri, a</w:t>
      </w:r>
      <w:r w:rsidR="006A32E2" w:rsidRPr="000950FE">
        <w:rPr>
          <w:rFonts w:ascii="Arial" w:hAnsi="Arial" w:cs="Arial"/>
          <w:sz w:val="20"/>
          <w:szCs w:val="20"/>
        </w:rPr>
        <w:t xml:space="preserve">ltre diagnosi risultano associate ai ricoveri per violenza e si differenziano secondo la classe di età. Nelle minorenni </w:t>
      </w:r>
      <w:r w:rsidR="0014288A" w:rsidRPr="000950FE">
        <w:rPr>
          <w:rFonts w:ascii="Arial" w:hAnsi="Arial" w:cs="Arial"/>
          <w:sz w:val="20"/>
          <w:szCs w:val="20"/>
        </w:rPr>
        <w:t xml:space="preserve">pediculosi e ftiriasi, </w:t>
      </w:r>
      <w:r w:rsidR="006A32E2" w:rsidRPr="000950FE">
        <w:rPr>
          <w:rFonts w:ascii="Arial" w:hAnsi="Arial" w:cs="Arial"/>
          <w:sz w:val="20"/>
          <w:szCs w:val="20"/>
        </w:rPr>
        <w:t>le infezioni acute delle vie respiratorie superiori e i sintomi relativi alla nutrizione, al metabolismo e allo sviluppo</w:t>
      </w:r>
      <w:r w:rsidR="00D81B15">
        <w:rPr>
          <w:rFonts w:ascii="Arial" w:hAnsi="Arial" w:cs="Arial"/>
          <w:sz w:val="20"/>
          <w:szCs w:val="20"/>
        </w:rPr>
        <w:t>. Nelle giovani di 18-34 anni “A</w:t>
      </w:r>
      <w:r w:rsidR="006A32E2" w:rsidRPr="000950FE">
        <w:rPr>
          <w:rFonts w:ascii="Arial" w:hAnsi="Arial" w:cs="Arial"/>
          <w:sz w:val="20"/>
          <w:szCs w:val="20"/>
        </w:rPr>
        <w:t xml:space="preserve">ltre manifestazioni morbose in atto della madre classificate altrove, ma complicanti la gravidanza, il parto o il puerperio”. Nelle donne di 35-49 anni la malattia epatica cronica e cirrosi. Nelle donne </w:t>
      </w:r>
      <w:r w:rsidR="0014288A" w:rsidRPr="000950FE">
        <w:rPr>
          <w:rFonts w:ascii="Arial" w:hAnsi="Arial" w:cs="Arial"/>
          <w:sz w:val="20"/>
          <w:szCs w:val="20"/>
        </w:rPr>
        <w:t>di 65 anni e più</w:t>
      </w:r>
      <w:r w:rsidR="006A32E2" w:rsidRPr="000950FE">
        <w:rPr>
          <w:rFonts w:ascii="Arial" w:hAnsi="Arial" w:cs="Arial"/>
          <w:sz w:val="20"/>
          <w:szCs w:val="20"/>
        </w:rPr>
        <w:t xml:space="preserve"> alcune forme di anemia, l’emorragia subaracnoidea, l’insufficienza polmonare successiva a trauma o a intervento chirurgico, le alterazioni della coscienza e la senilità </w:t>
      </w:r>
      <w:r w:rsidR="0014288A" w:rsidRPr="000950FE">
        <w:rPr>
          <w:rFonts w:ascii="Arial" w:hAnsi="Arial" w:cs="Arial"/>
          <w:sz w:val="20"/>
          <w:szCs w:val="20"/>
        </w:rPr>
        <w:t>(tabelle in appendice statistica).</w:t>
      </w:r>
      <w:r w:rsidR="00BB6DC8" w:rsidRPr="000950FE">
        <w:rPr>
          <w:rFonts w:ascii="Arial" w:hAnsi="Arial" w:cs="Arial"/>
          <w:b/>
          <w:bCs/>
          <w:color w:val="44546A" w:themeColor="text2"/>
        </w:rPr>
        <w:br w:type="page"/>
      </w:r>
    </w:p>
    <w:p w14:paraId="55A66EEA" w14:textId="041B186F" w:rsidR="00FF62A3" w:rsidRPr="00DD1CCC" w:rsidRDefault="00FF62A3" w:rsidP="004D042E">
      <w:pPr>
        <w:rPr>
          <w:rFonts w:ascii="Arial" w:hAnsi="Arial" w:cs="Arial"/>
          <w:b/>
          <w:bCs/>
          <w:color w:val="1F4E78"/>
          <w:sz w:val="32"/>
          <w:szCs w:val="32"/>
        </w:rPr>
      </w:pPr>
      <w:r w:rsidRPr="00DD1CCC">
        <w:rPr>
          <w:rFonts w:ascii="Arial" w:hAnsi="Arial" w:cs="Arial"/>
          <w:b/>
          <w:bCs/>
          <w:color w:val="1F4E78"/>
          <w:sz w:val="32"/>
          <w:szCs w:val="32"/>
        </w:rPr>
        <w:lastRenderedPageBreak/>
        <w:t>Nota metodologica</w:t>
      </w:r>
    </w:p>
    <w:p w14:paraId="1E85039D" w14:textId="0C39B2FD" w:rsidR="003F035F" w:rsidRPr="00DD1CCC" w:rsidRDefault="003F035F" w:rsidP="00DD1CCC">
      <w:pPr>
        <w:rPr>
          <w:rFonts w:ascii="Arial" w:hAnsi="Arial" w:cs="Arial"/>
          <w:b/>
          <w:bCs/>
          <w:color w:val="1F4E78"/>
        </w:rPr>
      </w:pPr>
      <w:r w:rsidRPr="00DD1CCC">
        <w:rPr>
          <w:rFonts w:ascii="Arial" w:hAnsi="Arial" w:cs="Arial"/>
          <w:b/>
          <w:bCs/>
          <w:color w:val="1F4E78"/>
        </w:rPr>
        <w:t>Codici delle diagnosi per la selezione dei casi di violenza</w:t>
      </w:r>
    </w:p>
    <w:p w14:paraId="252BC1A2" w14:textId="27B8C9EB" w:rsidR="003F035F" w:rsidRPr="000950FE" w:rsidRDefault="003F035F" w:rsidP="003116B9">
      <w:pPr>
        <w:pStyle w:val="Titolo3"/>
        <w:spacing w:after="120"/>
        <w:jc w:val="both"/>
        <w:rPr>
          <w:rFonts w:ascii="Arial" w:eastAsiaTheme="minorHAnsi" w:hAnsi="Arial" w:cs="Arial"/>
          <w:bCs/>
          <w:color w:val="auto"/>
          <w:sz w:val="20"/>
          <w:szCs w:val="20"/>
        </w:rPr>
      </w:pPr>
      <w:r w:rsidRPr="000950FE">
        <w:rPr>
          <w:rFonts w:ascii="Arial" w:eastAsiaTheme="minorHAnsi" w:hAnsi="Arial" w:cs="Arial"/>
          <w:bCs/>
          <w:color w:val="auto"/>
          <w:sz w:val="20"/>
          <w:szCs w:val="20"/>
        </w:rPr>
        <w:t>Nel processo di analisi, la tipologia di violenza presunta ricevuta dall’assistita è individuata attraverso le diagnosi codificate con la classificazione ICD</w:t>
      </w:r>
      <w:r w:rsidR="003E53C8"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9-CM di seguito indicate (</w:t>
      </w:r>
      <w:r w:rsidR="003E53C8" w:rsidRPr="000950FE">
        <w:rPr>
          <w:rFonts w:ascii="Arial" w:eastAsiaTheme="minorHAnsi" w:hAnsi="Arial" w:cs="Arial"/>
          <w:bCs/>
          <w:color w:val="auto"/>
          <w:sz w:val="20"/>
          <w:szCs w:val="20"/>
        </w:rPr>
        <w:t>si veda Allegato al documento https://www.istat.it/it/files//2020/11/nota_metodologica_accessi_PS_def.pdf</w:t>
      </w:r>
      <w:r w:rsidRPr="000950FE">
        <w:rPr>
          <w:rFonts w:ascii="Arial" w:eastAsiaTheme="minorHAnsi" w:hAnsi="Arial" w:cs="Arial"/>
          <w:bCs/>
          <w:color w:val="auto"/>
          <w:sz w:val="20"/>
          <w:szCs w:val="20"/>
        </w:rPr>
        <w:t>):</w:t>
      </w:r>
    </w:p>
    <w:p w14:paraId="1AB01CBA" w14:textId="5993659D"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sindrome del bambino maltrattato</w:t>
      </w:r>
      <w:r w:rsidRPr="000950FE">
        <w:rPr>
          <w:rFonts w:ascii="Arial" w:eastAsiaTheme="minorHAnsi" w:hAnsi="Arial" w:cs="Arial"/>
          <w:bCs/>
          <w:color w:val="auto"/>
          <w:sz w:val="20"/>
          <w:szCs w:val="20"/>
        </w:rPr>
        <w:t xml:space="preserve"> (ICD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CM=995</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5): Abuso di minore emotivo/psicologico, Trascuratezza di minore (nutrizionale), Abuso sessuale su minore, Abuso fisico di minore, Altro.</w:t>
      </w:r>
    </w:p>
    <w:p w14:paraId="714AB9E0" w14:textId="06DFE4BC"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adulto maltrattato</w:t>
      </w:r>
      <w:r w:rsidRPr="000950FE">
        <w:rPr>
          <w:rFonts w:ascii="Arial" w:eastAsiaTheme="minorHAnsi" w:hAnsi="Arial" w:cs="Arial"/>
          <w:bCs/>
          <w:color w:val="auto"/>
          <w:sz w:val="20"/>
          <w:szCs w:val="20"/>
        </w:rPr>
        <w:t xml:space="preserve"> (995</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80&lt;=ICD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CM&lt;=995</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85): Abuso emotivo/psicologico di adulto, Abuso sessuale di adulto, Trascuratezza di adulto (nutrizionale), Altro.</w:t>
      </w:r>
    </w:p>
    <w:p w14:paraId="5AC9A9F4" w14:textId="487F2BA4"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anamnesi di violenza</w:t>
      </w:r>
      <w:r w:rsidRPr="000950FE">
        <w:rPr>
          <w:rFonts w:ascii="Arial" w:eastAsiaTheme="minorHAnsi" w:hAnsi="Arial" w:cs="Arial"/>
          <w:bCs/>
          <w:color w:val="auto"/>
          <w:sz w:val="20"/>
          <w:szCs w:val="20"/>
        </w:rPr>
        <w:t xml:space="preserve"> (ICD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CM=V15</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41, V15</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42): Anamnesi personale di trauma psichico da violenza fisica, Anamnesi personale di trauma psichico da violenza emotiva.</w:t>
      </w:r>
    </w:p>
    <w:p w14:paraId="0589DEEB" w14:textId="2761758A"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 xml:space="preserve">problemi coniugali </w:t>
      </w:r>
      <w:r w:rsidRPr="000950FE">
        <w:rPr>
          <w:rFonts w:ascii="Arial" w:eastAsiaTheme="minorHAnsi" w:hAnsi="Arial" w:cs="Arial"/>
          <w:bCs/>
          <w:color w:val="auto"/>
          <w:sz w:val="20"/>
          <w:szCs w:val="20"/>
        </w:rPr>
        <w:t>(ICD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CM=V61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11, V61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12): Abuso da parte del coniuge o del partner, Abuso sul coniuge o sul partner.</w:t>
      </w:r>
    </w:p>
    <w:p w14:paraId="153998B8" w14:textId="6BA79895"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problemi genitori-figli</w:t>
      </w:r>
      <w:r w:rsidRPr="000950FE">
        <w:rPr>
          <w:rFonts w:ascii="Arial" w:eastAsiaTheme="minorHAnsi" w:hAnsi="Arial" w:cs="Arial"/>
          <w:bCs/>
          <w:color w:val="auto"/>
          <w:sz w:val="20"/>
          <w:szCs w:val="20"/>
        </w:rPr>
        <w:t xml:space="preserve"> (ICD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CM=V61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21, V61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22): Maltrattamento del bambino, Abuso sul bambino da parte del genitore.</w:t>
      </w:r>
    </w:p>
    <w:p w14:paraId="5DA478EC" w14:textId="577863D9"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osservazione per sospetta violenza</w:t>
      </w:r>
      <w:r w:rsidRPr="000950FE">
        <w:rPr>
          <w:rFonts w:ascii="Arial" w:eastAsiaTheme="minorHAnsi" w:hAnsi="Arial" w:cs="Arial"/>
          <w:bCs/>
          <w:color w:val="auto"/>
          <w:sz w:val="20"/>
          <w:szCs w:val="20"/>
        </w:rPr>
        <w:t xml:space="preserve"> (ICD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CM=V71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5, V71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6, V71</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81): Osservazione successiva ad asserita violenza carnale o seduzione, Osservazione successiva ad altra lesione volontaria, Osservazione per sospetto di abuso e trascuratezza.</w:t>
      </w:r>
    </w:p>
    <w:p w14:paraId="09BFEAC7" w14:textId="70D7DEC9" w:rsidR="003F035F" w:rsidRPr="000950FE" w:rsidRDefault="003F035F" w:rsidP="003116B9">
      <w:pPr>
        <w:pStyle w:val="Titolo3"/>
        <w:numPr>
          <w:ilvl w:val="0"/>
          <w:numId w:val="12"/>
        </w:numPr>
        <w:spacing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lesioni inflitte da altre persone</w:t>
      </w:r>
      <w:r w:rsidRPr="000950FE">
        <w:rPr>
          <w:rFonts w:ascii="Arial" w:eastAsiaTheme="minorHAnsi" w:hAnsi="Arial" w:cs="Arial"/>
          <w:bCs/>
          <w:color w:val="auto"/>
          <w:sz w:val="20"/>
          <w:szCs w:val="20"/>
        </w:rPr>
        <w:t xml:space="preserve"> (E960&lt;=ICD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CM&lt;=E966, E968): Combattimento, rissa, stupro, Aggressione con sostanza caustica o corrosiva, con avvelenamento, con impiccagione e strangolamento, con armi da fuoco e</w:t>
      </w:r>
      <w:r w:rsidR="00AC69A3">
        <w:rPr>
          <w:rFonts w:ascii="Arial" w:eastAsiaTheme="minorHAnsi" w:hAnsi="Arial" w:cs="Arial"/>
          <w:bCs/>
          <w:color w:val="auto"/>
          <w:sz w:val="20"/>
          <w:szCs w:val="20"/>
        </w:rPr>
        <w:t>d</w:t>
      </w:r>
      <w:r w:rsidRPr="000950FE">
        <w:rPr>
          <w:rFonts w:ascii="Arial" w:eastAsiaTheme="minorHAnsi" w:hAnsi="Arial" w:cs="Arial"/>
          <w:bCs/>
          <w:color w:val="auto"/>
          <w:sz w:val="20"/>
          <w:szCs w:val="20"/>
        </w:rPr>
        <w:t xml:space="preserve"> esplosivi, con strumento tagliente e pungente, Altro.</w:t>
      </w:r>
    </w:p>
    <w:p w14:paraId="77B6D435" w14:textId="677E395D" w:rsidR="003F035F" w:rsidRPr="000950FE" w:rsidRDefault="003F035F" w:rsidP="003116B9">
      <w:pPr>
        <w:pStyle w:val="Titolo3"/>
        <w:numPr>
          <w:ilvl w:val="0"/>
          <w:numId w:val="12"/>
        </w:numPr>
        <w:spacing w:before="0" w:after="120"/>
        <w:jc w:val="both"/>
        <w:rPr>
          <w:rFonts w:ascii="Arial" w:eastAsiaTheme="minorHAnsi" w:hAnsi="Arial" w:cs="Arial"/>
          <w:bCs/>
          <w:color w:val="auto"/>
          <w:sz w:val="20"/>
          <w:szCs w:val="20"/>
        </w:rPr>
      </w:pPr>
      <w:r w:rsidRPr="000950FE">
        <w:rPr>
          <w:rFonts w:ascii="Arial" w:eastAsiaTheme="minorHAnsi" w:hAnsi="Arial" w:cs="Arial"/>
          <w:b/>
          <w:bCs/>
          <w:color w:val="auto"/>
          <w:sz w:val="20"/>
          <w:szCs w:val="20"/>
        </w:rPr>
        <w:t>esecutore di abuso</w:t>
      </w:r>
      <w:r w:rsidRPr="000950FE">
        <w:rPr>
          <w:rFonts w:ascii="Arial" w:eastAsiaTheme="minorHAnsi" w:hAnsi="Arial" w:cs="Arial"/>
          <w:bCs/>
          <w:color w:val="auto"/>
          <w:sz w:val="20"/>
          <w:szCs w:val="20"/>
        </w:rPr>
        <w:t xml:space="preserve"> (ICD</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9</w:t>
      </w:r>
      <w:r w:rsidR="003116B9" w:rsidRPr="000950FE">
        <w:rPr>
          <w:rFonts w:ascii="Arial" w:eastAsiaTheme="minorHAnsi" w:hAnsi="Arial" w:cs="Arial"/>
          <w:bCs/>
          <w:color w:val="auto"/>
          <w:sz w:val="20"/>
          <w:szCs w:val="20"/>
        </w:rPr>
        <w:t>-</w:t>
      </w:r>
      <w:r w:rsidRPr="000950FE">
        <w:rPr>
          <w:rFonts w:ascii="Arial" w:eastAsiaTheme="minorHAnsi" w:hAnsi="Arial" w:cs="Arial"/>
          <w:bCs/>
          <w:color w:val="auto"/>
          <w:sz w:val="20"/>
          <w:szCs w:val="20"/>
        </w:rPr>
        <w:t>CM=E967): Padre, patrigno o fidanzato; madre, matrigna o fidanzata; consorte o partner; altro parente (figlio, fratello, nonno); altra persona specificata (non familiare); badante; persona non specificata.</w:t>
      </w:r>
    </w:p>
    <w:p w14:paraId="5F42F9B7" w14:textId="77777777" w:rsidR="003F035F" w:rsidRPr="000950FE" w:rsidRDefault="003F035F" w:rsidP="003F035F"/>
    <w:p w14:paraId="6CF9EA49" w14:textId="7D2E63C7" w:rsidR="00055770" w:rsidRPr="00DD1CCC" w:rsidRDefault="00055770" w:rsidP="003F035F">
      <w:pPr>
        <w:pStyle w:val="Titolo3"/>
        <w:spacing w:before="0" w:after="120"/>
        <w:rPr>
          <w:rFonts w:ascii="Arial" w:eastAsiaTheme="minorHAnsi" w:hAnsi="Arial" w:cs="Arial"/>
          <w:b/>
          <w:bCs/>
          <w:color w:val="1F4E78"/>
          <w:sz w:val="22"/>
          <w:szCs w:val="22"/>
        </w:rPr>
      </w:pPr>
      <w:r w:rsidRPr="00DD1CCC">
        <w:rPr>
          <w:rFonts w:ascii="Arial" w:eastAsiaTheme="minorHAnsi" w:hAnsi="Arial" w:cs="Arial"/>
          <w:b/>
          <w:bCs/>
          <w:color w:val="1F4E78"/>
          <w:sz w:val="22"/>
          <w:szCs w:val="22"/>
        </w:rPr>
        <w:t>Sistema EMUR: Prestazioni di assistenza sanitaria in emergenza – urgenza</w:t>
      </w:r>
    </w:p>
    <w:p w14:paraId="26956A7A" w14:textId="3134C61D" w:rsidR="0083697B" w:rsidRPr="000950FE" w:rsidRDefault="0083697B" w:rsidP="0083697B">
      <w:pPr>
        <w:spacing w:after="120"/>
        <w:jc w:val="both"/>
        <w:rPr>
          <w:rFonts w:ascii="Arial" w:hAnsi="Arial" w:cs="Arial"/>
          <w:bCs/>
          <w:sz w:val="20"/>
          <w:szCs w:val="20"/>
        </w:rPr>
      </w:pPr>
      <w:r w:rsidRPr="000950FE">
        <w:rPr>
          <w:rFonts w:ascii="Arial" w:hAnsi="Arial" w:cs="Arial"/>
          <w:bCs/>
          <w:sz w:val="20"/>
          <w:szCs w:val="20"/>
        </w:rPr>
        <w:t>I</w:t>
      </w:r>
      <w:r w:rsidR="00400129" w:rsidRPr="000950FE">
        <w:rPr>
          <w:rFonts w:ascii="Arial" w:hAnsi="Arial" w:cs="Arial"/>
          <w:bCs/>
          <w:sz w:val="20"/>
          <w:szCs w:val="20"/>
        </w:rPr>
        <w:t>l</w:t>
      </w:r>
      <w:r w:rsidRPr="000950FE">
        <w:rPr>
          <w:rFonts w:ascii="Arial" w:hAnsi="Arial" w:cs="Arial"/>
          <w:bCs/>
          <w:sz w:val="20"/>
          <w:szCs w:val="20"/>
        </w:rPr>
        <w:t xml:space="preserve"> Sistema informativo per il monitoraggio dell’assistenza in Emergenza-Urgenza (EMUR)</w:t>
      </w:r>
      <w:r w:rsidR="00E936F9" w:rsidRPr="000950FE">
        <w:rPr>
          <w:rFonts w:ascii="Arial" w:hAnsi="Arial" w:cs="Arial"/>
          <w:bCs/>
          <w:sz w:val="20"/>
          <w:szCs w:val="20"/>
        </w:rPr>
        <w:t>,</w:t>
      </w:r>
      <w:r w:rsidRPr="000950FE">
        <w:rPr>
          <w:rFonts w:ascii="Arial" w:hAnsi="Arial" w:cs="Arial"/>
          <w:bCs/>
          <w:sz w:val="20"/>
          <w:szCs w:val="20"/>
        </w:rPr>
        <w:t xml:space="preserve"> istituito con decreto ministerial</w:t>
      </w:r>
      <w:r w:rsidR="00E936F9" w:rsidRPr="000950FE">
        <w:rPr>
          <w:rFonts w:ascii="Arial" w:hAnsi="Arial" w:cs="Arial"/>
          <w:bCs/>
          <w:sz w:val="20"/>
          <w:szCs w:val="20"/>
        </w:rPr>
        <w:t xml:space="preserve">e del 17 dicembre 2008 e ss.mm., </w:t>
      </w:r>
      <w:r w:rsidRPr="000950FE">
        <w:rPr>
          <w:rFonts w:ascii="Arial" w:hAnsi="Arial" w:cs="Arial"/>
          <w:bCs/>
          <w:sz w:val="20"/>
          <w:szCs w:val="20"/>
        </w:rPr>
        <w:t>consente la rilevazione e il monitoraggio delle prestazioni erogate nell’ambito dell’emergenza-urgenza sia da parte del Sistema 118, sia dei presidi ospedalieri con riferimento alle attività di Pronto Soccorso (PS).</w:t>
      </w:r>
    </w:p>
    <w:p w14:paraId="4D22A163" w14:textId="501ED7A6" w:rsidR="003E0AD2" w:rsidRPr="000950FE" w:rsidRDefault="0083697B" w:rsidP="003E0AD2">
      <w:pPr>
        <w:spacing w:after="120"/>
        <w:jc w:val="both"/>
        <w:rPr>
          <w:rFonts w:ascii="Arial" w:hAnsi="Arial" w:cs="Arial"/>
          <w:bCs/>
          <w:sz w:val="20"/>
          <w:szCs w:val="20"/>
        </w:rPr>
      </w:pPr>
      <w:r w:rsidRPr="000950FE">
        <w:rPr>
          <w:rFonts w:ascii="Arial" w:hAnsi="Arial" w:cs="Arial"/>
          <w:bCs/>
          <w:sz w:val="20"/>
          <w:szCs w:val="20"/>
        </w:rPr>
        <w:t>Relativamente alle attività del P</w:t>
      </w:r>
      <w:r w:rsidR="00E936F9" w:rsidRPr="000950FE">
        <w:rPr>
          <w:rFonts w:ascii="Arial" w:hAnsi="Arial" w:cs="Arial"/>
          <w:bCs/>
          <w:sz w:val="20"/>
          <w:szCs w:val="20"/>
        </w:rPr>
        <w:t>S</w:t>
      </w:r>
      <w:r w:rsidRPr="000950FE">
        <w:rPr>
          <w:rFonts w:ascii="Arial" w:hAnsi="Arial" w:cs="Arial"/>
          <w:bCs/>
          <w:sz w:val="20"/>
          <w:szCs w:val="20"/>
        </w:rPr>
        <w:t xml:space="preserve">, i principali contenuti informativi rilevati e trasmessi </w:t>
      </w:r>
      <w:r w:rsidR="00E936F9" w:rsidRPr="000950FE">
        <w:rPr>
          <w:rFonts w:ascii="Arial" w:hAnsi="Arial" w:cs="Arial"/>
          <w:bCs/>
          <w:sz w:val="20"/>
          <w:szCs w:val="20"/>
        </w:rPr>
        <w:t xml:space="preserve">dalle </w:t>
      </w:r>
      <w:r w:rsidR="00AC69A3">
        <w:rPr>
          <w:rFonts w:ascii="Arial" w:hAnsi="Arial" w:cs="Arial"/>
          <w:bCs/>
          <w:sz w:val="20"/>
          <w:szCs w:val="20"/>
        </w:rPr>
        <w:t>r</w:t>
      </w:r>
      <w:r w:rsidR="00E936F9" w:rsidRPr="000950FE">
        <w:rPr>
          <w:rFonts w:ascii="Arial" w:hAnsi="Arial" w:cs="Arial"/>
          <w:bCs/>
          <w:sz w:val="20"/>
          <w:szCs w:val="20"/>
        </w:rPr>
        <w:t xml:space="preserve">egioni </w:t>
      </w:r>
      <w:r w:rsidRPr="000950FE">
        <w:rPr>
          <w:rFonts w:ascii="Arial" w:hAnsi="Arial" w:cs="Arial"/>
          <w:bCs/>
          <w:sz w:val="20"/>
          <w:szCs w:val="20"/>
        </w:rPr>
        <w:t xml:space="preserve">al Nuovo Sistema Informativo Sanitario (NSIS) del Ministero della </w:t>
      </w:r>
      <w:r w:rsidR="00E936F9" w:rsidRPr="000950FE">
        <w:rPr>
          <w:rFonts w:ascii="Arial" w:hAnsi="Arial" w:cs="Arial"/>
          <w:bCs/>
          <w:sz w:val="20"/>
          <w:szCs w:val="20"/>
        </w:rPr>
        <w:t>S</w:t>
      </w:r>
      <w:r w:rsidRPr="000950FE">
        <w:rPr>
          <w:rFonts w:ascii="Arial" w:hAnsi="Arial" w:cs="Arial"/>
          <w:bCs/>
          <w:sz w:val="20"/>
          <w:szCs w:val="20"/>
        </w:rPr>
        <w:t>alute sono i seguenti: struttura erogatrice, dati relativi all’accesso e alla dimissione dell’assistito, diagnosi e prestazioni erogate</w:t>
      </w:r>
      <w:r w:rsidR="007071AA" w:rsidRPr="000950FE">
        <w:rPr>
          <w:rFonts w:ascii="Arial" w:hAnsi="Arial" w:cs="Arial"/>
          <w:bCs/>
          <w:sz w:val="20"/>
          <w:szCs w:val="20"/>
        </w:rPr>
        <w:t>, s</w:t>
      </w:r>
      <w:r w:rsidR="003E0AD2" w:rsidRPr="000950FE">
        <w:rPr>
          <w:rFonts w:ascii="Arial" w:hAnsi="Arial" w:cs="Arial"/>
          <w:bCs/>
          <w:sz w:val="20"/>
          <w:szCs w:val="20"/>
        </w:rPr>
        <w:t xml:space="preserve">esso ed </w:t>
      </w:r>
      <w:r w:rsidR="007071AA" w:rsidRPr="000950FE">
        <w:rPr>
          <w:rFonts w:ascii="Arial" w:hAnsi="Arial" w:cs="Arial"/>
          <w:bCs/>
          <w:sz w:val="20"/>
          <w:szCs w:val="20"/>
        </w:rPr>
        <w:t>e</w:t>
      </w:r>
      <w:r w:rsidR="003E0AD2" w:rsidRPr="000950FE">
        <w:rPr>
          <w:rFonts w:ascii="Arial" w:hAnsi="Arial" w:cs="Arial"/>
          <w:bCs/>
          <w:sz w:val="20"/>
          <w:szCs w:val="20"/>
        </w:rPr>
        <w:t>tà</w:t>
      </w:r>
      <w:r w:rsidR="007071AA" w:rsidRPr="000950FE">
        <w:rPr>
          <w:rFonts w:ascii="Arial" w:hAnsi="Arial" w:cs="Arial"/>
          <w:bCs/>
          <w:sz w:val="20"/>
          <w:szCs w:val="20"/>
        </w:rPr>
        <w:t>, c</w:t>
      </w:r>
      <w:r w:rsidR="003E0AD2" w:rsidRPr="000950FE">
        <w:rPr>
          <w:rFonts w:ascii="Arial" w:hAnsi="Arial" w:cs="Arial"/>
          <w:bCs/>
          <w:sz w:val="20"/>
          <w:szCs w:val="20"/>
        </w:rPr>
        <w:t>ittadinanza</w:t>
      </w:r>
      <w:r w:rsidR="007071AA" w:rsidRPr="000950FE">
        <w:rPr>
          <w:rFonts w:ascii="Arial" w:hAnsi="Arial" w:cs="Arial"/>
          <w:bCs/>
          <w:sz w:val="20"/>
          <w:szCs w:val="20"/>
        </w:rPr>
        <w:t>, modalità di arrivo, t</w:t>
      </w:r>
      <w:r w:rsidR="003E0AD2" w:rsidRPr="000950FE">
        <w:rPr>
          <w:rFonts w:ascii="Arial" w:hAnsi="Arial" w:cs="Arial"/>
          <w:bCs/>
          <w:sz w:val="20"/>
          <w:szCs w:val="20"/>
        </w:rPr>
        <w:t xml:space="preserve">riage </w:t>
      </w:r>
      <w:r w:rsidR="007071AA" w:rsidRPr="000950FE">
        <w:rPr>
          <w:rFonts w:ascii="Arial" w:hAnsi="Arial" w:cs="Arial"/>
          <w:bCs/>
          <w:sz w:val="20"/>
          <w:szCs w:val="20"/>
        </w:rPr>
        <w:t>post visita medica, e</w:t>
      </w:r>
      <w:r w:rsidR="003E0AD2" w:rsidRPr="000950FE">
        <w:rPr>
          <w:rFonts w:ascii="Arial" w:hAnsi="Arial" w:cs="Arial"/>
          <w:bCs/>
          <w:sz w:val="20"/>
          <w:szCs w:val="20"/>
        </w:rPr>
        <w:t xml:space="preserve">sito </w:t>
      </w:r>
      <w:r w:rsidR="00E936F9" w:rsidRPr="000950FE">
        <w:rPr>
          <w:rFonts w:ascii="Arial" w:hAnsi="Arial" w:cs="Arial"/>
          <w:bCs/>
          <w:sz w:val="20"/>
          <w:szCs w:val="20"/>
        </w:rPr>
        <w:t xml:space="preserve">del </w:t>
      </w:r>
      <w:r w:rsidR="003E0AD2" w:rsidRPr="000950FE">
        <w:rPr>
          <w:rFonts w:ascii="Arial" w:hAnsi="Arial" w:cs="Arial"/>
          <w:bCs/>
          <w:sz w:val="20"/>
          <w:szCs w:val="20"/>
        </w:rPr>
        <w:t>trattamento</w:t>
      </w:r>
      <w:r w:rsidR="007071AA" w:rsidRPr="000950FE">
        <w:rPr>
          <w:rFonts w:ascii="Arial" w:hAnsi="Arial" w:cs="Arial"/>
          <w:bCs/>
          <w:sz w:val="20"/>
          <w:szCs w:val="20"/>
        </w:rPr>
        <w:t>.</w:t>
      </w:r>
      <w:r w:rsidR="003E0AD2" w:rsidRPr="000950FE">
        <w:rPr>
          <w:rFonts w:ascii="Arial" w:hAnsi="Arial" w:cs="Arial"/>
          <w:bCs/>
          <w:sz w:val="20"/>
          <w:szCs w:val="20"/>
        </w:rPr>
        <w:t xml:space="preserve"> </w:t>
      </w:r>
    </w:p>
    <w:p w14:paraId="44962F5A" w14:textId="2BF58E0B" w:rsidR="0083697B" w:rsidRPr="000950FE" w:rsidRDefault="0083697B" w:rsidP="0083697B">
      <w:pPr>
        <w:spacing w:after="120"/>
        <w:jc w:val="both"/>
        <w:rPr>
          <w:rFonts w:ascii="Arial" w:hAnsi="Arial" w:cs="Arial"/>
          <w:bCs/>
          <w:sz w:val="20"/>
          <w:szCs w:val="20"/>
        </w:rPr>
      </w:pPr>
      <w:r w:rsidRPr="000950FE">
        <w:rPr>
          <w:rFonts w:ascii="Arial" w:hAnsi="Arial" w:cs="Arial"/>
          <w:bCs/>
          <w:sz w:val="20"/>
          <w:szCs w:val="20"/>
        </w:rPr>
        <w:t>Le predette informazioni</w:t>
      </w:r>
      <w:r w:rsidR="00E936F9" w:rsidRPr="000950FE">
        <w:rPr>
          <w:rFonts w:ascii="Arial" w:hAnsi="Arial" w:cs="Arial"/>
          <w:bCs/>
          <w:sz w:val="20"/>
          <w:szCs w:val="20"/>
        </w:rPr>
        <w:t>,</w:t>
      </w:r>
      <w:r w:rsidRPr="000950FE">
        <w:rPr>
          <w:rFonts w:ascii="Arial" w:hAnsi="Arial" w:cs="Arial"/>
          <w:bCs/>
          <w:sz w:val="20"/>
          <w:szCs w:val="20"/>
        </w:rPr>
        <w:t xml:space="preserve"> registrate al completamento dell’intervento di Emergenza-Urgenza</w:t>
      </w:r>
      <w:r w:rsidR="00E936F9" w:rsidRPr="000950FE">
        <w:rPr>
          <w:rFonts w:ascii="Arial" w:hAnsi="Arial" w:cs="Arial"/>
          <w:bCs/>
          <w:sz w:val="20"/>
          <w:szCs w:val="20"/>
        </w:rPr>
        <w:t>,</w:t>
      </w:r>
      <w:r w:rsidRPr="000950FE">
        <w:rPr>
          <w:rFonts w:ascii="Arial" w:hAnsi="Arial" w:cs="Arial"/>
          <w:bCs/>
          <w:sz w:val="20"/>
          <w:szCs w:val="20"/>
        </w:rPr>
        <w:t xml:space="preserve"> vengono trasmesse al NSIS con cadenza mensile, entro il mese successivo al periodo di riferimento in cui si sono verificati gli eventi stessi.</w:t>
      </w:r>
    </w:p>
    <w:p w14:paraId="06570AAD" w14:textId="7A9E67E0" w:rsidR="00EB7015" w:rsidRPr="000950FE" w:rsidRDefault="00EB7015" w:rsidP="0083697B">
      <w:pPr>
        <w:spacing w:after="120"/>
        <w:jc w:val="both"/>
        <w:rPr>
          <w:rFonts w:ascii="Arial" w:hAnsi="Arial" w:cs="Arial"/>
          <w:bCs/>
          <w:sz w:val="20"/>
          <w:szCs w:val="20"/>
        </w:rPr>
      </w:pPr>
      <w:r w:rsidRPr="000950FE">
        <w:rPr>
          <w:rFonts w:ascii="Arial" w:hAnsi="Arial" w:cs="Arial"/>
          <w:bCs/>
          <w:sz w:val="20"/>
          <w:szCs w:val="20"/>
        </w:rPr>
        <w:t xml:space="preserve">Il programma di formazione realizzato nel 2015-2017 per gli operatori </w:t>
      </w:r>
      <w:r w:rsidR="003F035F" w:rsidRPr="000950FE">
        <w:rPr>
          <w:rFonts w:ascii="Arial" w:hAnsi="Arial" w:cs="Arial"/>
          <w:bCs/>
          <w:sz w:val="20"/>
          <w:szCs w:val="20"/>
        </w:rPr>
        <w:t>di alcuni</w:t>
      </w:r>
      <w:r w:rsidRPr="000950FE">
        <w:rPr>
          <w:rFonts w:ascii="Arial" w:hAnsi="Arial" w:cs="Arial"/>
          <w:bCs/>
          <w:sz w:val="20"/>
          <w:szCs w:val="20"/>
        </w:rPr>
        <w:t xml:space="preserve"> PS per il rafforzamento delle reti territoriali per la prevenzione e il contrasto della violenza di genere, le linee guida nazionali emanate nel 2017 in tema di soccorso e assistenza socio-sanitaria alle donne vittime di violenza (</w:t>
      </w:r>
      <w:r w:rsidR="003F035F" w:rsidRPr="000950FE">
        <w:rPr>
          <w:rFonts w:ascii="Arial" w:hAnsi="Arial" w:cs="Arial"/>
          <w:bCs/>
          <w:sz w:val="20"/>
          <w:szCs w:val="20"/>
        </w:rPr>
        <w:t xml:space="preserve">DPCM 24/11/2017 </w:t>
      </w:r>
      <w:r w:rsidRPr="000950FE">
        <w:rPr>
          <w:rFonts w:ascii="Arial" w:hAnsi="Arial" w:cs="Arial"/>
          <w:bCs/>
          <w:sz w:val="20"/>
          <w:szCs w:val="20"/>
        </w:rPr>
        <w:t>“Linee guida nazionali per le Aziende sanitarie e le Aziende ospedaliere in tema di soccorso e assistenza socio-sanitaria alle donne vittime di violenza”), la formazione organizzata nel 2020 dal Ministero della Salute, in collaborazione con l’Istituto Superiore di Sanità, degli operatori sanitari e la legge n. 53 del 5 maggio 2022, recante “Disposizioni in materia di statistiche in tema di violenza di genere”, costituiscono un insieme di interventi volti a migliorare la qualità dei dati statistici e a garantire un flusso informativo adeguato per cadenza e contenuti sulla violenza di genere contro le donne.</w:t>
      </w:r>
    </w:p>
    <w:p w14:paraId="27DDE0E6" w14:textId="5E67C97B" w:rsidR="00A530BF" w:rsidRPr="000950FE" w:rsidRDefault="00400129" w:rsidP="00E936F9">
      <w:pPr>
        <w:spacing w:after="120"/>
        <w:jc w:val="both"/>
        <w:rPr>
          <w:rFonts w:ascii="Arial" w:hAnsi="Arial" w:cs="Arial"/>
          <w:bCs/>
          <w:sz w:val="20"/>
          <w:szCs w:val="20"/>
        </w:rPr>
      </w:pPr>
      <w:r w:rsidRPr="000950FE">
        <w:rPr>
          <w:rFonts w:ascii="Arial" w:hAnsi="Arial" w:cs="Arial"/>
          <w:bCs/>
          <w:sz w:val="20"/>
          <w:szCs w:val="20"/>
        </w:rPr>
        <w:t xml:space="preserve">L’individuazione dei casi di violenza </w:t>
      </w:r>
      <w:r w:rsidR="00E936F9" w:rsidRPr="000950FE">
        <w:rPr>
          <w:rFonts w:ascii="Arial" w:hAnsi="Arial" w:cs="Arial"/>
          <w:bCs/>
          <w:sz w:val="20"/>
          <w:szCs w:val="20"/>
        </w:rPr>
        <w:t xml:space="preserve">negli accessi in PS </w:t>
      </w:r>
      <w:r w:rsidRPr="000950FE">
        <w:rPr>
          <w:rFonts w:ascii="Arial" w:hAnsi="Arial" w:cs="Arial"/>
          <w:bCs/>
          <w:sz w:val="20"/>
          <w:szCs w:val="20"/>
        </w:rPr>
        <w:t xml:space="preserve">è stata effettuata sia attraverso </w:t>
      </w:r>
      <w:r w:rsidR="00E936F9" w:rsidRPr="000950FE">
        <w:rPr>
          <w:rFonts w:ascii="Arial" w:hAnsi="Arial" w:cs="Arial"/>
          <w:bCs/>
          <w:sz w:val="20"/>
          <w:szCs w:val="20"/>
        </w:rPr>
        <w:t>la</w:t>
      </w:r>
      <w:r w:rsidRPr="000950FE">
        <w:rPr>
          <w:rFonts w:ascii="Arial" w:hAnsi="Arial" w:cs="Arial"/>
          <w:bCs/>
          <w:sz w:val="20"/>
          <w:szCs w:val="20"/>
        </w:rPr>
        <w:t xml:space="preserve"> selezione di diagnosi</w:t>
      </w:r>
      <w:r w:rsidR="00A530BF" w:rsidRPr="000950FE">
        <w:rPr>
          <w:rFonts w:ascii="Arial" w:hAnsi="Arial" w:cs="Arial"/>
          <w:bCs/>
          <w:sz w:val="20"/>
          <w:szCs w:val="20"/>
        </w:rPr>
        <w:t xml:space="preserve"> (principale e secondarie) riconducibil</w:t>
      </w:r>
      <w:r w:rsidR="00E936F9" w:rsidRPr="000950FE">
        <w:rPr>
          <w:rFonts w:ascii="Arial" w:hAnsi="Arial" w:cs="Arial"/>
          <w:bCs/>
          <w:sz w:val="20"/>
          <w:szCs w:val="20"/>
        </w:rPr>
        <w:t>i</w:t>
      </w:r>
      <w:r w:rsidR="00A530BF" w:rsidRPr="000950FE">
        <w:rPr>
          <w:rFonts w:ascii="Arial" w:hAnsi="Arial" w:cs="Arial"/>
          <w:bCs/>
          <w:sz w:val="20"/>
          <w:szCs w:val="20"/>
        </w:rPr>
        <w:t xml:space="preserve"> al perimetro d</w:t>
      </w:r>
      <w:r w:rsidR="00E936F9" w:rsidRPr="000950FE">
        <w:rPr>
          <w:rFonts w:ascii="Arial" w:hAnsi="Arial" w:cs="Arial"/>
          <w:bCs/>
          <w:sz w:val="20"/>
          <w:szCs w:val="20"/>
        </w:rPr>
        <w:t>ella</w:t>
      </w:r>
      <w:r w:rsidR="00A530BF" w:rsidRPr="000950FE">
        <w:rPr>
          <w:rFonts w:ascii="Arial" w:hAnsi="Arial" w:cs="Arial"/>
          <w:bCs/>
          <w:sz w:val="20"/>
          <w:szCs w:val="20"/>
        </w:rPr>
        <w:t xml:space="preserve"> violenza, </w:t>
      </w:r>
      <w:r w:rsidR="00E936F9" w:rsidRPr="000950FE">
        <w:rPr>
          <w:rFonts w:ascii="Arial" w:hAnsi="Arial" w:cs="Arial"/>
          <w:bCs/>
          <w:sz w:val="20"/>
          <w:szCs w:val="20"/>
        </w:rPr>
        <w:t xml:space="preserve">sulla base dei </w:t>
      </w:r>
      <w:r w:rsidRPr="000950FE">
        <w:rPr>
          <w:rFonts w:ascii="Arial" w:hAnsi="Arial" w:cs="Arial"/>
          <w:bCs/>
          <w:sz w:val="20"/>
          <w:szCs w:val="20"/>
        </w:rPr>
        <w:t>codici ICD</w:t>
      </w:r>
      <w:r w:rsidR="00E936F9" w:rsidRPr="000950FE">
        <w:rPr>
          <w:rFonts w:ascii="Arial" w:hAnsi="Arial" w:cs="Arial"/>
          <w:bCs/>
          <w:sz w:val="20"/>
          <w:szCs w:val="20"/>
        </w:rPr>
        <w:t>-</w:t>
      </w:r>
      <w:r w:rsidRPr="000950FE">
        <w:rPr>
          <w:rFonts w:ascii="Arial" w:hAnsi="Arial" w:cs="Arial"/>
          <w:bCs/>
          <w:sz w:val="20"/>
          <w:szCs w:val="20"/>
        </w:rPr>
        <w:t>9</w:t>
      </w:r>
      <w:r w:rsidR="00E936F9" w:rsidRPr="000950FE">
        <w:rPr>
          <w:rFonts w:ascii="Arial" w:hAnsi="Arial" w:cs="Arial"/>
          <w:bCs/>
          <w:sz w:val="20"/>
          <w:szCs w:val="20"/>
        </w:rPr>
        <w:t>-</w:t>
      </w:r>
      <w:r w:rsidRPr="000950FE">
        <w:rPr>
          <w:rFonts w:ascii="Arial" w:hAnsi="Arial" w:cs="Arial"/>
          <w:bCs/>
          <w:sz w:val="20"/>
          <w:szCs w:val="20"/>
        </w:rPr>
        <w:t xml:space="preserve">CM </w:t>
      </w:r>
      <w:r w:rsidR="003F035F" w:rsidRPr="000950FE">
        <w:rPr>
          <w:rFonts w:ascii="Arial" w:hAnsi="Arial" w:cs="Arial"/>
          <w:bCs/>
          <w:sz w:val="20"/>
          <w:szCs w:val="20"/>
        </w:rPr>
        <w:lastRenderedPageBreak/>
        <w:t xml:space="preserve">su </w:t>
      </w:r>
      <w:r w:rsidR="00E936F9" w:rsidRPr="000950FE">
        <w:rPr>
          <w:rFonts w:ascii="Arial" w:hAnsi="Arial" w:cs="Arial"/>
          <w:bCs/>
          <w:sz w:val="20"/>
          <w:szCs w:val="20"/>
        </w:rPr>
        <w:t>riportati</w:t>
      </w:r>
      <w:r w:rsidR="00A530BF" w:rsidRPr="000950FE">
        <w:rPr>
          <w:rFonts w:ascii="Arial" w:hAnsi="Arial" w:cs="Arial"/>
          <w:bCs/>
          <w:sz w:val="20"/>
          <w:szCs w:val="20"/>
        </w:rPr>
        <w:t xml:space="preserve">, </w:t>
      </w:r>
      <w:r w:rsidRPr="000950FE">
        <w:rPr>
          <w:rFonts w:ascii="Arial" w:hAnsi="Arial" w:cs="Arial"/>
          <w:bCs/>
          <w:sz w:val="20"/>
          <w:szCs w:val="20"/>
        </w:rPr>
        <w:t xml:space="preserve">sia attraverso l’utilizzo della variabile “problema principale” </w:t>
      </w:r>
      <w:r w:rsidR="00E936F9" w:rsidRPr="000950FE">
        <w:rPr>
          <w:rFonts w:ascii="Arial" w:hAnsi="Arial" w:cs="Arial"/>
          <w:bCs/>
          <w:sz w:val="20"/>
          <w:szCs w:val="20"/>
        </w:rPr>
        <w:t>selezionando i casi in cui era indicata “</w:t>
      </w:r>
      <w:r w:rsidRPr="000950FE">
        <w:rPr>
          <w:rFonts w:ascii="Arial" w:hAnsi="Arial" w:cs="Arial"/>
          <w:bCs/>
          <w:sz w:val="20"/>
          <w:szCs w:val="20"/>
        </w:rPr>
        <w:t>violenza altrui</w:t>
      </w:r>
      <w:r w:rsidR="00E936F9" w:rsidRPr="000950FE">
        <w:rPr>
          <w:rFonts w:ascii="Arial" w:hAnsi="Arial" w:cs="Arial"/>
          <w:bCs/>
          <w:sz w:val="20"/>
          <w:szCs w:val="20"/>
        </w:rPr>
        <w:t>”</w:t>
      </w:r>
      <w:r w:rsidR="0067640A" w:rsidRPr="000950FE">
        <w:rPr>
          <w:rFonts w:ascii="Arial" w:hAnsi="Arial" w:cs="Arial"/>
          <w:bCs/>
          <w:sz w:val="20"/>
          <w:szCs w:val="20"/>
        </w:rPr>
        <w:t>.</w:t>
      </w:r>
      <w:r w:rsidR="00812D4D" w:rsidRPr="000950FE">
        <w:rPr>
          <w:rFonts w:ascii="Arial" w:hAnsi="Arial" w:cs="Arial"/>
          <w:bCs/>
          <w:sz w:val="20"/>
          <w:szCs w:val="20"/>
        </w:rPr>
        <w:t xml:space="preserve"> Tale variabile ha consentito di intercettare ulteriori casi di accesso in </w:t>
      </w:r>
      <w:r w:rsidR="00E936F9" w:rsidRPr="000950FE">
        <w:rPr>
          <w:rFonts w:ascii="Arial" w:hAnsi="Arial" w:cs="Arial"/>
          <w:bCs/>
          <w:sz w:val="20"/>
          <w:szCs w:val="20"/>
        </w:rPr>
        <w:t>PS</w:t>
      </w:r>
      <w:r w:rsidR="00812D4D" w:rsidRPr="000950FE">
        <w:rPr>
          <w:rFonts w:ascii="Arial" w:hAnsi="Arial" w:cs="Arial"/>
          <w:bCs/>
          <w:sz w:val="20"/>
          <w:szCs w:val="20"/>
        </w:rPr>
        <w:t xml:space="preserve"> attribuibili a</w:t>
      </w:r>
      <w:r w:rsidR="00F37064" w:rsidRPr="000950FE">
        <w:rPr>
          <w:rFonts w:ascii="Arial" w:hAnsi="Arial" w:cs="Arial"/>
          <w:bCs/>
          <w:sz w:val="20"/>
          <w:szCs w:val="20"/>
        </w:rPr>
        <w:t>lla</w:t>
      </w:r>
      <w:r w:rsidR="00812D4D" w:rsidRPr="000950FE">
        <w:rPr>
          <w:rFonts w:ascii="Arial" w:hAnsi="Arial" w:cs="Arial"/>
          <w:bCs/>
          <w:sz w:val="20"/>
          <w:szCs w:val="20"/>
        </w:rPr>
        <w:t xml:space="preserve"> violenza</w:t>
      </w:r>
      <w:r w:rsidR="00E936F9" w:rsidRPr="000950FE">
        <w:rPr>
          <w:rFonts w:ascii="Arial" w:hAnsi="Arial" w:cs="Arial"/>
          <w:bCs/>
          <w:sz w:val="20"/>
          <w:szCs w:val="20"/>
        </w:rPr>
        <w:t>,</w:t>
      </w:r>
      <w:r w:rsidR="00812D4D" w:rsidRPr="000950FE">
        <w:rPr>
          <w:rFonts w:ascii="Arial" w:hAnsi="Arial" w:cs="Arial"/>
          <w:bCs/>
          <w:sz w:val="20"/>
          <w:szCs w:val="20"/>
        </w:rPr>
        <w:t xml:space="preserve"> </w:t>
      </w:r>
      <w:r w:rsidR="00E936F9" w:rsidRPr="000950FE">
        <w:rPr>
          <w:rFonts w:ascii="Arial" w:hAnsi="Arial" w:cs="Arial"/>
          <w:bCs/>
          <w:sz w:val="20"/>
          <w:szCs w:val="20"/>
        </w:rPr>
        <w:t xml:space="preserve">in mancanza di un codice di </w:t>
      </w:r>
      <w:r w:rsidR="00812D4D" w:rsidRPr="000950FE">
        <w:rPr>
          <w:rFonts w:ascii="Arial" w:hAnsi="Arial" w:cs="Arial"/>
          <w:bCs/>
          <w:sz w:val="20"/>
          <w:szCs w:val="20"/>
        </w:rPr>
        <w:t xml:space="preserve">diagnosi </w:t>
      </w:r>
      <w:r w:rsidR="00E936F9" w:rsidRPr="000950FE">
        <w:rPr>
          <w:rFonts w:ascii="Arial" w:hAnsi="Arial" w:cs="Arial"/>
          <w:bCs/>
          <w:sz w:val="20"/>
          <w:szCs w:val="20"/>
        </w:rPr>
        <w:t>riconducibile alla violenza</w:t>
      </w:r>
      <w:r w:rsidR="00DA6BA8" w:rsidRPr="000950FE">
        <w:rPr>
          <w:rFonts w:ascii="Arial" w:hAnsi="Arial" w:cs="Arial"/>
          <w:bCs/>
          <w:sz w:val="20"/>
          <w:szCs w:val="20"/>
        </w:rPr>
        <w:t xml:space="preserve"> stessa</w:t>
      </w:r>
      <w:r w:rsidR="00812D4D" w:rsidRPr="000950FE">
        <w:rPr>
          <w:rFonts w:ascii="Arial" w:hAnsi="Arial" w:cs="Arial"/>
          <w:bCs/>
          <w:sz w:val="20"/>
          <w:szCs w:val="20"/>
        </w:rPr>
        <w:t>.</w:t>
      </w:r>
    </w:p>
    <w:p w14:paraId="669AA9E4" w14:textId="77777777" w:rsidR="00812D4D" w:rsidRPr="000950FE" w:rsidRDefault="00812D4D" w:rsidP="00812D4D">
      <w:pPr>
        <w:spacing w:after="120"/>
        <w:jc w:val="both"/>
        <w:rPr>
          <w:rFonts w:ascii="Arial" w:hAnsi="Arial" w:cs="Arial"/>
          <w:bCs/>
          <w:sz w:val="20"/>
          <w:szCs w:val="20"/>
        </w:rPr>
      </w:pPr>
    </w:p>
    <w:p w14:paraId="0609B286" w14:textId="77777777" w:rsidR="00055770" w:rsidRPr="00DD1CCC" w:rsidRDefault="00055770" w:rsidP="00055770">
      <w:pPr>
        <w:pStyle w:val="Titolo3"/>
        <w:spacing w:before="0" w:after="120"/>
        <w:rPr>
          <w:rFonts w:ascii="Arial" w:eastAsiaTheme="minorHAnsi" w:hAnsi="Arial" w:cs="Arial"/>
          <w:b/>
          <w:bCs/>
          <w:color w:val="1F4E78"/>
          <w:sz w:val="22"/>
          <w:szCs w:val="22"/>
        </w:rPr>
      </w:pPr>
      <w:r w:rsidRPr="00DD1CCC">
        <w:rPr>
          <w:rFonts w:ascii="Arial" w:eastAsiaTheme="minorHAnsi" w:hAnsi="Arial" w:cs="Arial"/>
          <w:b/>
          <w:bCs/>
          <w:color w:val="1F4E78"/>
          <w:sz w:val="22"/>
          <w:szCs w:val="22"/>
        </w:rPr>
        <w:t>Schede di Dimissione Ospedaliera (SDO)</w:t>
      </w:r>
    </w:p>
    <w:p w14:paraId="3D125F6D" w14:textId="2A96589C" w:rsidR="00FF62A3" w:rsidRPr="000950FE" w:rsidRDefault="00FF62A3" w:rsidP="00FF62A3">
      <w:pPr>
        <w:spacing w:after="120"/>
        <w:jc w:val="both"/>
        <w:rPr>
          <w:rFonts w:ascii="Arial" w:hAnsi="Arial" w:cs="Arial"/>
          <w:bCs/>
          <w:sz w:val="20"/>
          <w:szCs w:val="20"/>
        </w:rPr>
      </w:pPr>
      <w:r w:rsidRPr="000950FE">
        <w:rPr>
          <w:rFonts w:ascii="Arial" w:hAnsi="Arial" w:cs="Arial"/>
          <w:bCs/>
          <w:sz w:val="20"/>
          <w:szCs w:val="20"/>
        </w:rPr>
        <w:t>La Scheda di Dimissione Ospedaliera – SDO è lo strumento di raccolta delle informazioni relative a ogni paziente dimesso (compresi i deceduti</w:t>
      </w:r>
      <w:r w:rsidR="00383FA9">
        <w:rPr>
          <w:rFonts w:ascii="Arial" w:hAnsi="Arial" w:cs="Arial"/>
          <w:bCs/>
          <w:sz w:val="20"/>
          <w:szCs w:val="20"/>
        </w:rPr>
        <w:t xml:space="preserve"> in ospedale</w:t>
      </w:r>
      <w:r w:rsidRPr="000950FE">
        <w:rPr>
          <w:rFonts w:ascii="Arial" w:hAnsi="Arial" w:cs="Arial"/>
          <w:bCs/>
          <w:sz w:val="20"/>
          <w:szCs w:val="20"/>
        </w:rPr>
        <w:t xml:space="preserve">) dagli istituti di ricovero pubblici e privati in tutto il territorio nazionale, indipendentemente dalla residenza </w:t>
      </w:r>
      <w:r w:rsidR="00F00A36" w:rsidRPr="000950FE">
        <w:rPr>
          <w:rFonts w:ascii="Arial" w:hAnsi="Arial" w:cs="Arial"/>
          <w:bCs/>
          <w:sz w:val="20"/>
          <w:szCs w:val="20"/>
        </w:rPr>
        <w:t xml:space="preserve">del paziente, </w:t>
      </w:r>
      <w:r w:rsidRPr="000950FE">
        <w:rPr>
          <w:rFonts w:ascii="Arial" w:hAnsi="Arial" w:cs="Arial"/>
          <w:bCs/>
          <w:sz w:val="20"/>
          <w:szCs w:val="20"/>
        </w:rPr>
        <w:t>in Italia</w:t>
      </w:r>
      <w:r w:rsidR="00F00A36" w:rsidRPr="000950FE">
        <w:rPr>
          <w:rFonts w:ascii="Arial" w:hAnsi="Arial" w:cs="Arial"/>
          <w:bCs/>
          <w:sz w:val="20"/>
          <w:szCs w:val="20"/>
        </w:rPr>
        <w:t xml:space="preserve"> o all’estero</w:t>
      </w:r>
      <w:r w:rsidRPr="000950FE">
        <w:rPr>
          <w:rFonts w:ascii="Arial" w:hAnsi="Arial" w:cs="Arial"/>
          <w:bCs/>
          <w:sz w:val="20"/>
          <w:szCs w:val="20"/>
        </w:rPr>
        <w:t xml:space="preserve">. La SDO è compilata dai medici e dal personale sanitario che hanno avuto in cura il paziente ricoverato. I dati sono trasmessi mensilmente dagli ospedali alle </w:t>
      </w:r>
      <w:r w:rsidR="00AC69A3">
        <w:rPr>
          <w:rFonts w:ascii="Arial" w:hAnsi="Arial" w:cs="Arial"/>
          <w:bCs/>
          <w:sz w:val="20"/>
          <w:szCs w:val="20"/>
        </w:rPr>
        <w:t>r</w:t>
      </w:r>
      <w:r w:rsidRPr="000950FE">
        <w:rPr>
          <w:rFonts w:ascii="Arial" w:hAnsi="Arial" w:cs="Arial"/>
          <w:bCs/>
          <w:sz w:val="20"/>
          <w:szCs w:val="20"/>
        </w:rPr>
        <w:t xml:space="preserve">egioni e da queste al Ministero della Salute.  </w:t>
      </w:r>
    </w:p>
    <w:p w14:paraId="2AAC4D9E" w14:textId="6DF7281F" w:rsidR="00FF62A3" w:rsidRPr="000950FE" w:rsidRDefault="00FF62A3" w:rsidP="00FF62A3">
      <w:pPr>
        <w:spacing w:after="120"/>
        <w:jc w:val="both"/>
        <w:rPr>
          <w:rFonts w:ascii="Arial" w:hAnsi="Arial" w:cs="Arial"/>
          <w:bCs/>
          <w:sz w:val="20"/>
          <w:szCs w:val="20"/>
        </w:rPr>
      </w:pPr>
      <w:r w:rsidRPr="000950FE">
        <w:rPr>
          <w:rFonts w:ascii="Arial" w:hAnsi="Arial" w:cs="Arial"/>
          <w:bCs/>
          <w:sz w:val="20"/>
          <w:szCs w:val="20"/>
        </w:rPr>
        <w:t xml:space="preserve">Il flusso è stato istituito con il decreto del Ministero della </w:t>
      </w:r>
      <w:r w:rsidR="00AC69A3">
        <w:rPr>
          <w:rFonts w:ascii="Arial" w:hAnsi="Arial" w:cs="Arial"/>
          <w:bCs/>
          <w:sz w:val="20"/>
          <w:szCs w:val="20"/>
        </w:rPr>
        <w:t>Salute</w:t>
      </w:r>
      <w:r w:rsidRPr="000950FE">
        <w:rPr>
          <w:rFonts w:ascii="Arial" w:hAnsi="Arial" w:cs="Arial"/>
          <w:bCs/>
          <w:sz w:val="20"/>
          <w:szCs w:val="20"/>
        </w:rPr>
        <w:t xml:space="preserve"> del 28 dicembre 1991 ss.mm. I contenuti informativi della SDO sono stati aggiornati con il decreto ministeriale del 27 ottobre 2000, n. 380 e, successivamente, con i dd.mm. del 8 luglio 2010, n. 135 e del 7 dicembre 2016, n. 261. </w:t>
      </w:r>
    </w:p>
    <w:p w14:paraId="2F2A63B1" w14:textId="28DD693D" w:rsidR="00FF62A3" w:rsidRPr="000950FE" w:rsidRDefault="00FF62A3" w:rsidP="00FF62A3">
      <w:pPr>
        <w:spacing w:after="120"/>
        <w:jc w:val="both"/>
        <w:rPr>
          <w:rFonts w:ascii="Arial" w:hAnsi="Arial" w:cs="Arial"/>
          <w:bCs/>
          <w:sz w:val="20"/>
          <w:szCs w:val="20"/>
        </w:rPr>
      </w:pPr>
      <w:r w:rsidRPr="000950FE">
        <w:rPr>
          <w:rFonts w:ascii="Arial" w:hAnsi="Arial" w:cs="Arial"/>
          <w:bCs/>
          <w:sz w:val="20"/>
          <w:szCs w:val="20"/>
        </w:rPr>
        <w:t xml:space="preserve">Il flusso </w:t>
      </w:r>
      <w:r w:rsidR="00611FD0" w:rsidRPr="000950FE">
        <w:rPr>
          <w:rFonts w:ascii="Arial" w:hAnsi="Arial" w:cs="Arial"/>
          <w:bCs/>
          <w:sz w:val="20"/>
          <w:szCs w:val="20"/>
        </w:rPr>
        <w:t xml:space="preserve">informativo </w:t>
      </w:r>
      <w:r w:rsidRPr="000950FE">
        <w:rPr>
          <w:rFonts w:ascii="Arial" w:hAnsi="Arial" w:cs="Arial"/>
          <w:bCs/>
          <w:sz w:val="20"/>
          <w:szCs w:val="20"/>
        </w:rPr>
        <w:t>SDO, inserito nel Programma Statistico Nazionale (schede SAL-00018 e IST-00269), oltre che per finalità statistiche, viene utilizzato per finalità di carattere economico-gestionale, per studi di carattere clinico-epidemiologico, per analisi a supporto dell’attività di programmazione sanitaria e per il monitoraggio dell’erogazione dei Livelli Essenziali di Assistenza.</w:t>
      </w:r>
    </w:p>
    <w:p w14:paraId="083F471C" w14:textId="66B062C1" w:rsidR="00FF62A3" w:rsidRPr="000950FE" w:rsidRDefault="00FF62A3" w:rsidP="00FF62A3">
      <w:pPr>
        <w:spacing w:after="120"/>
        <w:jc w:val="both"/>
        <w:rPr>
          <w:rFonts w:ascii="Arial" w:hAnsi="Arial" w:cs="Arial"/>
          <w:bCs/>
          <w:sz w:val="20"/>
          <w:szCs w:val="20"/>
        </w:rPr>
      </w:pPr>
      <w:r w:rsidRPr="000950FE">
        <w:rPr>
          <w:rFonts w:ascii="Arial" w:hAnsi="Arial" w:cs="Arial"/>
          <w:bCs/>
          <w:sz w:val="20"/>
          <w:szCs w:val="20"/>
        </w:rPr>
        <w:t>Le informazioni incluse nella SDO sono relative alle caratteristiche socio-demografiche del paziente (sesso, data di nascita, luogo di nascita e di residenza, stato civile, cittadinanza, livello di istruzione), alle caratteristiche del ricovero (tipo di ospedale, reparto di ammissione, reparto di dimissione ed eventuali altri reparti in cui è transitato il paziente, regime di ricovero, provenienza del paziente, modalità di dimissione, data prenotazione, classe priorità del ricovero) e alle caratteristiche cliniche (diagnosi principale, diagnosi secondarie, procedure diagnostiche o terapeutiche, interventi chirurgici).</w:t>
      </w:r>
      <w:r w:rsidR="00822550" w:rsidRPr="000950FE">
        <w:rPr>
          <w:rFonts w:ascii="Arial" w:hAnsi="Arial" w:cs="Arial"/>
          <w:bCs/>
          <w:sz w:val="20"/>
          <w:szCs w:val="20"/>
        </w:rPr>
        <w:t xml:space="preserve"> Nella SDO, oltre alla diagnosi principale, è possibile riportare fino a cinque diagnosi secondarie. Queste sono codificate utilizzando la Classificazione internazionale delle malattie, IX revisione, modificazione clinica (ICD</w:t>
      </w:r>
      <w:r w:rsidR="00611FD0" w:rsidRPr="000950FE">
        <w:rPr>
          <w:rFonts w:ascii="Arial" w:hAnsi="Arial" w:cs="Arial"/>
          <w:bCs/>
          <w:sz w:val="20"/>
          <w:szCs w:val="20"/>
        </w:rPr>
        <w:t>-</w:t>
      </w:r>
      <w:r w:rsidR="00822550" w:rsidRPr="000950FE">
        <w:rPr>
          <w:rFonts w:ascii="Arial" w:hAnsi="Arial" w:cs="Arial"/>
          <w:bCs/>
          <w:sz w:val="20"/>
          <w:szCs w:val="20"/>
        </w:rPr>
        <w:t>9</w:t>
      </w:r>
      <w:r w:rsidR="00611FD0" w:rsidRPr="000950FE">
        <w:rPr>
          <w:rFonts w:ascii="Arial" w:hAnsi="Arial" w:cs="Arial"/>
          <w:bCs/>
          <w:sz w:val="20"/>
          <w:szCs w:val="20"/>
        </w:rPr>
        <w:t>-</w:t>
      </w:r>
      <w:r w:rsidR="00822550" w:rsidRPr="000950FE">
        <w:rPr>
          <w:rFonts w:ascii="Arial" w:hAnsi="Arial" w:cs="Arial"/>
          <w:bCs/>
          <w:sz w:val="20"/>
          <w:szCs w:val="20"/>
        </w:rPr>
        <w:t>CM</w:t>
      </w:r>
      <w:r w:rsidR="00611FD0" w:rsidRPr="000950FE">
        <w:rPr>
          <w:rFonts w:ascii="Arial" w:hAnsi="Arial" w:cs="Arial"/>
          <w:bCs/>
          <w:sz w:val="20"/>
          <w:szCs w:val="20"/>
        </w:rPr>
        <w:t>, attualmente versione 2007</w:t>
      </w:r>
      <w:r w:rsidR="00822550" w:rsidRPr="000950FE">
        <w:rPr>
          <w:rFonts w:ascii="Arial" w:hAnsi="Arial" w:cs="Arial"/>
          <w:bCs/>
          <w:sz w:val="20"/>
          <w:szCs w:val="20"/>
        </w:rPr>
        <w:t>) la cui traduzione italiana è curata dal Ministero della Salute.</w:t>
      </w:r>
    </w:p>
    <w:p w14:paraId="2428C5FF" w14:textId="0C343CD5" w:rsidR="00822550" w:rsidRPr="000950FE" w:rsidRDefault="005D714F" w:rsidP="005D714F">
      <w:pPr>
        <w:spacing w:after="120"/>
        <w:jc w:val="both"/>
        <w:rPr>
          <w:rFonts w:ascii="Arial" w:hAnsi="Arial" w:cs="Arial"/>
          <w:bCs/>
          <w:sz w:val="20"/>
          <w:szCs w:val="20"/>
        </w:rPr>
      </w:pPr>
      <w:r w:rsidRPr="000950FE">
        <w:rPr>
          <w:rFonts w:ascii="Arial" w:hAnsi="Arial" w:cs="Arial"/>
          <w:bCs/>
          <w:sz w:val="20"/>
          <w:szCs w:val="20"/>
        </w:rPr>
        <w:t>I</w:t>
      </w:r>
      <w:r w:rsidR="004F4055" w:rsidRPr="000950FE">
        <w:rPr>
          <w:rFonts w:ascii="Arial" w:hAnsi="Arial" w:cs="Arial"/>
          <w:bCs/>
          <w:sz w:val="20"/>
          <w:szCs w:val="20"/>
        </w:rPr>
        <w:t xml:space="preserve"> ricoveri ospedalieri in regime ordinario con indicazione di violenza</w:t>
      </w:r>
      <w:r w:rsidR="00A34D62" w:rsidRPr="000950FE">
        <w:rPr>
          <w:rFonts w:ascii="Arial" w:hAnsi="Arial" w:cs="Arial"/>
          <w:bCs/>
          <w:sz w:val="20"/>
          <w:szCs w:val="20"/>
        </w:rPr>
        <w:t xml:space="preserve"> sono</w:t>
      </w:r>
      <w:r w:rsidR="00616EB6" w:rsidRPr="000950FE">
        <w:rPr>
          <w:rFonts w:ascii="Arial" w:hAnsi="Arial" w:cs="Arial"/>
          <w:bCs/>
          <w:sz w:val="20"/>
          <w:szCs w:val="20"/>
        </w:rPr>
        <w:t xml:space="preserve"> </w:t>
      </w:r>
      <w:r w:rsidR="00A34D62" w:rsidRPr="000950FE">
        <w:rPr>
          <w:rFonts w:ascii="Arial" w:hAnsi="Arial" w:cs="Arial"/>
          <w:bCs/>
          <w:sz w:val="20"/>
          <w:szCs w:val="20"/>
        </w:rPr>
        <w:t>individuati</w:t>
      </w:r>
      <w:r w:rsidR="004F4055" w:rsidRPr="000950FE">
        <w:rPr>
          <w:rFonts w:ascii="Arial" w:hAnsi="Arial" w:cs="Arial"/>
          <w:bCs/>
          <w:sz w:val="20"/>
          <w:szCs w:val="20"/>
        </w:rPr>
        <w:t xml:space="preserve"> sia mediante le diagnosi</w:t>
      </w:r>
      <w:r w:rsidRPr="000950FE">
        <w:rPr>
          <w:rFonts w:ascii="Arial" w:hAnsi="Arial" w:cs="Arial"/>
          <w:bCs/>
          <w:sz w:val="20"/>
          <w:szCs w:val="20"/>
        </w:rPr>
        <w:t xml:space="preserve"> (presenza in diagnosi principale o secondaria di almeno uno dei codici ICD-9-CM </w:t>
      </w:r>
      <w:r w:rsidR="003F035F" w:rsidRPr="000950FE">
        <w:rPr>
          <w:rFonts w:ascii="Arial" w:hAnsi="Arial" w:cs="Arial"/>
          <w:bCs/>
          <w:sz w:val="20"/>
          <w:szCs w:val="20"/>
        </w:rPr>
        <w:t xml:space="preserve">su </w:t>
      </w:r>
      <w:r w:rsidRPr="000950FE">
        <w:rPr>
          <w:rFonts w:ascii="Arial" w:hAnsi="Arial" w:cs="Arial"/>
          <w:bCs/>
          <w:sz w:val="20"/>
          <w:szCs w:val="20"/>
        </w:rPr>
        <w:t>indicati)</w:t>
      </w:r>
      <w:r w:rsidR="004F4055" w:rsidRPr="000950FE">
        <w:rPr>
          <w:rFonts w:ascii="Arial" w:hAnsi="Arial" w:cs="Arial"/>
          <w:bCs/>
          <w:sz w:val="20"/>
          <w:szCs w:val="20"/>
        </w:rPr>
        <w:t>, sia utilizzando l’informazione relativa al trauma</w:t>
      </w:r>
      <w:r w:rsidRPr="000950FE">
        <w:rPr>
          <w:rFonts w:ascii="Arial" w:hAnsi="Arial" w:cs="Arial"/>
          <w:bCs/>
          <w:sz w:val="20"/>
          <w:szCs w:val="20"/>
        </w:rPr>
        <w:t xml:space="preserve"> per i ricoveri ospedalieri conseguenti un traumatismo o una intossicazione (casi che riportano </w:t>
      </w:r>
      <w:r w:rsidR="00383FA9">
        <w:rPr>
          <w:rFonts w:ascii="Arial" w:hAnsi="Arial" w:cs="Arial"/>
          <w:bCs/>
          <w:sz w:val="20"/>
          <w:szCs w:val="20"/>
        </w:rPr>
        <w:t xml:space="preserve">la modalità </w:t>
      </w:r>
      <w:r w:rsidRPr="000950FE">
        <w:rPr>
          <w:rFonts w:ascii="Arial" w:hAnsi="Arial" w:cs="Arial"/>
          <w:bCs/>
          <w:sz w:val="20"/>
          <w:szCs w:val="20"/>
        </w:rPr>
        <w:t>“violenza altrui”)</w:t>
      </w:r>
      <w:r w:rsidR="004F4055" w:rsidRPr="000950FE">
        <w:rPr>
          <w:rFonts w:ascii="Arial" w:hAnsi="Arial" w:cs="Arial"/>
          <w:bCs/>
          <w:sz w:val="20"/>
          <w:szCs w:val="20"/>
        </w:rPr>
        <w:t>.</w:t>
      </w:r>
      <w:r w:rsidRPr="000950FE">
        <w:rPr>
          <w:rFonts w:ascii="Arial" w:hAnsi="Arial" w:cs="Arial"/>
          <w:bCs/>
          <w:sz w:val="20"/>
          <w:szCs w:val="20"/>
        </w:rPr>
        <w:t xml:space="preserve"> </w:t>
      </w:r>
    </w:p>
    <w:p w14:paraId="6399FE6F" w14:textId="77777777" w:rsidR="00E02C7A" w:rsidRPr="000950FE" w:rsidRDefault="00E02C7A">
      <w:pPr>
        <w:rPr>
          <w:rFonts w:ascii="Arial" w:hAnsi="Arial" w:cs="Arial"/>
          <w:b/>
          <w:bCs/>
          <w:color w:val="44546A" w:themeColor="text2"/>
          <w:sz w:val="24"/>
          <w:szCs w:val="24"/>
        </w:rPr>
      </w:pPr>
      <w:r w:rsidRPr="000950FE">
        <w:rPr>
          <w:rFonts w:ascii="Arial" w:hAnsi="Arial" w:cs="Arial"/>
          <w:b/>
          <w:bCs/>
          <w:color w:val="44546A" w:themeColor="text2"/>
        </w:rPr>
        <w:br w:type="page"/>
      </w:r>
    </w:p>
    <w:p w14:paraId="4A32A742" w14:textId="71449765" w:rsidR="00CB4686" w:rsidRPr="00DD1CCC" w:rsidRDefault="00E02C7A">
      <w:pPr>
        <w:pStyle w:val="Default"/>
        <w:spacing w:after="120"/>
        <w:jc w:val="both"/>
        <w:rPr>
          <w:rFonts w:ascii="Arial" w:eastAsiaTheme="minorHAnsi" w:hAnsi="Arial" w:cs="Arial"/>
          <w:b/>
          <w:bCs/>
          <w:color w:val="44546A" w:themeColor="text2"/>
          <w:sz w:val="28"/>
          <w:szCs w:val="28"/>
          <w:lang w:eastAsia="en-US"/>
        </w:rPr>
      </w:pPr>
      <w:r w:rsidRPr="00DD1CCC">
        <w:rPr>
          <w:rFonts w:ascii="Arial" w:eastAsiaTheme="minorHAnsi" w:hAnsi="Arial" w:cs="Arial"/>
          <w:b/>
          <w:bCs/>
          <w:color w:val="44546A" w:themeColor="text2"/>
          <w:sz w:val="28"/>
          <w:szCs w:val="28"/>
          <w:lang w:eastAsia="en-US"/>
        </w:rPr>
        <w:lastRenderedPageBreak/>
        <w:t>G</w:t>
      </w:r>
      <w:r w:rsidR="00055770" w:rsidRPr="00DD1CCC">
        <w:rPr>
          <w:rFonts w:ascii="Arial" w:eastAsiaTheme="minorHAnsi" w:hAnsi="Arial" w:cs="Arial"/>
          <w:b/>
          <w:bCs/>
          <w:color w:val="44546A" w:themeColor="text2"/>
          <w:sz w:val="28"/>
          <w:szCs w:val="28"/>
          <w:lang w:eastAsia="en-US"/>
        </w:rPr>
        <w:t xml:space="preserve">lossario </w:t>
      </w:r>
    </w:p>
    <w:p w14:paraId="5B95D136" w14:textId="77777777" w:rsidR="00055770" w:rsidRPr="000950FE" w:rsidRDefault="00055770" w:rsidP="00DD1CCC">
      <w:pPr>
        <w:spacing w:after="120" w:line="240" w:lineRule="auto"/>
        <w:jc w:val="both"/>
        <w:rPr>
          <w:rFonts w:ascii="Arial" w:hAnsi="Arial" w:cs="Arial"/>
          <w:b/>
          <w:bCs/>
          <w:color w:val="44546A" w:themeColor="text2"/>
          <w:sz w:val="20"/>
          <w:szCs w:val="20"/>
        </w:rPr>
      </w:pPr>
      <w:r w:rsidRPr="000950FE">
        <w:rPr>
          <w:rFonts w:ascii="Arial" w:hAnsi="Arial" w:cs="Arial"/>
          <w:b/>
          <w:bCs/>
          <w:color w:val="44546A" w:themeColor="text2"/>
          <w:sz w:val="20"/>
          <w:szCs w:val="20"/>
        </w:rPr>
        <w:t>Degenza media:</w:t>
      </w:r>
      <w:r w:rsidRPr="000950FE">
        <w:rPr>
          <w:rFonts w:ascii="Arial" w:hAnsi="Arial" w:cs="Arial"/>
          <w:b/>
          <w:bCs/>
          <w:color w:val="404040" w:themeColor="text1" w:themeTint="BF"/>
          <w:sz w:val="20"/>
          <w:szCs w:val="20"/>
        </w:rPr>
        <w:t xml:space="preserve"> </w:t>
      </w:r>
      <w:r w:rsidRPr="000950FE">
        <w:rPr>
          <w:rFonts w:ascii="Arial" w:hAnsi="Arial" w:cs="Arial"/>
          <w:sz w:val="20"/>
          <w:szCs w:val="20"/>
        </w:rPr>
        <w:t>rapporto fra il numero di giornate di degenza e il numero di ricoveri.</w:t>
      </w:r>
    </w:p>
    <w:p w14:paraId="1D87F77C" w14:textId="77777777" w:rsidR="00055770" w:rsidRPr="000950FE" w:rsidRDefault="00055770" w:rsidP="00DD1CCC">
      <w:pPr>
        <w:spacing w:after="120" w:line="240" w:lineRule="auto"/>
        <w:jc w:val="both"/>
        <w:rPr>
          <w:rFonts w:ascii="Arial" w:hAnsi="Arial" w:cs="Arial"/>
          <w:sz w:val="20"/>
          <w:szCs w:val="20"/>
        </w:rPr>
      </w:pPr>
      <w:r w:rsidRPr="000950FE">
        <w:rPr>
          <w:rFonts w:ascii="Arial" w:hAnsi="Arial" w:cs="Arial"/>
          <w:b/>
          <w:bCs/>
          <w:color w:val="44546A" w:themeColor="text2"/>
          <w:sz w:val="20"/>
          <w:szCs w:val="20"/>
        </w:rPr>
        <w:t>Diagnosi principale alla dimissione</w:t>
      </w:r>
      <w:r w:rsidRPr="000950FE">
        <w:rPr>
          <w:rFonts w:ascii="Arial" w:hAnsi="Arial" w:cs="Arial"/>
          <w:b/>
          <w:bCs/>
          <w:color w:val="404040" w:themeColor="text1" w:themeTint="BF"/>
          <w:sz w:val="20"/>
          <w:szCs w:val="20"/>
        </w:rPr>
        <w:t xml:space="preserve">: </w:t>
      </w:r>
      <w:r w:rsidRPr="000950FE">
        <w:rPr>
          <w:rFonts w:ascii="Arial" w:hAnsi="Arial" w:cs="Arial"/>
          <w:sz w:val="20"/>
          <w:szCs w:val="20"/>
        </w:rPr>
        <w:t>la condizione morbosa principale trattata o presa in esame durante il ricovero, ovvero la condizione morbosa che nel corso del ricovero ha comportato i più importanti problemi assistenziali e quindi ha assorbito la maggiore quantità di risorse in termini diagnostici e/o di trattamento.</w:t>
      </w:r>
    </w:p>
    <w:p w14:paraId="042E14FC" w14:textId="77777777" w:rsidR="00055770" w:rsidRPr="000950FE" w:rsidRDefault="00055770" w:rsidP="00DD1CCC">
      <w:pPr>
        <w:spacing w:after="120" w:line="240" w:lineRule="auto"/>
        <w:jc w:val="both"/>
        <w:rPr>
          <w:rFonts w:ascii="Arial" w:hAnsi="Arial" w:cs="Arial"/>
          <w:sz w:val="20"/>
          <w:szCs w:val="20"/>
        </w:rPr>
      </w:pPr>
      <w:r w:rsidRPr="000950FE">
        <w:rPr>
          <w:rFonts w:ascii="Arial" w:hAnsi="Arial" w:cs="Arial"/>
          <w:b/>
          <w:bCs/>
          <w:color w:val="44546A" w:themeColor="text2"/>
          <w:sz w:val="20"/>
          <w:szCs w:val="20"/>
        </w:rPr>
        <w:t>Dimissione (ospedaliera):</w:t>
      </w:r>
      <w:r w:rsidRPr="000950FE">
        <w:rPr>
          <w:rFonts w:ascii="Arial" w:hAnsi="Arial" w:cs="Arial"/>
          <w:b/>
          <w:bCs/>
          <w:color w:val="404040" w:themeColor="text1" w:themeTint="BF"/>
          <w:sz w:val="20"/>
          <w:szCs w:val="20"/>
        </w:rPr>
        <w:t xml:space="preserve"> </w:t>
      </w:r>
      <w:r w:rsidRPr="000950FE">
        <w:rPr>
          <w:rFonts w:ascii="Arial" w:hAnsi="Arial" w:cs="Arial"/>
          <w:sz w:val="20"/>
          <w:szCs w:val="20"/>
        </w:rPr>
        <w:t>l’atto del dimettere un paziente da un istituto di cura a conclusione di un periodo di degenza. La dimissione corrisponde all’ultimo contatto con la struttura in cui si è svolto il ciclo assistenziale. La data di dimissione viene registrata sulla cartella clinica.</w:t>
      </w:r>
    </w:p>
    <w:p w14:paraId="76E7BF37" w14:textId="77777777" w:rsidR="00055770" w:rsidRPr="000950FE" w:rsidRDefault="00055770" w:rsidP="00DD1CCC">
      <w:pPr>
        <w:spacing w:after="120" w:line="240" w:lineRule="auto"/>
        <w:jc w:val="both"/>
        <w:rPr>
          <w:rFonts w:ascii="Arial" w:hAnsi="Arial" w:cs="Arial"/>
          <w:sz w:val="20"/>
          <w:szCs w:val="20"/>
        </w:rPr>
      </w:pPr>
      <w:r w:rsidRPr="000950FE">
        <w:rPr>
          <w:rFonts w:ascii="Arial" w:hAnsi="Arial" w:cs="Arial"/>
          <w:b/>
          <w:bCs/>
          <w:color w:val="44546A" w:themeColor="text2"/>
          <w:sz w:val="20"/>
          <w:szCs w:val="20"/>
        </w:rPr>
        <w:t xml:space="preserve">DRG: </w:t>
      </w:r>
      <w:r w:rsidRPr="000950FE">
        <w:rPr>
          <w:rFonts w:ascii="Arial" w:hAnsi="Arial" w:cs="Arial"/>
          <w:sz w:val="20"/>
          <w:szCs w:val="20"/>
        </w:rPr>
        <w:t>categoria di ricoveri ospedalieri definita in modo che essi presentino caratteristiche cliniche analoghe e richiedano per il loro trattamento volumi omogenei di risorse ospedaliere. Per assegnare ciascun episodio di ricovero ad uno specifico DRG sono necessarie le seguenti informazioni: la diagnosi principale di dimissione, tutte le diagnosi secondarie, tutti gli interventi chirurgici e le principali procedure diagnostiche e terapeutiche, l'età, il sesso e la modalità di dimissione. L’attribuzione viene effettuata mediante un algoritmo che analizza le suddette informazioni e determina il gruppo di appartenenza. La versione in uso dal 2009 a tutt’oggi è la versione 24.</w:t>
      </w:r>
    </w:p>
    <w:p w14:paraId="339F9F9C" w14:textId="246C1C07" w:rsidR="00055770" w:rsidRPr="000950FE" w:rsidRDefault="00055770" w:rsidP="00DD1CCC">
      <w:pPr>
        <w:spacing w:after="120" w:line="240" w:lineRule="auto"/>
        <w:jc w:val="both"/>
        <w:rPr>
          <w:rFonts w:ascii="Arial" w:hAnsi="Arial" w:cs="Arial"/>
          <w:b/>
          <w:bCs/>
          <w:color w:val="44546A" w:themeColor="text2"/>
          <w:sz w:val="20"/>
          <w:szCs w:val="20"/>
        </w:rPr>
      </w:pPr>
      <w:r w:rsidRPr="000950FE">
        <w:rPr>
          <w:rFonts w:ascii="Arial" w:hAnsi="Arial" w:cs="Arial"/>
          <w:b/>
          <w:bCs/>
          <w:color w:val="44546A" w:themeColor="text2"/>
          <w:sz w:val="20"/>
          <w:szCs w:val="20"/>
        </w:rPr>
        <w:t xml:space="preserve">International Classification of Diseases </w:t>
      </w:r>
      <w:r w:rsidR="006B2C05" w:rsidRPr="000950FE">
        <w:rPr>
          <w:rFonts w:ascii="Arial" w:hAnsi="Arial" w:cs="Arial"/>
          <w:b/>
          <w:bCs/>
          <w:color w:val="44546A" w:themeColor="text2"/>
          <w:sz w:val="20"/>
          <w:szCs w:val="20"/>
        </w:rPr>
        <w:t xml:space="preserve">– 9th revision </w:t>
      </w:r>
      <w:r w:rsidRPr="000950FE">
        <w:rPr>
          <w:rFonts w:ascii="Arial" w:hAnsi="Arial" w:cs="Arial"/>
          <w:b/>
          <w:bCs/>
          <w:color w:val="44546A" w:themeColor="text2"/>
          <w:sz w:val="20"/>
          <w:szCs w:val="20"/>
        </w:rPr>
        <w:t>(</w:t>
      </w:r>
      <w:r w:rsidR="006B2C05" w:rsidRPr="000950FE">
        <w:rPr>
          <w:rFonts w:ascii="Arial" w:hAnsi="Arial" w:cs="Arial"/>
          <w:b/>
          <w:bCs/>
          <w:color w:val="44546A" w:themeColor="text2"/>
          <w:sz w:val="20"/>
          <w:szCs w:val="20"/>
        </w:rPr>
        <w:t>ICD-9</w:t>
      </w:r>
      <w:r w:rsidRPr="000950FE">
        <w:rPr>
          <w:rFonts w:ascii="Arial" w:hAnsi="Arial" w:cs="Arial"/>
          <w:b/>
          <w:bCs/>
          <w:color w:val="44546A" w:themeColor="text2"/>
          <w:sz w:val="20"/>
          <w:szCs w:val="20"/>
        </w:rPr>
        <w:t>):</w:t>
      </w:r>
      <w:r w:rsidRPr="000950FE">
        <w:rPr>
          <w:rFonts w:ascii="Arial" w:hAnsi="Arial" w:cs="Arial"/>
          <w:b/>
          <w:bCs/>
          <w:color w:val="404040" w:themeColor="text1" w:themeTint="BF"/>
          <w:sz w:val="20"/>
          <w:szCs w:val="20"/>
        </w:rPr>
        <w:t xml:space="preserve"> </w:t>
      </w:r>
      <w:r w:rsidR="006B2C05" w:rsidRPr="000950FE">
        <w:rPr>
          <w:rFonts w:ascii="Arial" w:hAnsi="Arial" w:cs="Arial"/>
          <w:sz w:val="20"/>
          <w:szCs w:val="20"/>
        </w:rPr>
        <w:t>basata sulle raccomandazioni dell’Organizzazione Mondiale della Sanità formulate in occasione della IX Conferenza di revisione tenutasi a Ginevra nel 1975, costituisce lo strumento fondamentale per la codifica degli eventi morbosi</w:t>
      </w:r>
      <w:r w:rsidRPr="000950FE">
        <w:rPr>
          <w:rFonts w:ascii="Arial" w:hAnsi="Arial" w:cs="Arial"/>
          <w:sz w:val="20"/>
          <w:szCs w:val="20"/>
        </w:rPr>
        <w:t>.</w:t>
      </w:r>
    </w:p>
    <w:p w14:paraId="0DBAFC9D" w14:textId="497359B9" w:rsidR="00055770" w:rsidRPr="000950FE" w:rsidRDefault="00055770" w:rsidP="00DD1CCC">
      <w:pPr>
        <w:spacing w:after="120" w:line="240" w:lineRule="auto"/>
        <w:jc w:val="both"/>
        <w:rPr>
          <w:rFonts w:ascii="Arial" w:hAnsi="Arial" w:cs="Arial"/>
          <w:sz w:val="20"/>
          <w:szCs w:val="20"/>
        </w:rPr>
      </w:pPr>
      <w:r w:rsidRPr="000950FE">
        <w:rPr>
          <w:rFonts w:ascii="Arial" w:hAnsi="Arial" w:cs="Arial"/>
          <w:b/>
          <w:bCs/>
          <w:color w:val="44546A" w:themeColor="text2"/>
          <w:sz w:val="20"/>
          <w:szCs w:val="20"/>
        </w:rPr>
        <w:t>International classification of diseases – 9th revision – clinical modification (I</w:t>
      </w:r>
      <w:r w:rsidR="00874C11" w:rsidRPr="000950FE">
        <w:rPr>
          <w:rFonts w:ascii="Arial" w:hAnsi="Arial" w:cs="Arial"/>
          <w:b/>
          <w:bCs/>
          <w:color w:val="44546A" w:themeColor="text2"/>
          <w:sz w:val="20"/>
          <w:szCs w:val="20"/>
        </w:rPr>
        <w:t>CD-9-CM</w:t>
      </w:r>
      <w:r w:rsidRPr="000950FE">
        <w:rPr>
          <w:rFonts w:ascii="Arial" w:hAnsi="Arial" w:cs="Arial"/>
          <w:b/>
          <w:bCs/>
          <w:color w:val="44546A" w:themeColor="text2"/>
          <w:sz w:val="20"/>
          <w:szCs w:val="20"/>
        </w:rPr>
        <w:t>):</w:t>
      </w:r>
      <w:r w:rsidRPr="000950FE">
        <w:rPr>
          <w:rFonts w:ascii="Arial" w:hAnsi="Arial" w:cs="Arial"/>
          <w:b/>
          <w:bCs/>
          <w:color w:val="404040" w:themeColor="text1" w:themeTint="BF"/>
          <w:sz w:val="20"/>
          <w:szCs w:val="20"/>
        </w:rPr>
        <w:t xml:space="preserve"> </w:t>
      </w:r>
      <w:r w:rsidRPr="000950FE">
        <w:rPr>
          <w:rFonts w:ascii="Arial" w:hAnsi="Arial" w:cs="Arial"/>
          <w:sz w:val="20"/>
          <w:szCs w:val="20"/>
        </w:rPr>
        <w:t>versione modificata ed ampliata della I</w:t>
      </w:r>
      <w:r w:rsidR="00874C11" w:rsidRPr="000950FE">
        <w:rPr>
          <w:rFonts w:ascii="Arial" w:hAnsi="Arial" w:cs="Arial"/>
          <w:sz w:val="20"/>
          <w:szCs w:val="20"/>
        </w:rPr>
        <w:t>CD-9</w:t>
      </w:r>
      <w:r w:rsidRPr="000950FE">
        <w:rPr>
          <w:rFonts w:ascii="Arial" w:hAnsi="Arial" w:cs="Arial"/>
          <w:sz w:val="20"/>
          <w:szCs w:val="20"/>
        </w:rPr>
        <w:t xml:space="preserve"> (International classification of diseases, IX revision, Ginevra, 1975), prevalentemente utilizzata per la classificazione delle cause di morte. La </w:t>
      </w:r>
      <w:r w:rsidR="00874C11" w:rsidRPr="000950FE">
        <w:rPr>
          <w:rFonts w:ascii="Arial" w:hAnsi="Arial" w:cs="Arial"/>
          <w:sz w:val="20"/>
          <w:szCs w:val="20"/>
        </w:rPr>
        <w:t>ICD-9-CM</w:t>
      </w:r>
      <w:r w:rsidRPr="000950FE">
        <w:rPr>
          <w:rFonts w:ascii="Arial" w:hAnsi="Arial" w:cs="Arial"/>
          <w:sz w:val="20"/>
          <w:szCs w:val="20"/>
        </w:rPr>
        <w:t>, maggiormente orientata a classificare i dati di morbosità, consente una più precisa codifica delle formulazioni diagnostiche, sia attraverso l'utilizzo di un quinto carattere per le diagnosi (la I</w:t>
      </w:r>
      <w:r w:rsidR="00874C11" w:rsidRPr="000950FE">
        <w:rPr>
          <w:rFonts w:ascii="Arial" w:hAnsi="Arial" w:cs="Arial"/>
          <w:sz w:val="20"/>
          <w:szCs w:val="20"/>
        </w:rPr>
        <w:t>CD-9</w:t>
      </w:r>
      <w:r w:rsidRPr="000950FE">
        <w:rPr>
          <w:rFonts w:ascii="Arial" w:hAnsi="Arial" w:cs="Arial"/>
          <w:sz w:val="20"/>
          <w:szCs w:val="20"/>
        </w:rPr>
        <w:t xml:space="preserve"> ne prevede quattro), sia attraverso una classificazione ad hoc per gli interventi e le procedure. La versione italiana in uso dal 2009 a tutt’oggi è la versione 2007.</w:t>
      </w:r>
    </w:p>
    <w:p w14:paraId="5979DDD0" w14:textId="70EF72E4" w:rsidR="00055770" w:rsidRPr="000950FE" w:rsidRDefault="00055770" w:rsidP="00DD1CCC">
      <w:pPr>
        <w:spacing w:after="120" w:line="240" w:lineRule="auto"/>
        <w:jc w:val="both"/>
        <w:rPr>
          <w:rFonts w:ascii="Arial" w:hAnsi="Arial" w:cs="Arial"/>
          <w:bCs/>
          <w:sz w:val="20"/>
          <w:szCs w:val="20"/>
        </w:rPr>
      </w:pPr>
      <w:r w:rsidRPr="000950FE">
        <w:rPr>
          <w:rFonts w:ascii="Arial" w:hAnsi="Arial" w:cs="Arial"/>
          <w:b/>
          <w:bCs/>
          <w:color w:val="44546A" w:themeColor="text2"/>
          <w:sz w:val="20"/>
          <w:szCs w:val="20"/>
        </w:rPr>
        <w:t>Osservazione breve intensiva (O</w:t>
      </w:r>
      <w:r w:rsidR="00874C11" w:rsidRPr="000950FE">
        <w:rPr>
          <w:rFonts w:ascii="Arial" w:hAnsi="Arial" w:cs="Arial"/>
          <w:b/>
          <w:bCs/>
          <w:color w:val="44546A" w:themeColor="text2"/>
          <w:sz w:val="20"/>
          <w:szCs w:val="20"/>
        </w:rPr>
        <w:t>BI</w:t>
      </w:r>
      <w:r w:rsidRPr="000950FE">
        <w:rPr>
          <w:rFonts w:ascii="Arial" w:hAnsi="Arial" w:cs="Arial"/>
          <w:b/>
          <w:bCs/>
          <w:color w:val="44546A" w:themeColor="text2"/>
          <w:sz w:val="20"/>
          <w:szCs w:val="20"/>
        </w:rPr>
        <w:t>):</w:t>
      </w:r>
      <w:r w:rsidRPr="000950FE">
        <w:rPr>
          <w:rFonts w:ascii="Arial" w:hAnsi="Arial" w:cs="Arial"/>
          <w:bCs/>
          <w:color w:val="404040" w:themeColor="text1" w:themeTint="BF"/>
          <w:sz w:val="20"/>
          <w:szCs w:val="20"/>
        </w:rPr>
        <w:t xml:space="preserve"> </w:t>
      </w:r>
      <w:r w:rsidRPr="000950FE">
        <w:rPr>
          <w:rFonts w:ascii="Arial" w:hAnsi="Arial" w:cs="Arial"/>
          <w:bCs/>
          <w:sz w:val="20"/>
          <w:szCs w:val="20"/>
        </w:rPr>
        <w:t>modalità di gestione delle emergenze-urgenze per pazienti con problemi clinici acuti ad alto grado di criticità ma a basso rischio evolutivo, oppure a bassa criticità ma con potenziale rischio evolutivo, aventi un’elevata probabilità di reversibilità, con necessità di un iter diagnostico e terapeutico non differibile e/o non gestibile in altri contesti assistenziali. Tale modalità, caratterizzata da un’alta intensità assistenziale, per il notevole impegno del personale medico ed infermieristico, l’esecuzione di accertamenti diagnostici, il monitoraggio clinico e la pianificazione di strategie terapeutiche, viene erogata in un arco di tempo definito e limitato, al fine di individuare il livello di trattamento assistenziale più idoneo.</w:t>
      </w:r>
    </w:p>
    <w:p w14:paraId="333F590B" w14:textId="77777777" w:rsidR="00150772" w:rsidRPr="000950FE" w:rsidRDefault="00150772" w:rsidP="00DD1CCC">
      <w:pPr>
        <w:spacing w:after="120" w:line="240" w:lineRule="auto"/>
        <w:jc w:val="both"/>
        <w:rPr>
          <w:rFonts w:ascii="Arial" w:hAnsi="Arial" w:cs="Arial"/>
          <w:sz w:val="20"/>
          <w:szCs w:val="20"/>
        </w:rPr>
      </w:pPr>
      <w:r w:rsidRPr="000950FE">
        <w:rPr>
          <w:rFonts w:ascii="Arial" w:hAnsi="Arial" w:cs="Arial"/>
          <w:b/>
          <w:bCs/>
          <w:color w:val="44546A" w:themeColor="text2"/>
          <w:sz w:val="20"/>
          <w:szCs w:val="20"/>
        </w:rPr>
        <w:t>Peso relativo per DRG:</w:t>
      </w:r>
      <w:r w:rsidRPr="000950FE">
        <w:rPr>
          <w:rFonts w:ascii="Arial" w:hAnsi="Arial" w:cs="Arial"/>
          <w:b/>
          <w:bCs/>
          <w:color w:val="404040" w:themeColor="text1" w:themeTint="BF"/>
          <w:sz w:val="20"/>
          <w:szCs w:val="20"/>
        </w:rPr>
        <w:t xml:space="preserve"> </w:t>
      </w:r>
      <w:r w:rsidRPr="000950FE">
        <w:rPr>
          <w:rFonts w:ascii="Arial" w:hAnsi="Arial" w:cs="Arial"/>
          <w:sz w:val="20"/>
          <w:szCs w:val="20"/>
        </w:rPr>
        <w:t>fornisce una misura del consumo medio di risorse associato ai ricoveri afferenti a ciascun DRG: maggiore è il peso e più elevato risulterà il carico assistenziale della corrispondente casistica. Conseguentemente, il peso relativo può essere impiegato come indicatore proxy della complessità del ricovero, in base all’ipotesi di correlazione positiva fra complessità clinica e consumo di risorse. Il sistema di pesi per la versione DRG 24 è stato pubblicato nel D.M. del Ministero della Salute del 18/12/2008.</w:t>
      </w:r>
    </w:p>
    <w:p w14:paraId="2047C4BA" w14:textId="274B2061" w:rsidR="0067640A" w:rsidRPr="000950FE" w:rsidRDefault="002435C6" w:rsidP="00DD1CCC">
      <w:pPr>
        <w:pStyle w:val="NormaleWeb"/>
        <w:shd w:val="clear" w:color="auto" w:fill="FFFFFF"/>
        <w:spacing w:before="0" w:beforeAutospacing="0" w:after="120" w:afterAutospacing="0"/>
        <w:jc w:val="both"/>
        <w:rPr>
          <w:rFonts w:ascii="Arial" w:eastAsiaTheme="minorHAnsi" w:hAnsi="Arial" w:cs="Arial"/>
          <w:b/>
          <w:bCs/>
          <w:color w:val="44546A" w:themeColor="text2"/>
          <w:sz w:val="20"/>
          <w:szCs w:val="20"/>
          <w:lang w:eastAsia="en-US"/>
        </w:rPr>
      </w:pPr>
      <w:r w:rsidRPr="000950FE">
        <w:rPr>
          <w:rFonts w:ascii="Arial" w:eastAsiaTheme="minorHAnsi" w:hAnsi="Arial" w:cs="Arial"/>
          <w:b/>
          <w:bCs/>
          <w:color w:val="44546A" w:themeColor="text2"/>
          <w:sz w:val="20"/>
          <w:szCs w:val="20"/>
          <w:lang w:eastAsia="en-US"/>
        </w:rPr>
        <w:t>Problema principale</w:t>
      </w:r>
      <w:r w:rsidR="00624C84" w:rsidRPr="000950FE">
        <w:rPr>
          <w:rFonts w:ascii="Arial" w:eastAsiaTheme="minorHAnsi" w:hAnsi="Arial" w:cs="Arial"/>
          <w:b/>
          <w:bCs/>
          <w:color w:val="44546A" w:themeColor="text2"/>
          <w:sz w:val="20"/>
          <w:szCs w:val="20"/>
          <w:lang w:eastAsia="en-US"/>
        </w:rPr>
        <w:t xml:space="preserve"> (pronto soccorso)</w:t>
      </w:r>
      <w:r w:rsidRPr="000950FE">
        <w:rPr>
          <w:rFonts w:ascii="Arial" w:eastAsiaTheme="minorHAnsi" w:hAnsi="Arial" w:cs="Arial"/>
          <w:b/>
          <w:bCs/>
          <w:color w:val="44546A" w:themeColor="text2"/>
          <w:sz w:val="20"/>
          <w:szCs w:val="20"/>
          <w:lang w:eastAsia="en-US"/>
        </w:rPr>
        <w:t>:</w:t>
      </w:r>
      <w:r w:rsidRPr="000950FE">
        <w:rPr>
          <w:rFonts w:ascii="Arial" w:hAnsi="Arial" w:cs="Arial"/>
          <w:b/>
          <w:bCs/>
          <w:color w:val="404040" w:themeColor="text1" w:themeTint="BF"/>
          <w:sz w:val="20"/>
          <w:szCs w:val="20"/>
        </w:rPr>
        <w:t xml:space="preserve"> </w:t>
      </w:r>
      <w:r w:rsidR="003337F8" w:rsidRPr="000950FE">
        <w:rPr>
          <w:rFonts w:ascii="Arial" w:eastAsiaTheme="minorHAnsi" w:hAnsi="Arial" w:cs="Arial"/>
          <w:sz w:val="20"/>
          <w:szCs w:val="20"/>
          <w:lang w:eastAsia="en-US"/>
        </w:rPr>
        <w:t>indica il problema principale riscontrato/percepito al momento del triage</w:t>
      </w:r>
      <w:r w:rsidR="005D714F" w:rsidRPr="000950FE">
        <w:rPr>
          <w:rFonts w:ascii="Arial" w:eastAsiaTheme="minorHAnsi" w:hAnsi="Arial" w:cs="Arial"/>
          <w:sz w:val="20"/>
          <w:szCs w:val="20"/>
          <w:lang w:eastAsia="en-US"/>
        </w:rPr>
        <w:t xml:space="preserve"> in pronto soccorso</w:t>
      </w:r>
      <w:r w:rsidR="003337F8" w:rsidRPr="000950FE">
        <w:rPr>
          <w:rFonts w:ascii="Arial" w:eastAsiaTheme="minorHAnsi" w:hAnsi="Arial" w:cs="Arial"/>
          <w:sz w:val="20"/>
          <w:szCs w:val="20"/>
          <w:lang w:eastAsia="en-US"/>
        </w:rPr>
        <w:t xml:space="preserve">. </w:t>
      </w:r>
    </w:p>
    <w:p w14:paraId="7C52E337" w14:textId="3DCB2DEA" w:rsidR="00055770" w:rsidRPr="000950FE" w:rsidRDefault="00055770" w:rsidP="00DD1CCC">
      <w:pPr>
        <w:pStyle w:val="NormaleWeb"/>
        <w:shd w:val="clear" w:color="auto" w:fill="FFFFFF"/>
        <w:spacing w:before="0" w:beforeAutospacing="0" w:after="120" w:afterAutospacing="0"/>
        <w:jc w:val="both"/>
        <w:rPr>
          <w:rFonts w:ascii="Arial" w:hAnsi="Arial" w:cs="Arial"/>
          <w:bCs/>
          <w:sz w:val="20"/>
          <w:szCs w:val="20"/>
        </w:rPr>
      </w:pPr>
      <w:r w:rsidRPr="000950FE">
        <w:rPr>
          <w:rFonts w:ascii="Arial" w:eastAsiaTheme="minorHAnsi" w:hAnsi="Arial" w:cs="Arial"/>
          <w:b/>
          <w:bCs/>
          <w:color w:val="44546A" w:themeColor="text2"/>
          <w:sz w:val="20"/>
          <w:szCs w:val="20"/>
          <w:lang w:eastAsia="en-US"/>
        </w:rPr>
        <w:t>Regime di ricovero:</w:t>
      </w:r>
      <w:r w:rsidRPr="000950FE">
        <w:rPr>
          <w:rFonts w:ascii="Arial" w:hAnsi="Arial" w:cs="Arial"/>
          <w:b/>
          <w:bCs/>
          <w:color w:val="404040" w:themeColor="text1" w:themeTint="BF"/>
          <w:sz w:val="20"/>
          <w:szCs w:val="20"/>
        </w:rPr>
        <w:t xml:space="preserve"> </w:t>
      </w:r>
      <w:r w:rsidRPr="000950FE">
        <w:rPr>
          <w:rFonts w:ascii="Arial" w:hAnsi="Arial" w:cs="Arial"/>
          <w:bCs/>
          <w:sz w:val="20"/>
          <w:szCs w:val="20"/>
        </w:rPr>
        <w:t>distingue tra il ricovero ordinario, che prevede il pernottamento nella struttura ospedaliera, ed il ricovero diurno (vedi voce corrispondente), caratterizzato dalla presenza in ospedale solo per una parte della giornata.</w:t>
      </w:r>
    </w:p>
    <w:p w14:paraId="12E3B868" w14:textId="35102D07" w:rsidR="00055770" w:rsidRPr="000950FE" w:rsidRDefault="00055770">
      <w:pPr>
        <w:pStyle w:val="NormaleWeb"/>
        <w:shd w:val="clear" w:color="auto" w:fill="FFFFFF"/>
        <w:spacing w:before="0" w:beforeAutospacing="0" w:after="120" w:afterAutospacing="0"/>
        <w:jc w:val="both"/>
        <w:rPr>
          <w:rFonts w:ascii="Arial" w:hAnsi="Arial" w:cs="Arial"/>
          <w:b/>
          <w:bCs/>
          <w:color w:val="44546A" w:themeColor="text2"/>
          <w:sz w:val="20"/>
          <w:szCs w:val="20"/>
        </w:rPr>
      </w:pPr>
      <w:r w:rsidRPr="000950FE">
        <w:rPr>
          <w:rFonts w:ascii="Arial" w:eastAsiaTheme="minorHAnsi" w:hAnsi="Arial" w:cs="Arial"/>
          <w:b/>
          <w:bCs/>
          <w:color w:val="44546A" w:themeColor="text2"/>
          <w:sz w:val="20"/>
          <w:szCs w:val="20"/>
          <w:lang w:eastAsia="en-US"/>
        </w:rPr>
        <w:t>Ricovero ospedaliero</w:t>
      </w:r>
      <w:r w:rsidRPr="000950FE">
        <w:rPr>
          <w:rFonts w:ascii="Arial" w:hAnsi="Arial" w:cs="Arial"/>
          <w:b/>
          <w:bCs/>
          <w:color w:val="404040" w:themeColor="text1" w:themeTint="BF"/>
          <w:sz w:val="20"/>
          <w:szCs w:val="20"/>
        </w:rPr>
        <w:t xml:space="preserve">: </w:t>
      </w:r>
      <w:r w:rsidRPr="000950FE">
        <w:rPr>
          <w:rFonts w:ascii="Arial" w:hAnsi="Arial" w:cs="Arial"/>
          <w:bCs/>
          <w:sz w:val="20"/>
          <w:szCs w:val="20"/>
        </w:rPr>
        <w:t xml:space="preserve">l’ammissione in un istituto di cura, vale a dire in una struttura </w:t>
      </w:r>
      <w:r w:rsidR="00383FA9">
        <w:rPr>
          <w:rFonts w:ascii="Arial" w:hAnsi="Arial" w:cs="Arial"/>
          <w:bCs/>
          <w:sz w:val="20"/>
          <w:szCs w:val="20"/>
        </w:rPr>
        <w:t xml:space="preserve">di cura </w:t>
      </w:r>
      <w:r w:rsidRPr="000950FE">
        <w:rPr>
          <w:rFonts w:ascii="Arial" w:hAnsi="Arial" w:cs="Arial"/>
          <w:bCs/>
          <w:sz w:val="20"/>
          <w:szCs w:val="20"/>
        </w:rPr>
        <w:t>residenziale dotata di medici professionisti e di servizi sanitari per l’assistenza medica e infermieristica, la diagnosi, la cura e la riabilitazione dei degenti.</w:t>
      </w:r>
    </w:p>
    <w:p w14:paraId="45263856" w14:textId="77777777" w:rsidR="00055770" w:rsidRPr="000950FE" w:rsidRDefault="00055770">
      <w:pPr>
        <w:pStyle w:val="NormaleWeb"/>
        <w:shd w:val="clear" w:color="auto" w:fill="FFFFFF"/>
        <w:spacing w:before="0" w:beforeAutospacing="0" w:after="120" w:afterAutospacing="0"/>
        <w:jc w:val="both"/>
        <w:rPr>
          <w:rFonts w:ascii="Arial" w:hAnsi="Arial" w:cs="Arial"/>
          <w:bCs/>
          <w:sz w:val="20"/>
          <w:szCs w:val="20"/>
        </w:rPr>
      </w:pPr>
      <w:r w:rsidRPr="000950FE">
        <w:rPr>
          <w:rFonts w:ascii="Arial" w:eastAsiaTheme="minorHAnsi" w:hAnsi="Arial" w:cs="Arial"/>
          <w:b/>
          <w:bCs/>
          <w:color w:val="44546A" w:themeColor="text2"/>
          <w:sz w:val="20"/>
          <w:szCs w:val="20"/>
          <w:lang w:eastAsia="en-US"/>
        </w:rPr>
        <w:t>Ripartizioni geografiche:</w:t>
      </w:r>
      <w:r w:rsidRPr="000950FE">
        <w:rPr>
          <w:rFonts w:ascii="Arial" w:hAnsi="Arial" w:cs="Arial"/>
          <w:bCs/>
          <w:color w:val="404040" w:themeColor="text1" w:themeTint="BF"/>
          <w:sz w:val="20"/>
          <w:szCs w:val="20"/>
        </w:rPr>
        <w:t xml:space="preserve"> </w:t>
      </w:r>
      <w:r w:rsidRPr="000950FE">
        <w:rPr>
          <w:rFonts w:ascii="Arial" w:hAnsi="Arial" w:cs="Arial"/>
          <w:bCs/>
          <w:sz w:val="20"/>
          <w:szCs w:val="20"/>
        </w:rPr>
        <w:t xml:space="preserve">suddivisione geografica del territorio che comprende Nord (Nord-ovest, Nord-est), Centro, Mezzogiorno (Sud e Isole). </w:t>
      </w:r>
      <w:r w:rsidRPr="000950FE">
        <w:rPr>
          <w:rFonts w:ascii="Arial" w:hAnsi="Arial" w:cs="Arial"/>
          <w:b/>
          <w:bCs/>
          <w:color w:val="44546A" w:themeColor="text2"/>
          <w:sz w:val="20"/>
          <w:szCs w:val="20"/>
        </w:rPr>
        <w:t>Nord</w:t>
      </w:r>
      <w:r w:rsidRPr="000950FE">
        <w:rPr>
          <w:rFonts w:ascii="Arial" w:hAnsi="Arial" w:cs="Arial"/>
          <w:bCs/>
          <w:sz w:val="20"/>
          <w:szCs w:val="20"/>
        </w:rPr>
        <w:t>: comprende Piemonte, Valle d’Aosta/</w:t>
      </w:r>
      <w:r w:rsidRPr="000950FE">
        <w:rPr>
          <w:rFonts w:ascii="Arial" w:hAnsi="Arial" w:cs="Arial"/>
          <w:bCs/>
          <w:i/>
          <w:iCs/>
          <w:sz w:val="20"/>
          <w:szCs w:val="20"/>
        </w:rPr>
        <w:t>Vallée d’Aoste</w:t>
      </w:r>
      <w:r w:rsidRPr="000950FE">
        <w:rPr>
          <w:rFonts w:ascii="Arial" w:hAnsi="Arial" w:cs="Arial"/>
          <w:bCs/>
          <w:sz w:val="20"/>
          <w:szCs w:val="20"/>
        </w:rPr>
        <w:t>, Liguria, Lombardia (Nord-ovest); Trentino-Alto Adige (Bolzano-</w:t>
      </w:r>
      <w:r w:rsidRPr="000950FE">
        <w:rPr>
          <w:rFonts w:ascii="Arial" w:hAnsi="Arial" w:cs="Arial"/>
          <w:bCs/>
          <w:i/>
          <w:iCs/>
          <w:sz w:val="20"/>
          <w:szCs w:val="20"/>
        </w:rPr>
        <w:t>Bozen</w:t>
      </w:r>
      <w:r w:rsidRPr="000950FE">
        <w:rPr>
          <w:rFonts w:ascii="Arial" w:hAnsi="Arial" w:cs="Arial"/>
          <w:bCs/>
          <w:sz w:val="20"/>
          <w:szCs w:val="20"/>
        </w:rPr>
        <w:t xml:space="preserve">, Trento), Veneto, Friuli-Venezia Giulia, Emilia-Romagna (Nord-est). </w:t>
      </w:r>
      <w:r w:rsidRPr="000950FE">
        <w:rPr>
          <w:rFonts w:ascii="Arial" w:hAnsi="Arial" w:cs="Arial"/>
          <w:b/>
          <w:bCs/>
          <w:color w:val="44546A" w:themeColor="text2"/>
          <w:sz w:val="20"/>
          <w:szCs w:val="20"/>
        </w:rPr>
        <w:t>Centro</w:t>
      </w:r>
      <w:r w:rsidRPr="000950FE">
        <w:rPr>
          <w:rFonts w:ascii="Arial" w:hAnsi="Arial" w:cs="Arial"/>
          <w:bCs/>
          <w:sz w:val="20"/>
          <w:szCs w:val="20"/>
        </w:rPr>
        <w:t xml:space="preserve">: comprende Toscana, Umbria, Marche, Lazio. </w:t>
      </w:r>
      <w:r w:rsidRPr="000950FE">
        <w:rPr>
          <w:rFonts w:ascii="Arial" w:hAnsi="Arial" w:cs="Arial"/>
          <w:b/>
          <w:bCs/>
          <w:color w:val="44546A" w:themeColor="text2"/>
          <w:sz w:val="20"/>
          <w:szCs w:val="20"/>
        </w:rPr>
        <w:t>Mezzogiorno</w:t>
      </w:r>
      <w:r w:rsidRPr="000950FE">
        <w:rPr>
          <w:rFonts w:ascii="Arial" w:hAnsi="Arial" w:cs="Arial"/>
          <w:bCs/>
          <w:sz w:val="20"/>
          <w:szCs w:val="20"/>
        </w:rPr>
        <w:t>: comprende Abruzzo, Molise, Campania, Puglia, Basilicata, Calabria (Sud); Sicilia, Sardegna (Isole).</w:t>
      </w:r>
    </w:p>
    <w:p w14:paraId="548A4FAE" w14:textId="77777777" w:rsidR="00C82390" w:rsidRPr="000950FE" w:rsidRDefault="00C82390">
      <w:pPr>
        <w:pStyle w:val="NormaleWeb"/>
        <w:shd w:val="clear" w:color="auto" w:fill="FFFFFF"/>
        <w:spacing w:before="0" w:beforeAutospacing="0" w:after="120" w:afterAutospacing="0"/>
        <w:jc w:val="both"/>
        <w:rPr>
          <w:rFonts w:ascii="Arial" w:hAnsi="Arial" w:cs="Arial"/>
          <w:bCs/>
          <w:sz w:val="20"/>
          <w:szCs w:val="20"/>
        </w:rPr>
      </w:pPr>
      <w:r w:rsidRPr="000950FE">
        <w:rPr>
          <w:rFonts w:ascii="Arial" w:eastAsiaTheme="minorHAnsi" w:hAnsi="Arial" w:cs="Arial"/>
          <w:b/>
          <w:bCs/>
          <w:color w:val="44546A" w:themeColor="text2"/>
          <w:sz w:val="20"/>
          <w:szCs w:val="20"/>
          <w:lang w:eastAsia="en-US"/>
        </w:rPr>
        <w:t>Rapporto proporzionale di ospedalizzazione standardizzato (RPO):</w:t>
      </w:r>
      <w:r w:rsidRPr="000950FE">
        <w:rPr>
          <w:rFonts w:ascii="Arial" w:hAnsi="Arial" w:cs="Arial"/>
          <w:bCs/>
          <w:color w:val="404040" w:themeColor="text1" w:themeTint="BF"/>
          <w:sz w:val="20"/>
          <w:szCs w:val="20"/>
        </w:rPr>
        <w:t xml:space="preserve"> </w:t>
      </w:r>
      <w:r w:rsidRPr="000950FE">
        <w:rPr>
          <w:rFonts w:ascii="Arial" w:hAnsi="Arial" w:cs="Arial"/>
          <w:bCs/>
          <w:sz w:val="20"/>
          <w:szCs w:val="20"/>
        </w:rPr>
        <w:t>rapporto tra la proporzione standardizzata per età degli accessi in pronto soccorso o dei ricoveri ospedalieri che menzionano una certa diagnosi negli accessi o nei ricoveri con diagnosi di violenza e la stessa proporzione tra gli accessi o i ricoveri senza diagnosi di violenza. Per la standardizzazione delle proporzioni è stata utilizzata la distribuzione per età degli accessi o dei ricoveri complessivi.</w:t>
      </w:r>
    </w:p>
    <w:p w14:paraId="0E47CA06" w14:textId="053046AC" w:rsidR="007E4A00" w:rsidRPr="000950FE" w:rsidRDefault="007E4A00">
      <w:pPr>
        <w:pStyle w:val="NormaleWeb"/>
        <w:shd w:val="clear" w:color="auto" w:fill="FFFFFF"/>
        <w:spacing w:before="0" w:beforeAutospacing="0" w:after="120" w:afterAutospacing="0"/>
        <w:jc w:val="both"/>
        <w:rPr>
          <w:rFonts w:ascii="Arial" w:hAnsi="Arial" w:cs="Arial"/>
          <w:bCs/>
          <w:sz w:val="20"/>
          <w:szCs w:val="20"/>
        </w:rPr>
      </w:pPr>
      <w:r w:rsidRPr="00CB4686">
        <w:rPr>
          <w:rFonts w:ascii="Arial" w:eastAsiaTheme="minorHAnsi" w:hAnsi="Arial" w:cs="Arial"/>
          <w:b/>
          <w:bCs/>
          <w:color w:val="44546A" w:themeColor="text2"/>
          <w:sz w:val="20"/>
          <w:szCs w:val="20"/>
          <w:lang w:eastAsia="en-US"/>
        </w:rPr>
        <w:lastRenderedPageBreak/>
        <w:t>Tasso di accessi</w:t>
      </w:r>
      <w:r w:rsidR="00294E6A" w:rsidRPr="00CB4686">
        <w:rPr>
          <w:rFonts w:ascii="Arial" w:eastAsiaTheme="minorHAnsi" w:hAnsi="Arial" w:cs="Arial"/>
          <w:b/>
          <w:bCs/>
          <w:color w:val="44546A" w:themeColor="text2"/>
          <w:sz w:val="20"/>
          <w:szCs w:val="20"/>
          <w:lang w:eastAsia="en-US"/>
        </w:rPr>
        <w:t xml:space="preserve"> in pronto soccorso</w:t>
      </w:r>
      <w:r w:rsidR="006B2C05" w:rsidRPr="00CB4686">
        <w:rPr>
          <w:rFonts w:ascii="Arial" w:eastAsiaTheme="minorHAnsi" w:hAnsi="Arial" w:cs="Arial"/>
          <w:b/>
          <w:bCs/>
          <w:color w:val="44546A" w:themeColor="text2"/>
          <w:sz w:val="20"/>
          <w:szCs w:val="20"/>
          <w:lang w:eastAsia="en-US"/>
        </w:rPr>
        <w:t xml:space="preserve"> </w:t>
      </w:r>
      <w:r w:rsidR="005D714F" w:rsidRPr="00CB4686">
        <w:rPr>
          <w:rFonts w:ascii="Arial" w:eastAsiaTheme="minorHAnsi" w:hAnsi="Arial" w:cs="Arial"/>
          <w:b/>
          <w:bCs/>
          <w:color w:val="44546A" w:themeColor="text2"/>
          <w:sz w:val="20"/>
          <w:szCs w:val="20"/>
          <w:lang w:eastAsia="en-US"/>
        </w:rPr>
        <w:t xml:space="preserve">e </w:t>
      </w:r>
      <w:r w:rsidR="006B2C05" w:rsidRPr="00CB4686">
        <w:rPr>
          <w:rFonts w:ascii="Arial" w:eastAsiaTheme="minorHAnsi" w:hAnsi="Arial" w:cs="Arial"/>
          <w:b/>
          <w:bCs/>
          <w:color w:val="44546A" w:themeColor="text2"/>
          <w:sz w:val="20"/>
          <w:szCs w:val="20"/>
          <w:lang w:eastAsia="en-US"/>
        </w:rPr>
        <w:t xml:space="preserve">di </w:t>
      </w:r>
      <w:r w:rsidR="005E4961" w:rsidRPr="00CB4686">
        <w:rPr>
          <w:rFonts w:ascii="Arial" w:eastAsiaTheme="minorHAnsi" w:hAnsi="Arial" w:cs="Arial"/>
          <w:b/>
          <w:bCs/>
          <w:color w:val="44546A" w:themeColor="text2"/>
          <w:sz w:val="20"/>
          <w:szCs w:val="20"/>
          <w:lang w:eastAsia="en-US"/>
        </w:rPr>
        <w:t>ricovero</w:t>
      </w:r>
      <w:r w:rsidR="00294E6A" w:rsidRPr="00CB4686">
        <w:rPr>
          <w:rFonts w:ascii="Arial" w:eastAsiaTheme="minorHAnsi" w:hAnsi="Arial" w:cs="Arial"/>
          <w:b/>
          <w:bCs/>
          <w:color w:val="44546A" w:themeColor="text2"/>
          <w:sz w:val="20"/>
          <w:szCs w:val="20"/>
          <w:lang w:eastAsia="en-US"/>
        </w:rPr>
        <w:t>:</w:t>
      </w:r>
      <w:r w:rsidR="00294E6A" w:rsidRPr="000950FE">
        <w:rPr>
          <w:rFonts w:ascii="Arial" w:eastAsiaTheme="minorHAnsi" w:hAnsi="Arial" w:cs="Arial"/>
          <w:b/>
          <w:bCs/>
          <w:color w:val="44546A" w:themeColor="text2"/>
          <w:sz w:val="20"/>
          <w:szCs w:val="20"/>
          <w:lang w:eastAsia="en-US"/>
        </w:rPr>
        <w:t xml:space="preserve"> </w:t>
      </w:r>
      <w:r w:rsidR="00294E6A" w:rsidRPr="000950FE">
        <w:rPr>
          <w:rFonts w:ascii="Arial" w:hAnsi="Arial" w:cs="Arial"/>
          <w:bCs/>
          <w:sz w:val="20"/>
          <w:szCs w:val="20"/>
        </w:rPr>
        <w:t xml:space="preserve">calcolato rapportando </w:t>
      </w:r>
      <w:r w:rsidR="007D64D7" w:rsidRPr="000950FE">
        <w:rPr>
          <w:rFonts w:ascii="Arial" w:hAnsi="Arial" w:cs="Arial"/>
          <w:bCs/>
          <w:sz w:val="20"/>
          <w:szCs w:val="20"/>
        </w:rPr>
        <w:t>il numero di</w:t>
      </w:r>
      <w:r w:rsidR="00294E6A" w:rsidRPr="000950FE">
        <w:rPr>
          <w:rFonts w:ascii="Arial" w:hAnsi="Arial" w:cs="Arial"/>
          <w:bCs/>
          <w:sz w:val="20"/>
          <w:szCs w:val="20"/>
        </w:rPr>
        <w:t xml:space="preserve"> accessi in pronto soccorso</w:t>
      </w:r>
      <w:r w:rsidR="006B2C05" w:rsidRPr="000950FE">
        <w:rPr>
          <w:rFonts w:ascii="Arial" w:hAnsi="Arial" w:cs="Arial"/>
          <w:bCs/>
          <w:sz w:val="20"/>
          <w:szCs w:val="20"/>
        </w:rPr>
        <w:t xml:space="preserve"> (o dimissioni ospedaliere)</w:t>
      </w:r>
      <w:r w:rsidR="00294E6A" w:rsidRPr="000950FE">
        <w:rPr>
          <w:rFonts w:ascii="Arial" w:hAnsi="Arial" w:cs="Arial"/>
          <w:bCs/>
          <w:sz w:val="20"/>
          <w:szCs w:val="20"/>
        </w:rPr>
        <w:t xml:space="preserve"> alla popolazione </w:t>
      </w:r>
      <w:r w:rsidR="006B2C05" w:rsidRPr="000950FE">
        <w:rPr>
          <w:rFonts w:ascii="Arial" w:hAnsi="Arial" w:cs="Arial"/>
          <w:bCs/>
          <w:sz w:val="20"/>
          <w:szCs w:val="20"/>
        </w:rPr>
        <w:t xml:space="preserve">media </w:t>
      </w:r>
      <w:r w:rsidR="00294E6A" w:rsidRPr="000950FE">
        <w:rPr>
          <w:rFonts w:ascii="Arial" w:hAnsi="Arial" w:cs="Arial"/>
          <w:bCs/>
          <w:sz w:val="20"/>
          <w:szCs w:val="20"/>
        </w:rPr>
        <w:t xml:space="preserve">residente </w:t>
      </w:r>
      <w:r w:rsidR="007D64D7" w:rsidRPr="000950FE">
        <w:rPr>
          <w:rFonts w:ascii="Arial" w:hAnsi="Arial" w:cs="Arial"/>
          <w:bCs/>
          <w:sz w:val="20"/>
          <w:szCs w:val="20"/>
        </w:rPr>
        <w:t>(</w:t>
      </w:r>
      <w:r w:rsidR="00294E6A" w:rsidRPr="000950FE">
        <w:rPr>
          <w:rFonts w:ascii="Arial" w:hAnsi="Arial" w:cs="Arial"/>
          <w:bCs/>
          <w:sz w:val="20"/>
          <w:szCs w:val="20"/>
        </w:rPr>
        <w:t>per 10.000</w:t>
      </w:r>
      <w:r w:rsidR="007D64D7" w:rsidRPr="000950FE">
        <w:rPr>
          <w:rFonts w:ascii="Arial" w:hAnsi="Arial" w:cs="Arial"/>
          <w:bCs/>
          <w:sz w:val="20"/>
          <w:szCs w:val="20"/>
        </w:rPr>
        <w:t>)</w:t>
      </w:r>
      <w:r w:rsidR="00294E6A" w:rsidRPr="000950FE">
        <w:rPr>
          <w:rFonts w:ascii="Arial" w:hAnsi="Arial" w:cs="Arial"/>
          <w:bCs/>
          <w:sz w:val="20"/>
          <w:szCs w:val="20"/>
        </w:rPr>
        <w:t>.</w:t>
      </w:r>
    </w:p>
    <w:p w14:paraId="5E9A213B" w14:textId="6004BFFA" w:rsidR="00214B75" w:rsidRPr="00055770" w:rsidRDefault="00055770">
      <w:pPr>
        <w:pStyle w:val="NormaleWeb"/>
        <w:shd w:val="clear" w:color="auto" w:fill="FFFFFF"/>
        <w:spacing w:before="0" w:beforeAutospacing="0" w:after="120" w:afterAutospacing="0"/>
        <w:jc w:val="both"/>
        <w:rPr>
          <w:rFonts w:ascii="Arial" w:hAnsi="Arial" w:cs="Arial"/>
          <w:bCs/>
          <w:sz w:val="20"/>
          <w:szCs w:val="20"/>
        </w:rPr>
      </w:pPr>
      <w:r w:rsidRPr="000950FE">
        <w:rPr>
          <w:rFonts w:ascii="Arial" w:eastAsiaTheme="minorHAnsi" w:hAnsi="Arial" w:cs="Arial"/>
          <w:b/>
          <w:bCs/>
          <w:color w:val="44546A" w:themeColor="text2"/>
          <w:sz w:val="20"/>
          <w:szCs w:val="20"/>
          <w:lang w:eastAsia="en-US"/>
        </w:rPr>
        <w:t>T</w:t>
      </w:r>
      <w:r w:rsidR="00A23A48" w:rsidRPr="000950FE">
        <w:rPr>
          <w:rFonts w:ascii="Arial" w:eastAsiaTheme="minorHAnsi" w:hAnsi="Arial" w:cs="Arial"/>
          <w:b/>
          <w:bCs/>
          <w:color w:val="44546A" w:themeColor="text2"/>
          <w:sz w:val="20"/>
          <w:szCs w:val="20"/>
          <w:lang w:eastAsia="en-US"/>
        </w:rPr>
        <w:t>riage</w:t>
      </w:r>
      <w:r w:rsidR="00624C84" w:rsidRPr="000950FE">
        <w:rPr>
          <w:rFonts w:ascii="Arial" w:eastAsiaTheme="minorHAnsi" w:hAnsi="Arial" w:cs="Arial"/>
          <w:b/>
          <w:bCs/>
          <w:color w:val="44546A" w:themeColor="text2"/>
          <w:sz w:val="20"/>
          <w:szCs w:val="20"/>
          <w:lang w:eastAsia="en-US"/>
        </w:rPr>
        <w:t xml:space="preserve"> (pronto soccorso)</w:t>
      </w:r>
      <w:r w:rsidRPr="000950FE">
        <w:rPr>
          <w:rFonts w:ascii="Arial" w:eastAsiaTheme="minorHAnsi" w:hAnsi="Arial" w:cs="Arial"/>
          <w:b/>
          <w:bCs/>
          <w:color w:val="44546A" w:themeColor="text2"/>
          <w:sz w:val="20"/>
          <w:szCs w:val="20"/>
          <w:lang w:eastAsia="en-US"/>
        </w:rPr>
        <w:t>:</w:t>
      </w:r>
      <w:r w:rsidRPr="000950FE">
        <w:rPr>
          <w:rFonts w:ascii="Arial" w:hAnsi="Arial" w:cs="Arial"/>
          <w:bCs/>
          <w:color w:val="404040" w:themeColor="text1" w:themeTint="BF"/>
          <w:sz w:val="20"/>
          <w:szCs w:val="20"/>
        </w:rPr>
        <w:t xml:space="preserve"> </w:t>
      </w:r>
      <w:r w:rsidR="006B2C05" w:rsidRPr="00DD1CCC">
        <w:rPr>
          <w:rFonts w:ascii="Arial" w:hAnsi="Arial" w:cs="Arial"/>
          <w:bCs/>
          <w:sz w:val="20"/>
          <w:szCs w:val="20"/>
        </w:rPr>
        <w:t>i</w:t>
      </w:r>
      <w:r w:rsidR="00CC7389" w:rsidRPr="00DD1CCC">
        <w:rPr>
          <w:rFonts w:ascii="Arial" w:hAnsi="Arial" w:cs="Arial"/>
          <w:bCs/>
          <w:sz w:val="20"/>
          <w:szCs w:val="20"/>
        </w:rPr>
        <w:t xml:space="preserve">ndica il livello di appropriatezza dell’accesso valutato dal medico dopo la visita. In caso di abbandono del pronto soccorso da parte dell’assistito, la variabile non viene compilata. </w:t>
      </w:r>
    </w:p>
    <w:sectPr w:rsidR="00214B75" w:rsidRPr="00055770" w:rsidSect="00DD1CCC">
      <w:footerReference w:type="default" r:id="rId24"/>
      <w:headerReference w:type="first" r:id="rId25"/>
      <w:pgSz w:w="11906" w:h="16838" w:code="9"/>
      <w:pgMar w:top="1134" w:right="1247" w:bottom="1134"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D38D" w14:textId="77777777" w:rsidR="00C33647" w:rsidRDefault="00C33647" w:rsidP="007247DC">
      <w:pPr>
        <w:spacing w:after="0" w:line="240" w:lineRule="auto"/>
      </w:pPr>
      <w:r>
        <w:separator/>
      </w:r>
    </w:p>
  </w:endnote>
  <w:endnote w:type="continuationSeparator" w:id="0">
    <w:p w14:paraId="7CCDB221" w14:textId="77777777" w:rsidR="00C33647" w:rsidRDefault="00C33647" w:rsidP="0072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723105"/>
      <w:docPartObj>
        <w:docPartGallery w:val="Page Numbers (Bottom of Page)"/>
        <w:docPartUnique/>
      </w:docPartObj>
    </w:sdtPr>
    <w:sdtEndPr/>
    <w:sdtContent>
      <w:p w14:paraId="231192FD" w14:textId="251323AC" w:rsidR="000F68F9" w:rsidRDefault="000F68F9" w:rsidP="00DD1CCC">
        <w:pPr>
          <w:pStyle w:val="Pidipagina"/>
          <w:tabs>
            <w:tab w:val="clear" w:pos="4819"/>
            <w:tab w:val="clear" w:pos="9638"/>
          </w:tabs>
        </w:pPr>
        <w:r w:rsidRPr="007C3158">
          <w:rPr>
            <w:noProof/>
            <w:lang w:eastAsia="it-IT"/>
          </w:rPr>
          <w:drawing>
            <wp:anchor distT="0" distB="0" distL="114300" distR="114300" simplePos="0" relativeHeight="251658240" behindDoc="0" locked="0" layoutInCell="1" allowOverlap="1" wp14:anchorId="5D53D5DE" wp14:editId="64F2E937">
              <wp:simplePos x="0" y="0"/>
              <wp:positionH relativeFrom="column">
                <wp:posOffset>2385060</wp:posOffset>
              </wp:positionH>
              <wp:positionV relativeFrom="paragraph">
                <wp:posOffset>-93345</wp:posOffset>
              </wp:positionV>
              <wp:extent cx="1314450" cy="389890"/>
              <wp:effectExtent l="0" t="0" r="0" b="0"/>
              <wp:wrapNone/>
              <wp:docPr id="1364413148" name="Immagine 15">
                <a:extLst xmlns:a="http://schemas.openxmlformats.org/drawingml/2006/main">
                  <a:ext uri="{FF2B5EF4-FFF2-40B4-BE49-F238E27FC236}">
                    <a16:creationId xmlns:a16="http://schemas.microsoft.com/office/drawing/2014/main" id="{E4808714-CCAB-48DB-8DA1-0F3741C35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a:extLst>
                          <a:ext uri="{FF2B5EF4-FFF2-40B4-BE49-F238E27FC236}">
                            <a16:creationId xmlns:a16="http://schemas.microsoft.com/office/drawing/2014/main" id="{E4808714-CCAB-48DB-8DA1-0F3741C352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389890"/>
                      </a:xfrm>
                      <a:prstGeom prst="rect">
                        <a:avLst/>
                      </a:prstGeom>
                    </pic:spPr>
                  </pic:pic>
                </a:graphicData>
              </a:graphic>
            </wp:anchor>
          </w:drawing>
        </w:r>
        <w:r>
          <w:rPr>
            <w:noProof/>
            <w:lang w:eastAsia="it-IT"/>
          </w:rPr>
          <w:drawing>
            <wp:anchor distT="0" distB="0" distL="114300" distR="114300" simplePos="0" relativeHeight="251659264" behindDoc="0" locked="0" layoutInCell="1" allowOverlap="1" wp14:anchorId="42F52765" wp14:editId="105645AA">
              <wp:simplePos x="0" y="0"/>
              <wp:positionH relativeFrom="column">
                <wp:posOffset>4547235</wp:posOffset>
              </wp:positionH>
              <wp:positionV relativeFrom="paragraph">
                <wp:posOffset>-55880</wp:posOffset>
              </wp:positionV>
              <wp:extent cx="1890395" cy="361950"/>
              <wp:effectExtent l="0" t="0" r="0" b="0"/>
              <wp:wrapNone/>
              <wp:docPr id="1364413149" name="Immagine 1364413149"/>
              <wp:cNvGraphicFramePr/>
              <a:graphic xmlns:a="http://schemas.openxmlformats.org/drawingml/2006/main">
                <a:graphicData uri="http://schemas.openxmlformats.org/drawingml/2006/picture">
                  <pic:pic xmlns:pic="http://schemas.openxmlformats.org/drawingml/2006/picture">
                    <pic:nvPicPr>
                      <pic:cNvPr id="88" name="Immagine 8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39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33ADBF1B" wp14:editId="2B892F66">
              <wp:extent cx="542290" cy="148590"/>
              <wp:effectExtent l="0" t="0" r="0" b="3810"/>
              <wp:docPr id="1364413150" name="Immagine 27"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logopicco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290" cy="148590"/>
                      </a:xfrm>
                      <a:prstGeom prst="rect">
                        <a:avLst/>
                      </a:prstGeom>
                      <a:noFill/>
                      <a:ln>
                        <a:noFill/>
                      </a:ln>
                    </pic:spPr>
                  </pic:pic>
                </a:graphicData>
              </a:graphic>
            </wp:inline>
          </w:drawing>
        </w:r>
        <w:r>
          <w:rPr>
            <w:noProof/>
          </w:rPr>
          <w:t xml:space="preserve"> </w:t>
        </w:r>
        <w:r w:rsidRPr="002657BD">
          <w:rPr>
            <w:rStyle w:val="Numeropagina"/>
            <w:color w:val="44546A" w:themeColor="text2"/>
          </w:rPr>
          <w:t>|</w:t>
        </w:r>
        <w:r>
          <w:rPr>
            <w:rStyle w:val="Numeropagina"/>
            <w:color w:val="800000"/>
          </w:rPr>
          <w:t xml:space="preserve"> </w:t>
        </w:r>
        <w:r w:rsidRPr="0042070F">
          <w:rPr>
            <w:rStyle w:val="Numeropagina"/>
            <w:b/>
            <w:color w:val="808080"/>
          </w:rPr>
          <w:fldChar w:fldCharType="begin"/>
        </w:r>
        <w:r w:rsidRPr="0042070F">
          <w:rPr>
            <w:rStyle w:val="Numeropagina"/>
            <w:color w:val="808080"/>
          </w:rPr>
          <w:instrText xml:space="preserve">PAGE  </w:instrText>
        </w:r>
        <w:r w:rsidRPr="0042070F">
          <w:rPr>
            <w:rStyle w:val="Numeropagina"/>
            <w:b/>
            <w:color w:val="808080"/>
          </w:rPr>
          <w:fldChar w:fldCharType="separate"/>
        </w:r>
        <w:r w:rsidR="00D81B15">
          <w:rPr>
            <w:rStyle w:val="Numeropagina"/>
            <w:noProof/>
            <w:color w:val="808080"/>
          </w:rPr>
          <w:t>17</w:t>
        </w:r>
        <w:r w:rsidRPr="0042070F">
          <w:rPr>
            <w:rStyle w:val="Numeropagina"/>
            <w:b/>
            <w:color w:val="808080"/>
          </w:rPr>
          <w:fldChar w:fldCharType="end"/>
        </w:r>
        <w:r>
          <w:rPr>
            <w:rStyle w:val="Numeropagina"/>
            <w:color w:val="808080"/>
          </w:rPr>
          <w:t xml:space="preserve"> </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E3ED" w14:textId="77777777" w:rsidR="00C33647" w:rsidRDefault="00C33647" w:rsidP="007247DC">
      <w:pPr>
        <w:spacing w:after="0" w:line="240" w:lineRule="auto"/>
      </w:pPr>
      <w:r>
        <w:separator/>
      </w:r>
    </w:p>
  </w:footnote>
  <w:footnote w:type="continuationSeparator" w:id="0">
    <w:p w14:paraId="7CB7D61C" w14:textId="77777777" w:rsidR="00C33647" w:rsidRDefault="00C33647" w:rsidP="007247DC">
      <w:pPr>
        <w:spacing w:after="0" w:line="240" w:lineRule="auto"/>
      </w:pPr>
      <w:r>
        <w:continuationSeparator/>
      </w:r>
    </w:p>
  </w:footnote>
  <w:footnote w:id="1">
    <w:p w14:paraId="62FBB9EF" w14:textId="7B238109" w:rsidR="000F68F9" w:rsidRPr="00387E4E" w:rsidRDefault="000F68F9" w:rsidP="0019312C">
      <w:pPr>
        <w:jc w:val="both"/>
        <w:rPr>
          <w:rFonts w:ascii="Arial" w:eastAsia="MS Mincho" w:hAnsi="Arial" w:cs="Arial"/>
          <w:iCs/>
          <w:sz w:val="16"/>
          <w:szCs w:val="16"/>
        </w:rPr>
      </w:pPr>
      <w:r w:rsidRPr="00387E4E">
        <w:rPr>
          <w:rStyle w:val="Rimandonotaapidipagina"/>
          <w:sz w:val="16"/>
          <w:szCs w:val="16"/>
        </w:rPr>
        <w:footnoteRef/>
      </w:r>
      <w:r w:rsidRPr="00387E4E">
        <w:rPr>
          <w:sz w:val="16"/>
          <w:szCs w:val="16"/>
        </w:rPr>
        <w:t xml:space="preserve"> </w:t>
      </w:r>
      <w:r w:rsidRPr="00387E4E">
        <w:rPr>
          <w:rFonts w:ascii="Arial" w:eastAsia="MS Mincho" w:hAnsi="Arial" w:cs="Arial"/>
          <w:iCs/>
          <w:sz w:val="16"/>
          <w:szCs w:val="16"/>
        </w:rPr>
        <w:t xml:space="preserve">La </w:t>
      </w:r>
      <w:r>
        <w:rPr>
          <w:rFonts w:ascii="Arial" w:eastAsia="MS Mincho" w:hAnsi="Arial" w:cs="Arial"/>
          <w:iCs/>
          <w:sz w:val="16"/>
          <w:szCs w:val="16"/>
        </w:rPr>
        <w:t>n</w:t>
      </w:r>
      <w:r w:rsidRPr="00387E4E">
        <w:rPr>
          <w:rFonts w:ascii="Arial" w:eastAsia="MS Mincho" w:hAnsi="Arial" w:cs="Arial"/>
          <w:iCs/>
          <w:sz w:val="16"/>
          <w:szCs w:val="16"/>
        </w:rPr>
        <w:t>ota metodologica a fine testo descrive l</w:t>
      </w:r>
      <w:r>
        <w:rPr>
          <w:rFonts w:ascii="Arial" w:eastAsia="MS Mincho" w:hAnsi="Arial" w:cs="Arial"/>
          <w:iCs/>
          <w:sz w:val="16"/>
          <w:szCs w:val="16"/>
        </w:rPr>
        <w:t>e</w:t>
      </w:r>
      <w:r w:rsidRPr="00387E4E">
        <w:rPr>
          <w:rFonts w:ascii="Arial" w:eastAsia="MS Mincho" w:hAnsi="Arial" w:cs="Arial"/>
          <w:iCs/>
          <w:sz w:val="16"/>
          <w:szCs w:val="16"/>
        </w:rPr>
        <w:t xml:space="preserve"> bas</w:t>
      </w:r>
      <w:r>
        <w:rPr>
          <w:rFonts w:ascii="Arial" w:eastAsia="MS Mincho" w:hAnsi="Arial" w:cs="Arial"/>
          <w:iCs/>
          <w:sz w:val="16"/>
          <w:szCs w:val="16"/>
        </w:rPr>
        <w:t>i</w:t>
      </w:r>
      <w:r w:rsidRPr="00387E4E">
        <w:rPr>
          <w:rFonts w:ascii="Arial" w:eastAsia="MS Mincho" w:hAnsi="Arial" w:cs="Arial"/>
          <w:iCs/>
          <w:sz w:val="16"/>
          <w:szCs w:val="16"/>
        </w:rPr>
        <w:t xml:space="preserve"> dati (</w:t>
      </w:r>
      <w:r>
        <w:rPr>
          <w:rFonts w:ascii="Arial" w:eastAsia="MS Mincho" w:hAnsi="Arial" w:cs="Arial"/>
          <w:iCs/>
          <w:sz w:val="16"/>
          <w:szCs w:val="16"/>
        </w:rPr>
        <w:t>EMUR e SDO</w:t>
      </w:r>
      <w:r w:rsidRPr="00387E4E">
        <w:rPr>
          <w:rFonts w:ascii="Arial" w:eastAsia="MS Mincho" w:hAnsi="Arial" w:cs="Arial"/>
          <w:iCs/>
          <w:sz w:val="16"/>
          <w:szCs w:val="16"/>
        </w:rPr>
        <w:t xml:space="preserve">) e la metodologia utilizzata per selezionare i </w:t>
      </w:r>
      <w:r>
        <w:rPr>
          <w:rFonts w:ascii="Arial" w:eastAsia="MS Mincho" w:hAnsi="Arial" w:cs="Arial"/>
          <w:iCs/>
          <w:sz w:val="16"/>
          <w:szCs w:val="16"/>
        </w:rPr>
        <w:t>casi di violenza</w:t>
      </w:r>
      <w:r w:rsidRPr="00387E4E">
        <w:rPr>
          <w:rFonts w:ascii="Arial" w:eastAsia="MS Mincho" w:hAnsi="Arial" w:cs="Arial"/>
          <w:iCs/>
          <w:sz w:val="16"/>
          <w:szCs w:val="16"/>
        </w:rPr>
        <w:t>. Il glossario riporta la terminologia tecnica presente nel rapporto.</w:t>
      </w:r>
    </w:p>
    <w:p w14:paraId="6E190307" w14:textId="77777777" w:rsidR="000F68F9" w:rsidRDefault="000F68F9">
      <w:pPr>
        <w:pStyle w:val="Testonotaapidipagina"/>
      </w:pPr>
    </w:p>
  </w:footnote>
  <w:footnote w:id="2">
    <w:p w14:paraId="50961163" w14:textId="32B3663D" w:rsidR="000F68F9" w:rsidRPr="00F73AA1" w:rsidRDefault="000F68F9">
      <w:pPr>
        <w:pStyle w:val="Testonotaapidipagina"/>
        <w:rPr>
          <w:rFonts w:ascii="Arial" w:hAnsi="Arial" w:cs="Arial"/>
          <w:sz w:val="16"/>
          <w:szCs w:val="16"/>
        </w:rPr>
      </w:pPr>
      <w:r w:rsidRPr="00F73AA1">
        <w:rPr>
          <w:rStyle w:val="Rimandonotaapidipagina"/>
          <w:rFonts w:ascii="Arial" w:hAnsi="Arial" w:cs="Arial"/>
          <w:sz w:val="16"/>
          <w:szCs w:val="16"/>
        </w:rPr>
        <w:footnoteRef/>
      </w:r>
      <w:r w:rsidRPr="00F73AA1">
        <w:rPr>
          <w:rFonts w:ascii="Arial" w:hAnsi="Arial" w:cs="Arial"/>
          <w:sz w:val="16"/>
          <w:szCs w:val="16"/>
        </w:rPr>
        <w:t xml:space="preserve"> Per conoscere i criteri di selezione dei casi di violenza negli accessi in </w:t>
      </w:r>
      <w:r>
        <w:rPr>
          <w:rFonts w:ascii="Arial" w:hAnsi="Arial" w:cs="Arial"/>
          <w:sz w:val="16"/>
          <w:szCs w:val="16"/>
        </w:rPr>
        <w:t>P</w:t>
      </w:r>
      <w:r w:rsidRPr="00F73AA1">
        <w:rPr>
          <w:rFonts w:ascii="Arial" w:hAnsi="Arial" w:cs="Arial"/>
          <w:sz w:val="16"/>
          <w:szCs w:val="16"/>
        </w:rPr>
        <w:t xml:space="preserve">ronto </w:t>
      </w:r>
      <w:r>
        <w:rPr>
          <w:rFonts w:ascii="Arial" w:hAnsi="Arial" w:cs="Arial"/>
          <w:sz w:val="16"/>
          <w:szCs w:val="16"/>
        </w:rPr>
        <w:t>S</w:t>
      </w:r>
      <w:r w:rsidRPr="00F73AA1">
        <w:rPr>
          <w:rFonts w:ascii="Arial" w:hAnsi="Arial" w:cs="Arial"/>
          <w:sz w:val="16"/>
          <w:szCs w:val="16"/>
        </w:rPr>
        <w:t xml:space="preserve">occorso e nei ricoveri si veda la </w:t>
      </w:r>
      <w:r>
        <w:rPr>
          <w:rFonts w:ascii="Arial" w:hAnsi="Arial" w:cs="Arial"/>
          <w:sz w:val="16"/>
          <w:szCs w:val="16"/>
        </w:rPr>
        <w:t>n</w:t>
      </w:r>
      <w:r w:rsidRPr="00F73AA1">
        <w:rPr>
          <w:rFonts w:ascii="Arial" w:hAnsi="Arial" w:cs="Arial"/>
          <w:sz w:val="16"/>
          <w:szCs w:val="16"/>
        </w:rPr>
        <w:t>ota metodologica.</w:t>
      </w:r>
    </w:p>
  </w:footnote>
  <w:footnote w:id="3">
    <w:p w14:paraId="617A27F9" w14:textId="7C70F60F" w:rsidR="000F68F9" w:rsidRPr="00F73AA1" w:rsidRDefault="000F68F9" w:rsidP="00656628">
      <w:pPr>
        <w:pStyle w:val="Testonotaapidipagina"/>
        <w:jc w:val="both"/>
        <w:rPr>
          <w:rFonts w:ascii="Arial" w:hAnsi="Arial" w:cs="Arial"/>
          <w:sz w:val="16"/>
          <w:szCs w:val="16"/>
        </w:rPr>
      </w:pPr>
      <w:r w:rsidRPr="00F73AA1">
        <w:rPr>
          <w:rStyle w:val="Rimandonotaapidipagina"/>
          <w:rFonts w:ascii="Arial" w:hAnsi="Arial" w:cs="Arial"/>
          <w:sz w:val="16"/>
          <w:szCs w:val="16"/>
        </w:rPr>
        <w:footnoteRef/>
      </w:r>
      <w:r w:rsidRPr="00F73AA1">
        <w:rPr>
          <w:rFonts w:ascii="Arial" w:hAnsi="Arial" w:cs="Arial"/>
          <w:sz w:val="16"/>
          <w:szCs w:val="16"/>
        </w:rPr>
        <w:t xml:space="preserve"> Le analisi del report sono state condotte al netto dei ricoveri per parto. </w:t>
      </w:r>
      <w:r>
        <w:rPr>
          <w:rFonts w:ascii="Arial" w:hAnsi="Arial" w:cs="Arial"/>
          <w:sz w:val="16"/>
          <w:szCs w:val="16"/>
        </w:rPr>
        <w:t>Pertanto,</w:t>
      </w:r>
      <w:r w:rsidRPr="00F73AA1">
        <w:rPr>
          <w:rFonts w:ascii="Arial" w:hAnsi="Arial" w:cs="Arial"/>
          <w:sz w:val="16"/>
          <w:szCs w:val="16"/>
        </w:rPr>
        <w:t xml:space="preserve"> quando si fa riferimento al totale dei ricoveri, si intend</w:t>
      </w:r>
      <w:r>
        <w:rPr>
          <w:rFonts w:ascii="Arial" w:hAnsi="Arial" w:cs="Arial"/>
          <w:sz w:val="16"/>
          <w:szCs w:val="16"/>
        </w:rPr>
        <w:t>e</w:t>
      </w:r>
      <w:r w:rsidRPr="00F73AA1">
        <w:rPr>
          <w:rFonts w:ascii="Arial" w:hAnsi="Arial" w:cs="Arial"/>
          <w:sz w:val="16"/>
          <w:szCs w:val="16"/>
        </w:rPr>
        <w:t xml:space="preserve"> a</w:t>
      </w:r>
      <w:r>
        <w:rPr>
          <w:rFonts w:ascii="Arial" w:hAnsi="Arial" w:cs="Arial"/>
          <w:sz w:val="16"/>
          <w:szCs w:val="16"/>
        </w:rPr>
        <w:t>d</w:t>
      </w:r>
      <w:r w:rsidRPr="00F73AA1">
        <w:rPr>
          <w:rFonts w:ascii="Arial" w:hAnsi="Arial" w:cs="Arial"/>
          <w:sz w:val="16"/>
          <w:szCs w:val="16"/>
        </w:rPr>
        <w:t xml:space="preserve"> esclusione dei ricoveri femminili per parto.</w:t>
      </w:r>
    </w:p>
  </w:footnote>
  <w:footnote w:id="4">
    <w:p w14:paraId="7BA21C82" w14:textId="06515561" w:rsidR="000F68F9" w:rsidRPr="00823EC8" w:rsidRDefault="000F68F9">
      <w:pPr>
        <w:pStyle w:val="Testonotaapidipagina"/>
        <w:rPr>
          <w:rFonts w:ascii="Arial" w:hAnsi="Arial" w:cs="Arial"/>
          <w:sz w:val="16"/>
          <w:szCs w:val="16"/>
        </w:rPr>
      </w:pPr>
      <w:r w:rsidRPr="00823EC8">
        <w:rPr>
          <w:rStyle w:val="Rimandonotaapidipagina"/>
          <w:rFonts w:ascii="Arial" w:hAnsi="Arial" w:cs="Arial"/>
          <w:sz w:val="16"/>
          <w:szCs w:val="16"/>
        </w:rPr>
        <w:footnoteRef/>
      </w:r>
      <w:r w:rsidRPr="00823EC8">
        <w:rPr>
          <w:rFonts w:ascii="Arial" w:hAnsi="Arial" w:cs="Arial"/>
          <w:sz w:val="16"/>
          <w:szCs w:val="16"/>
        </w:rPr>
        <w:t xml:space="preserve"> Si veda Glossario.</w:t>
      </w:r>
    </w:p>
  </w:footnote>
  <w:footnote w:id="5">
    <w:p w14:paraId="4153D9A2" w14:textId="0F9F7C6B" w:rsidR="000F68F9" w:rsidRPr="00823249" w:rsidRDefault="000F68F9" w:rsidP="008041B3">
      <w:pPr>
        <w:pStyle w:val="Default"/>
        <w:spacing w:after="120"/>
        <w:jc w:val="both"/>
        <w:rPr>
          <w:rFonts w:ascii="Arial" w:hAnsi="Arial" w:cs="Arial"/>
          <w:sz w:val="14"/>
          <w:szCs w:val="20"/>
        </w:rPr>
      </w:pPr>
      <w:r w:rsidRPr="00823249">
        <w:rPr>
          <w:rStyle w:val="Rimandonotaapidipagina"/>
          <w:rFonts w:ascii="Arial" w:hAnsi="Arial" w:cs="Arial"/>
          <w:sz w:val="16"/>
          <w:szCs w:val="16"/>
        </w:rPr>
        <w:footnoteRef/>
      </w:r>
      <w:r w:rsidRPr="00823249">
        <w:rPr>
          <w:rFonts w:ascii="Arial" w:hAnsi="Arial" w:cs="Arial"/>
          <w:sz w:val="22"/>
        </w:rPr>
        <w:t xml:space="preserve"> </w:t>
      </w:r>
      <w:r w:rsidRPr="00823249">
        <w:rPr>
          <w:rFonts w:ascii="Arial" w:hAnsi="Arial" w:cs="Arial"/>
          <w:sz w:val="16"/>
          <w:szCs w:val="20"/>
        </w:rPr>
        <w:t>Nell’interpretazione di questi risultati va tenuto presente che le differenze regionali possono dipendere sia dalla diversa diffusione del fenomeno, sia dalla diversa qualità e accuratezza nella compilazione dell</w:t>
      </w:r>
      <w:r>
        <w:rPr>
          <w:rFonts w:ascii="Arial" w:hAnsi="Arial" w:cs="Arial"/>
          <w:sz w:val="16"/>
          <w:szCs w:val="20"/>
        </w:rPr>
        <w:t>a</w:t>
      </w:r>
      <w:r w:rsidRPr="00823249">
        <w:rPr>
          <w:rFonts w:ascii="Arial" w:hAnsi="Arial" w:cs="Arial"/>
          <w:sz w:val="16"/>
          <w:szCs w:val="20"/>
        </w:rPr>
        <w:t xml:space="preserve"> sched</w:t>
      </w:r>
      <w:r>
        <w:rPr>
          <w:rFonts w:ascii="Arial" w:hAnsi="Arial" w:cs="Arial"/>
          <w:sz w:val="16"/>
          <w:szCs w:val="20"/>
        </w:rPr>
        <w:t>a</w:t>
      </w:r>
      <w:r w:rsidRPr="00823249">
        <w:rPr>
          <w:rFonts w:ascii="Arial" w:hAnsi="Arial" w:cs="Arial"/>
          <w:sz w:val="16"/>
          <w:szCs w:val="20"/>
        </w:rPr>
        <w:t xml:space="preserve"> di dimissione ospedaliera</w:t>
      </w:r>
      <w:r>
        <w:rPr>
          <w:rFonts w:ascii="Arial" w:hAnsi="Arial" w:cs="Arial"/>
          <w:sz w:val="16"/>
          <w:szCs w:val="20"/>
        </w:rPr>
        <w:t xml:space="preserve"> (SDO)</w:t>
      </w:r>
      <w:r w:rsidRPr="00823249">
        <w:rPr>
          <w:rFonts w:ascii="Arial" w:hAnsi="Arial" w:cs="Arial"/>
          <w:sz w:val="16"/>
          <w:szCs w:val="20"/>
        </w:rPr>
        <w:t>.</w:t>
      </w:r>
    </w:p>
    <w:p w14:paraId="48D0F77D" w14:textId="77777777" w:rsidR="000F68F9" w:rsidRPr="00823249" w:rsidRDefault="000F68F9">
      <w:pPr>
        <w:pStyle w:val="Testonotaapidipagina"/>
        <w:rPr>
          <w:sz w:val="18"/>
        </w:rPr>
      </w:pPr>
    </w:p>
  </w:footnote>
  <w:footnote w:id="6">
    <w:p w14:paraId="37A8A9E5" w14:textId="7474D156" w:rsidR="000F68F9" w:rsidRPr="0044012B" w:rsidRDefault="000F68F9">
      <w:pPr>
        <w:pStyle w:val="Testonotaapidipagina"/>
        <w:rPr>
          <w:rFonts w:ascii="Arial" w:hAnsi="Arial" w:cs="Arial"/>
          <w:sz w:val="18"/>
          <w:szCs w:val="18"/>
        </w:rPr>
      </w:pPr>
      <w:r w:rsidRPr="0044012B">
        <w:rPr>
          <w:rStyle w:val="Rimandonotaapidipagina"/>
          <w:rFonts w:ascii="Arial" w:hAnsi="Arial" w:cs="Arial"/>
          <w:sz w:val="18"/>
          <w:szCs w:val="18"/>
        </w:rPr>
        <w:footnoteRef/>
      </w:r>
      <w:r w:rsidRPr="0044012B">
        <w:rPr>
          <w:rFonts w:ascii="Arial" w:hAnsi="Arial" w:cs="Arial"/>
          <w:sz w:val="18"/>
          <w:szCs w:val="18"/>
        </w:rPr>
        <w:t xml:space="preserve"> </w:t>
      </w:r>
      <w:r w:rsidRPr="00B60B48">
        <w:rPr>
          <w:rFonts w:ascii="Arial" w:hAnsi="Arial" w:cs="Arial"/>
          <w:sz w:val="18"/>
          <w:szCs w:val="18"/>
        </w:rPr>
        <w:t>Si veda il paragrafo “</w:t>
      </w:r>
      <w:r w:rsidRPr="00DD1CCC">
        <w:rPr>
          <w:rFonts w:ascii="Arial" w:hAnsi="Arial" w:cs="Arial"/>
          <w:bCs/>
          <w:sz w:val="18"/>
          <w:szCs w:val="18"/>
        </w:rPr>
        <w:t>Codici delle diagnosi per la selezione dei casi di violenza” nella nota metodologica.</w:t>
      </w:r>
    </w:p>
  </w:footnote>
  <w:footnote w:id="7">
    <w:p w14:paraId="29AFD241" w14:textId="408FC07C" w:rsidR="000F68F9" w:rsidRPr="003D4B15" w:rsidRDefault="000F68F9" w:rsidP="000D5742">
      <w:pPr>
        <w:pStyle w:val="Testonotaapidipagina"/>
        <w:rPr>
          <w:rFonts w:ascii="Arial" w:hAnsi="Arial" w:cs="Arial"/>
          <w:sz w:val="18"/>
          <w:szCs w:val="18"/>
        </w:rPr>
      </w:pPr>
      <w:r w:rsidRPr="003D4B15">
        <w:rPr>
          <w:rStyle w:val="Rimandonotaapidipagina"/>
          <w:rFonts w:ascii="Arial" w:hAnsi="Arial" w:cs="Arial"/>
          <w:sz w:val="18"/>
          <w:szCs w:val="18"/>
        </w:rPr>
        <w:footnoteRef/>
      </w:r>
      <w:r w:rsidRPr="003D4B15">
        <w:rPr>
          <w:rFonts w:ascii="Arial" w:hAnsi="Arial" w:cs="Arial"/>
          <w:sz w:val="18"/>
          <w:szCs w:val="18"/>
        </w:rPr>
        <w:t xml:space="preserve"> Si veda </w:t>
      </w:r>
      <w:r>
        <w:rPr>
          <w:rFonts w:ascii="Arial" w:hAnsi="Arial" w:cs="Arial"/>
          <w:sz w:val="18"/>
          <w:szCs w:val="18"/>
        </w:rPr>
        <w:t>g</w:t>
      </w:r>
      <w:r w:rsidRPr="003D4B15">
        <w:rPr>
          <w:rFonts w:ascii="Arial" w:hAnsi="Arial" w:cs="Arial"/>
          <w:sz w:val="18"/>
          <w:szCs w:val="18"/>
        </w:rPr>
        <w:t>lossario.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E8EF" w14:textId="77777777" w:rsidR="000F68F9" w:rsidRDefault="000F68F9">
    <w:pPr>
      <w:pStyle w:val="Intestazione"/>
    </w:pPr>
    <w:r w:rsidRPr="007C3158">
      <w:rPr>
        <w:noProof/>
        <w:lang w:eastAsia="it-IT"/>
      </w:rPr>
      <w:drawing>
        <wp:inline distT="0" distB="0" distL="0" distR="0" wp14:anchorId="48EC258F" wp14:editId="2669C00F">
          <wp:extent cx="2116098" cy="627797"/>
          <wp:effectExtent l="0" t="0" r="0" b="1270"/>
          <wp:docPr id="1364413151" name="Immagine 15">
            <a:extLst xmlns:a="http://schemas.openxmlformats.org/drawingml/2006/main">
              <a:ext uri="{FF2B5EF4-FFF2-40B4-BE49-F238E27FC236}">
                <a16:creationId xmlns:a16="http://schemas.microsoft.com/office/drawing/2014/main" id="{E4808714-CCAB-48DB-8DA1-0F3741C35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a:extLst>
                      <a:ext uri="{FF2B5EF4-FFF2-40B4-BE49-F238E27FC236}">
                        <a16:creationId xmlns:a16="http://schemas.microsoft.com/office/drawing/2014/main" id="{E4808714-CCAB-48DB-8DA1-0F3741C35235}"/>
                      </a:ext>
                    </a:extLst>
                  </pic:cNvPr>
                  <pic:cNvPicPr>
                    <a:picLocks noChangeAspect="1"/>
                  </pic:cNvPicPr>
                </pic:nvPicPr>
                <pic:blipFill>
                  <a:blip r:embed="rId1"/>
                  <a:stretch>
                    <a:fillRect/>
                  </a:stretch>
                </pic:blipFill>
                <pic:spPr>
                  <a:xfrm>
                    <a:off x="0" y="0"/>
                    <a:ext cx="2288066" cy="678816"/>
                  </a:xfrm>
                  <a:prstGeom prst="rect">
                    <a:avLst/>
                  </a:prstGeom>
                </pic:spPr>
              </pic:pic>
            </a:graphicData>
          </a:graphic>
        </wp:inline>
      </w:drawing>
    </w:r>
    <w:r>
      <w:tab/>
      <w:t xml:space="preserve">       </w:t>
    </w:r>
    <w:r>
      <w:rPr>
        <w:noProof/>
        <w:lang w:eastAsia="it-IT"/>
      </w:rPr>
      <w:drawing>
        <wp:inline distT="0" distB="0" distL="0" distR="0" wp14:anchorId="41F9C283" wp14:editId="25A7E4DF">
          <wp:extent cx="2176145" cy="508000"/>
          <wp:effectExtent l="0" t="0" r="0" b="6350"/>
          <wp:docPr id="1364413152" name="Immagine 1364413152"/>
          <wp:cNvGraphicFramePr/>
          <a:graphic xmlns:a="http://schemas.openxmlformats.org/drawingml/2006/main">
            <a:graphicData uri="http://schemas.openxmlformats.org/drawingml/2006/picture">
              <pic:pic xmlns:pic="http://schemas.openxmlformats.org/drawingml/2006/picture">
                <pic:nvPicPr>
                  <pic:cNvPr id="88" name="Immagine 8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6145" cy="508000"/>
                  </a:xfrm>
                  <a:prstGeom prst="rect">
                    <a:avLst/>
                  </a:prstGeom>
                  <a:noFill/>
                  <a:ln>
                    <a:noFill/>
                  </a:ln>
                </pic:spPr>
              </pic:pic>
            </a:graphicData>
          </a:graphic>
        </wp:inline>
      </w:drawing>
    </w:r>
    <w:r>
      <w:tab/>
    </w:r>
    <w:r>
      <w:rPr>
        <w:noProof/>
        <w:lang w:eastAsia="it-IT"/>
      </w:rPr>
      <w:drawing>
        <wp:inline distT="0" distB="0" distL="0" distR="0" wp14:anchorId="35040B37" wp14:editId="772F0C67">
          <wp:extent cx="1111250" cy="740834"/>
          <wp:effectExtent l="0" t="0" r="0" b="2540"/>
          <wp:docPr id="1364413153" name="Immagine 136441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 colori in alta risoluzione con denominazione completa.tif"/>
                  <pic:cNvPicPr/>
                </pic:nvPicPr>
                <pic:blipFill>
                  <a:blip r:embed="rId3">
                    <a:extLst>
                      <a:ext uri="{28A0092B-C50C-407E-A947-70E740481C1C}">
                        <a14:useLocalDpi xmlns:a14="http://schemas.microsoft.com/office/drawing/2010/main" val="0"/>
                      </a:ext>
                    </a:extLst>
                  </a:blip>
                  <a:stretch>
                    <a:fillRect/>
                  </a:stretch>
                </pic:blipFill>
                <pic:spPr>
                  <a:xfrm>
                    <a:off x="0" y="0"/>
                    <a:ext cx="1136695" cy="7577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292"/>
    <w:multiLevelType w:val="hybridMultilevel"/>
    <w:tmpl w:val="D4A2C130"/>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08880671"/>
    <w:multiLevelType w:val="hybridMultilevel"/>
    <w:tmpl w:val="96B64870"/>
    <w:lvl w:ilvl="0" w:tplc="937EAC52">
      <w:start w:val="1"/>
      <w:numFmt w:val="bullet"/>
      <w:lvlText w:val=""/>
      <w:lvlJc w:val="left"/>
      <w:pPr>
        <w:ind w:left="720" w:hanging="360"/>
      </w:pPr>
      <w:rPr>
        <w:rFonts w:ascii="Webdings" w:hAnsi="Webdings" w:hint="default"/>
        <w:b w:val="0"/>
        <w:i w:val="0"/>
        <w:color w:val="00527F"/>
        <w:sz w:val="24"/>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310F80"/>
    <w:multiLevelType w:val="hybridMultilevel"/>
    <w:tmpl w:val="AB84833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5D357BE"/>
    <w:multiLevelType w:val="hybridMultilevel"/>
    <w:tmpl w:val="DB981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1D5463"/>
    <w:multiLevelType w:val="hybridMultilevel"/>
    <w:tmpl w:val="2688BAC8"/>
    <w:lvl w:ilvl="0" w:tplc="F912D7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9950CA"/>
    <w:multiLevelType w:val="hybridMultilevel"/>
    <w:tmpl w:val="94CE1F0C"/>
    <w:lvl w:ilvl="0" w:tplc="937EAC52">
      <w:start w:val="1"/>
      <w:numFmt w:val="bullet"/>
      <w:lvlText w:val=""/>
      <w:lvlJc w:val="left"/>
      <w:pPr>
        <w:ind w:left="720" w:hanging="360"/>
      </w:pPr>
      <w:rPr>
        <w:rFonts w:ascii="Webdings" w:hAnsi="Webdings" w:hint="default"/>
        <w:b w:val="0"/>
        <w:i w:val="0"/>
        <w:color w:val="00527F"/>
        <w:sz w:val="24"/>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947FE9"/>
    <w:multiLevelType w:val="hybridMultilevel"/>
    <w:tmpl w:val="FFCE1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FC2124"/>
    <w:multiLevelType w:val="hybridMultilevel"/>
    <w:tmpl w:val="24A2D6D2"/>
    <w:lvl w:ilvl="0" w:tplc="224623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3E1511"/>
    <w:multiLevelType w:val="hybridMultilevel"/>
    <w:tmpl w:val="23363828"/>
    <w:lvl w:ilvl="0" w:tplc="BF5E31C8">
      <w:numFmt w:val="bullet"/>
      <w:lvlText w:val="-"/>
      <w:lvlJc w:val="left"/>
      <w:pPr>
        <w:ind w:left="1065" w:hanging="360"/>
      </w:pPr>
      <w:rPr>
        <w:rFonts w:ascii="Arial" w:eastAsiaTheme="minorHAnsi" w:hAnsi="Arial" w:cs="Aria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4EDF04D4"/>
    <w:multiLevelType w:val="hybridMultilevel"/>
    <w:tmpl w:val="DE364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EB76CF"/>
    <w:multiLevelType w:val="hybridMultilevel"/>
    <w:tmpl w:val="D804A1F2"/>
    <w:lvl w:ilvl="0" w:tplc="B75CB5E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61368E3"/>
    <w:multiLevelType w:val="hybridMultilevel"/>
    <w:tmpl w:val="1B304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030E0B"/>
    <w:multiLevelType w:val="hybridMultilevel"/>
    <w:tmpl w:val="4DB69E7C"/>
    <w:lvl w:ilvl="0" w:tplc="BCACB0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AB3FC6"/>
    <w:multiLevelType w:val="hybridMultilevel"/>
    <w:tmpl w:val="604A69BA"/>
    <w:lvl w:ilvl="0" w:tplc="8300FCD4">
      <w:start w:val="1"/>
      <w:numFmt w:val="lowerRoman"/>
      <w:lvlText w:val="%1."/>
      <w:lvlJc w:val="righ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5"/>
  </w:num>
  <w:num w:numId="5">
    <w:abstractNumId w:val="3"/>
  </w:num>
  <w:num w:numId="6">
    <w:abstractNumId w:val="1"/>
  </w:num>
  <w:num w:numId="7">
    <w:abstractNumId w:val="11"/>
  </w:num>
  <w:num w:numId="8">
    <w:abstractNumId w:val="12"/>
  </w:num>
  <w:num w:numId="9">
    <w:abstractNumId w:val="13"/>
  </w:num>
  <w:num w:numId="10">
    <w:abstractNumId w:val="2"/>
  </w:num>
  <w:num w:numId="11">
    <w:abstractNumId w:val="8"/>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F0"/>
    <w:rsid w:val="00000DAF"/>
    <w:rsid w:val="000034A8"/>
    <w:rsid w:val="00006B15"/>
    <w:rsid w:val="00011D56"/>
    <w:rsid w:val="000122FB"/>
    <w:rsid w:val="00013962"/>
    <w:rsid w:val="0001405A"/>
    <w:rsid w:val="00014647"/>
    <w:rsid w:val="00014ECF"/>
    <w:rsid w:val="000157D7"/>
    <w:rsid w:val="00015E33"/>
    <w:rsid w:val="000161C4"/>
    <w:rsid w:val="00016E5B"/>
    <w:rsid w:val="00017090"/>
    <w:rsid w:val="000201C0"/>
    <w:rsid w:val="00022CFB"/>
    <w:rsid w:val="000246BD"/>
    <w:rsid w:val="0002546B"/>
    <w:rsid w:val="00026765"/>
    <w:rsid w:val="00032A6B"/>
    <w:rsid w:val="000359D3"/>
    <w:rsid w:val="000361AA"/>
    <w:rsid w:val="00040D6F"/>
    <w:rsid w:val="00041150"/>
    <w:rsid w:val="00041FD4"/>
    <w:rsid w:val="00044B64"/>
    <w:rsid w:val="00045378"/>
    <w:rsid w:val="000456D4"/>
    <w:rsid w:val="00045AB1"/>
    <w:rsid w:val="00046500"/>
    <w:rsid w:val="000504F5"/>
    <w:rsid w:val="00052A88"/>
    <w:rsid w:val="00055770"/>
    <w:rsid w:val="00056C5B"/>
    <w:rsid w:val="000576A9"/>
    <w:rsid w:val="00057A18"/>
    <w:rsid w:val="00057A37"/>
    <w:rsid w:val="00057C70"/>
    <w:rsid w:val="000609BD"/>
    <w:rsid w:val="00062FB4"/>
    <w:rsid w:val="00063FEA"/>
    <w:rsid w:val="0006419D"/>
    <w:rsid w:val="00066DD8"/>
    <w:rsid w:val="00067C45"/>
    <w:rsid w:val="00072FCF"/>
    <w:rsid w:val="0007380B"/>
    <w:rsid w:val="000739CB"/>
    <w:rsid w:val="000747D8"/>
    <w:rsid w:val="00074C72"/>
    <w:rsid w:val="00076A88"/>
    <w:rsid w:val="0008196B"/>
    <w:rsid w:val="0008238A"/>
    <w:rsid w:val="00082530"/>
    <w:rsid w:val="00083F1E"/>
    <w:rsid w:val="000855D8"/>
    <w:rsid w:val="00085D0A"/>
    <w:rsid w:val="00085D18"/>
    <w:rsid w:val="000864BC"/>
    <w:rsid w:val="00086865"/>
    <w:rsid w:val="00086879"/>
    <w:rsid w:val="00092D9D"/>
    <w:rsid w:val="00092F71"/>
    <w:rsid w:val="00094A4F"/>
    <w:rsid w:val="000950FE"/>
    <w:rsid w:val="00096C1E"/>
    <w:rsid w:val="00097071"/>
    <w:rsid w:val="00097404"/>
    <w:rsid w:val="00097BC0"/>
    <w:rsid w:val="000A022B"/>
    <w:rsid w:val="000A074E"/>
    <w:rsid w:val="000A0994"/>
    <w:rsid w:val="000A1CED"/>
    <w:rsid w:val="000A2A43"/>
    <w:rsid w:val="000A4BB0"/>
    <w:rsid w:val="000A6E90"/>
    <w:rsid w:val="000B0888"/>
    <w:rsid w:val="000B13A6"/>
    <w:rsid w:val="000B13F7"/>
    <w:rsid w:val="000B19E8"/>
    <w:rsid w:val="000B261F"/>
    <w:rsid w:val="000B2DD6"/>
    <w:rsid w:val="000B4E45"/>
    <w:rsid w:val="000B5CC0"/>
    <w:rsid w:val="000B66DE"/>
    <w:rsid w:val="000B6B3D"/>
    <w:rsid w:val="000B75AC"/>
    <w:rsid w:val="000B75CB"/>
    <w:rsid w:val="000C09C6"/>
    <w:rsid w:val="000C0A5F"/>
    <w:rsid w:val="000C0B91"/>
    <w:rsid w:val="000C3562"/>
    <w:rsid w:val="000C38BE"/>
    <w:rsid w:val="000C47A4"/>
    <w:rsid w:val="000C4FE3"/>
    <w:rsid w:val="000C5C02"/>
    <w:rsid w:val="000C634E"/>
    <w:rsid w:val="000C70C1"/>
    <w:rsid w:val="000C7142"/>
    <w:rsid w:val="000D0309"/>
    <w:rsid w:val="000D1163"/>
    <w:rsid w:val="000D2CFF"/>
    <w:rsid w:val="000D51AB"/>
    <w:rsid w:val="000D5742"/>
    <w:rsid w:val="000D5BA2"/>
    <w:rsid w:val="000D6A31"/>
    <w:rsid w:val="000D779C"/>
    <w:rsid w:val="000D798B"/>
    <w:rsid w:val="000D7A3D"/>
    <w:rsid w:val="000E045C"/>
    <w:rsid w:val="000E0DC6"/>
    <w:rsid w:val="000E1BB4"/>
    <w:rsid w:val="000E21F1"/>
    <w:rsid w:val="000E2FB2"/>
    <w:rsid w:val="000E3201"/>
    <w:rsid w:val="000E33F9"/>
    <w:rsid w:val="000E420B"/>
    <w:rsid w:val="000E608F"/>
    <w:rsid w:val="000E6DE7"/>
    <w:rsid w:val="000F02EE"/>
    <w:rsid w:val="000F0A45"/>
    <w:rsid w:val="000F150F"/>
    <w:rsid w:val="000F1747"/>
    <w:rsid w:val="000F23D9"/>
    <w:rsid w:val="000F2E52"/>
    <w:rsid w:val="000F3CC6"/>
    <w:rsid w:val="000F5B3A"/>
    <w:rsid w:val="000F6648"/>
    <w:rsid w:val="000F68F9"/>
    <w:rsid w:val="000F7D8F"/>
    <w:rsid w:val="00100FE3"/>
    <w:rsid w:val="001013A7"/>
    <w:rsid w:val="0010149B"/>
    <w:rsid w:val="00101828"/>
    <w:rsid w:val="0010455A"/>
    <w:rsid w:val="00107D44"/>
    <w:rsid w:val="00107D93"/>
    <w:rsid w:val="0011333B"/>
    <w:rsid w:val="0011362A"/>
    <w:rsid w:val="00113EC3"/>
    <w:rsid w:val="00115132"/>
    <w:rsid w:val="001158A0"/>
    <w:rsid w:val="001161F7"/>
    <w:rsid w:val="001169FA"/>
    <w:rsid w:val="00120588"/>
    <w:rsid w:val="00121F1C"/>
    <w:rsid w:val="00121F34"/>
    <w:rsid w:val="001237DE"/>
    <w:rsid w:val="00123FC9"/>
    <w:rsid w:val="00125452"/>
    <w:rsid w:val="001258CF"/>
    <w:rsid w:val="00126053"/>
    <w:rsid w:val="0012614F"/>
    <w:rsid w:val="001268D0"/>
    <w:rsid w:val="001269EE"/>
    <w:rsid w:val="001303CE"/>
    <w:rsid w:val="00131FD2"/>
    <w:rsid w:val="0013200D"/>
    <w:rsid w:val="00132F28"/>
    <w:rsid w:val="001339AB"/>
    <w:rsid w:val="00133D7A"/>
    <w:rsid w:val="0013432E"/>
    <w:rsid w:val="00134D5F"/>
    <w:rsid w:val="001363FA"/>
    <w:rsid w:val="0013689B"/>
    <w:rsid w:val="001372A9"/>
    <w:rsid w:val="0014288A"/>
    <w:rsid w:val="00142ABF"/>
    <w:rsid w:val="001433C3"/>
    <w:rsid w:val="001439C5"/>
    <w:rsid w:val="00144BB0"/>
    <w:rsid w:val="00146DD8"/>
    <w:rsid w:val="00147BCF"/>
    <w:rsid w:val="00147C36"/>
    <w:rsid w:val="00150772"/>
    <w:rsid w:val="00152258"/>
    <w:rsid w:val="001605DE"/>
    <w:rsid w:val="00161B5D"/>
    <w:rsid w:val="00161D49"/>
    <w:rsid w:val="00162209"/>
    <w:rsid w:val="001625C3"/>
    <w:rsid w:val="00162A5F"/>
    <w:rsid w:val="00162DD8"/>
    <w:rsid w:val="001634A7"/>
    <w:rsid w:val="00164817"/>
    <w:rsid w:val="001656C6"/>
    <w:rsid w:val="0016647F"/>
    <w:rsid w:val="001668A6"/>
    <w:rsid w:val="00166E79"/>
    <w:rsid w:val="001677E8"/>
    <w:rsid w:val="00167AD6"/>
    <w:rsid w:val="00172F11"/>
    <w:rsid w:val="0017331D"/>
    <w:rsid w:val="0017564F"/>
    <w:rsid w:val="00176B75"/>
    <w:rsid w:val="001810B7"/>
    <w:rsid w:val="00181337"/>
    <w:rsid w:val="00181995"/>
    <w:rsid w:val="0018435E"/>
    <w:rsid w:val="001920C8"/>
    <w:rsid w:val="00192D11"/>
    <w:rsid w:val="0019312C"/>
    <w:rsid w:val="00194F58"/>
    <w:rsid w:val="00195EDA"/>
    <w:rsid w:val="00196364"/>
    <w:rsid w:val="00196CB6"/>
    <w:rsid w:val="00196DD7"/>
    <w:rsid w:val="001A01CA"/>
    <w:rsid w:val="001A22AE"/>
    <w:rsid w:val="001A2698"/>
    <w:rsid w:val="001A28E4"/>
    <w:rsid w:val="001A2B9C"/>
    <w:rsid w:val="001A3CC2"/>
    <w:rsid w:val="001A5704"/>
    <w:rsid w:val="001A5EEC"/>
    <w:rsid w:val="001B067B"/>
    <w:rsid w:val="001B07F3"/>
    <w:rsid w:val="001B1BDB"/>
    <w:rsid w:val="001B27D0"/>
    <w:rsid w:val="001B2E78"/>
    <w:rsid w:val="001B35DF"/>
    <w:rsid w:val="001B79EE"/>
    <w:rsid w:val="001C17A9"/>
    <w:rsid w:val="001C2F65"/>
    <w:rsid w:val="001C371D"/>
    <w:rsid w:val="001C5BE2"/>
    <w:rsid w:val="001C68E4"/>
    <w:rsid w:val="001C74FC"/>
    <w:rsid w:val="001D07E3"/>
    <w:rsid w:val="001D12A2"/>
    <w:rsid w:val="001D2674"/>
    <w:rsid w:val="001D2FE3"/>
    <w:rsid w:val="001D3812"/>
    <w:rsid w:val="001D389D"/>
    <w:rsid w:val="001D4928"/>
    <w:rsid w:val="001D6910"/>
    <w:rsid w:val="001D69A3"/>
    <w:rsid w:val="001D6C31"/>
    <w:rsid w:val="001D7BC6"/>
    <w:rsid w:val="001E02AA"/>
    <w:rsid w:val="001E0E79"/>
    <w:rsid w:val="001E174C"/>
    <w:rsid w:val="001E363F"/>
    <w:rsid w:val="001E3EA5"/>
    <w:rsid w:val="001E5D24"/>
    <w:rsid w:val="001E6382"/>
    <w:rsid w:val="001E6AFB"/>
    <w:rsid w:val="001E718E"/>
    <w:rsid w:val="001E7DE9"/>
    <w:rsid w:val="001F0233"/>
    <w:rsid w:val="001F07B0"/>
    <w:rsid w:val="001F109D"/>
    <w:rsid w:val="001F1809"/>
    <w:rsid w:val="001F1F89"/>
    <w:rsid w:val="001F29F9"/>
    <w:rsid w:val="001F2E2C"/>
    <w:rsid w:val="001F32CD"/>
    <w:rsid w:val="001F3420"/>
    <w:rsid w:val="001F5B5B"/>
    <w:rsid w:val="001F6910"/>
    <w:rsid w:val="0020110E"/>
    <w:rsid w:val="002018F9"/>
    <w:rsid w:val="00202945"/>
    <w:rsid w:val="002033D3"/>
    <w:rsid w:val="00205231"/>
    <w:rsid w:val="002053BA"/>
    <w:rsid w:val="002076B5"/>
    <w:rsid w:val="002100DD"/>
    <w:rsid w:val="00211688"/>
    <w:rsid w:val="0021259B"/>
    <w:rsid w:val="00213DDB"/>
    <w:rsid w:val="0021449E"/>
    <w:rsid w:val="00214608"/>
    <w:rsid w:val="002146D0"/>
    <w:rsid w:val="002147D6"/>
    <w:rsid w:val="00214B75"/>
    <w:rsid w:val="0021699F"/>
    <w:rsid w:val="002175CE"/>
    <w:rsid w:val="00220C62"/>
    <w:rsid w:val="002210B3"/>
    <w:rsid w:val="00226453"/>
    <w:rsid w:val="002305E7"/>
    <w:rsid w:val="00231905"/>
    <w:rsid w:val="00234546"/>
    <w:rsid w:val="00234BEF"/>
    <w:rsid w:val="00234C41"/>
    <w:rsid w:val="00234E23"/>
    <w:rsid w:val="002364E8"/>
    <w:rsid w:val="002373AA"/>
    <w:rsid w:val="002404D1"/>
    <w:rsid w:val="00240C6D"/>
    <w:rsid w:val="0024164A"/>
    <w:rsid w:val="00241779"/>
    <w:rsid w:val="0024344C"/>
    <w:rsid w:val="002435C6"/>
    <w:rsid w:val="0024603B"/>
    <w:rsid w:val="00246ADC"/>
    <w:rsid w:val="00250D97"/>
    <w:rsid w:val="00251463"/>
    <w:rsid w:val="00251796"/>
    <w:rsid w:val="002533D3"/>
    <w:rsid w:val="00253689"/>
    <w:rsid w:val="00253CB9"/>
    <w:rsid w:val="00254490"/>
    <w:rsid w:val="00254C48"/>
    <w:rsid w:val="00255293"/>
    <w:rsid w:val="00256CD7"/>
    <w:rsid w:val="002578CD"/>
    <w:rsid w:val="00257D4F"/>
    <w:rsid w:val="00260D6E"/>
    <w:rsid w:val="00261E09"/>
    <w:rsid w:val="00262E64"/>
    <w:rsid w:val="00263A0C"/>
    <w:rsid w:val="00264667"/>
    <w:rsid w:val="00265689"/>
    <w:rsid w:val="002665E1"/>
    <w:rsid w:val="00267F6F"/>
    <w:rsid w:val="00272450"/>
    <w:rsid w:val="00273B39"/>
    <w:rsid w:val="00274A8E"/>
    <w:rsid w:val="00274BB2"/>
    <w:rsid w:val="00276435"/>
    <w:rsid w:val="00277FBA"/>
    <w:rsid w:val="00281B74"/>
    <w:rsid w:val="002844B1"/>
    <w:rsid w:val="00284DE1"/>
    <w:rsid w:val="00285D26"/>
    <w:rsid w:val="00286929"/>
    <w:rsid w:val="00287DCD"/>
    <w:rsid w:val="002909F0"/>
    <w:rsid w:val="00293265"/>
    <w:rsid w:val="00293FC8"/>
    <w:rsid w:val="00294E6A"/>
    <w:rsid w:val="002962DC"/>
    <w:rsid w:val="00296B4F"/>
    <w:rsid w:val="00297603"/>
    <w:rsid w:val="002A2317"/>
    <w:rsid w:val="002A291A"/>
    <w:rsid w:val="002A39DD"/>
    <w:rsid w:val="002A40AE"/>
    <w:rsid w:val="002A503F"/>
    <w:rsid w:val="002A5B2A"/>
    <w:rsid w:val="002A60A0"/>
    <w:rsid w:val="002A70EB"/>
    <w:rsid w:val="002B0623"/>
    <w:rsid w:val="002B0943"/>
    <w:rsid w:val="002B09AE"/>
    <w:rsid w:val="002B2A27"/>
    <w:rsid w:val="002B30C6"/>
    <w:rsid w:val="002B3972"/>
    <w:rsid w:val="002B535F"/>
    <w:rsid w:val="002B69BB"/>
    <w:rsid w:val="002C0C36"/>
    <w:rsid w:val="002C2B3C"/>
    <w:rsid w:val="002C3298"/>
    <w:rsid w:val="002C3D58"/>
    <w:rsid w:val="002C5159"/>
    <w:rsid w:val="002C6405"/>
    <w:rsid w:val="002C7294"/>
    <w:rsid w:val="002C7B65"/>
    <w:rsid w:val="002D0372"/>
    <w:rsid w:val="002D13D6"/>
    <w:rsid w:val="002D1422"/>
    <w:rsid w:val="002D3A58"/>
    <w:rsid w:val="002E0490"/>
    <w:rsid w:val="002E0754"/>
    <w:rsid w:val="002E406F"/>
    <w:rsid w:val="002E4749"/>
    <w:rsid w:val="002E5ADE"/>
    <w:rsid w:val="002E7209"/>
    <w:rsid w:val="002E7725"/>
    <w:rsid w:val="002E7E3F"/>
    <w:rsid w:val="002F0089"/>
    <w:rsid w:val="002F05A1"/>
    <w:rsid w:val="002F75ED"/>
    <w:rsid w:val="00305F47"/>
    <w:rsid w:val="0030795C"/>
    <w:rsid w:val="003110E1"/>
    <w:rsid w:val="00311645"/>
    <w:rsid w:val="003116B9"/>
    <w:rsid w:val="00311EFB"/>
    <w:rsid w:val="003127B9"/>
    <w:rsid w:val="00312D5D"/>
    <w:rsid w:val="00313DC3"/>
    <w:rsid w:val="0031413B"/>
    <w:rsid w:val="00315896"/>
    <w:rsid w:val="0031640B"/>
    <w:rsid w:val="003169E5"/>
    <w:rsid w:val="00317584"/>
    <w:rsid w:val="00317F64"/>
    <w:rsid w:val="0032011C"/>
    <w:rsid w:val="00320508"/>
    <w:rsid w:val="00320984"/>
    <w:rsid w:val="00322050"/>
    <w:rsid w:val="003222CE"/>
    <w:rsid w:val="003226F0"/>
    <w:rsid w:val="00323AEE"/>
    <w:rsid w:val="003264DA"/>
    <w:rsid w:val="003337F8"/>
    <w:rsid w:val="0033396F"/>
    <w:rsid w:val="003354F3"/>
    <w:rsid w:val="00337B55"/>
    <w:rsid w:val="0034000E"/>
    <w:rsid w:val="00341062"/>
    <w:rsid w:val="003414F9"/>
    <w:rsid w:val="00341519"/>
    <w:rsid w:val="00344427"/>
    <w:rsid w:val="003448C5"/>
    <w:rsid w:val="0034542C"/>
    <w:rsid w:val="0034579B"/>
    <w:rsid w:val="00346596"/>
    <w:rsid w:val="00347FB8"/>
    <w:rsid w:val="003512EF"/>
    <w:rsid w:val="0035219B"/>
    <w:rsid w:val="003526BB"/>
    <w:rsid w:val="00352E4F"/>
    <w:rsid w:val="00353500"/>
    <w:rsid w:val="0035465F"/>
    <w:rsid w:val="003551B6"/>
    <w:rsid w:val="00355F33"/>
    <w:rsid w:val="003569A1"/>
    <w:rsid w:val="003621EC"/>
    <w:rsid w:val="003622E7"/>
    <w:rsid w:val="00362902"/>
    <w:rsid w:val="003641B0"/>
    <w:rsid w:val="00365001"/>
    <w:rsid w:val="00365565"/>
    <w:rsid w:val="00365762"/>
    <w:rsid w:val="00370BEF"/>
    <w:rsid w:val="003721C8"/>
    <w:rsid w:val="00373A3F"/>
    <w:rsid w:val="00374C0B"/>
    <w:rsid w:val="00380E3B"/>
    <w:rsid w:val="00380FF3"/>
    <w:rsid w:val="0038172C"/>
    <w:rsid w:val="00383FA9"/>
    <w:rsid w:val="00385F20"/>
    <w:rsid w:val="00386251"/>
    <w:rsid w:val="0038674F"/>
    <w:rsid w:val="00386BF6"/>
    <w:rsid w:val="00387E4E"/>
    <w:rsid w:val="00391BDD"/>
    <w:rsid w:val="00391D71"/>
    <w:rsid w:val="00391EFE"/>
    <w:rsid w:val="00393405"/>
    <w:rsid w:val="00393911"/>
    <w:rsid w:val="00393E79"/>
    <w:rsid w:val="00394379"/>
    <w:rsid w:val="00397DC0"/>
    <w:rsid w:val="00397EE1"/>
    <w:rsid w:val="003A2CE5"/>
    <w:rsid w:val="003A4498"/>
    <w:rsid w:val="003A5FA8"/>
    <w:rsid w:val="003A6520"/>
    <w:rsid w:val="003A6727"/>
    <w:rsid w:val="003A7DC8"/>
    <w:rsid w:val="003B1A4C"/>
    <w:rsid w:val="003B1E86"/>
    <w:rsid w:val="003B3209"/>
    <w:rsid w:val="003B4899"/>
    <w:rsid w:val="003B6CFC"/>
    <w:rsid w:val="003C005C"/>
    <w:rsid w:val="003C08F7"/>
    <w:rsid w:val="003C0E8E"/>
    <w:rsid w:val="003C1221"/>
    <w:rsid w:val="003C1F3F"/>
    <w:rsid w:val="003C23FA"/>
    <w:rsid w:val="003C3DF0"/>
    <w:rsid w:val="003C4A63"/>
    <w:rsid w:val="003C52F6"/>
    <w:rsid w:val="003C56B1"/>
    <w:rsid w:val="003C6CF3"/>
    <w:rsid w:val="003C6EDF"/>
    <w:rsid w:val="003D03DD"/>
    <w:rsid w:val="003D1CAA"/>
    <w:rsid w:val="003D2C55"/>
    <w:rsid w:val="003D2D81"/>
    <w:rsid w:val="003D3DB9"/>
    <w:rsid w:val="003D3EEF"/>
    <w:rsid w:val="003D4579"/>
    <w:rsid w:val="003D4B15"/>
    <w:rsid w:val="003D4D7C"/>
    <w:rsid w:val="003D6336"/>
    <w:rsid w:val="003D7309"/>
    <w:rsid w:val="003E0AD2"/>
    <w:rsid w:val="003E0D5C"/>
    <w:rsid w:val="003E13CA"/>
    <w:rsid w:val="003E1773"/>
    <w:rsid w:val="003E1DCB"/>
    <w:rsid w:val="003E2C7B"/>
    <w:rsid w:val="003E381A"/>
    <w:rsid w:val="003E3E0D"/>
    <w:rsid w:val="003E4F23"/>
    <w:rsid w:val="003E53C8"/>
    <w:rsid w:val="003E6B8D"/>
    <w:rsid w:val="003E6D7A"/>
    <w:rsid w:val="003E7CAB"/>
    <w:rsid w:val="003F035F"/>
    <w:rsid w:val="003F109E"/>
    <w:rsid w:val="003F26EE"/>
    <w:rsid w:val="003F2B2F"/>
    <w:rsid w:val="003F4B8E"/>
    <w:rsid w:val="003F6343"/>
    <w:rsid w:val="003F739D"/>
    <w:rsid w:val="003F7D0E"/>
    <w:rsid w:val="00400129"/>
    <w:rsid w:val="0040056A"/>
    <w:rsid w:val="004019CD"/>
    <w:rsid w:val="00401ECA"/>
    <w:rsid w:val="00403A31"/>
    <w:rsid w:val="0040447D"/>
    <w:rsid w:val="0040449E"/>
    <w:rsid w:val="004051B9"/>
    <w:rsid w:val="004058BA"/>
    <w:rsid w:val="00405A43"/>
    <w:rsid w:val="00410615"/>
    <w:rsid w:val="00413A89"/>
    <w:rsid w:val="00413EE9"/>
    <w:rsid w:val="00415711"/>
    <w:rsid w:val="004159D1"/>
    <w:rsid w:val="00417FE2"/>
    <w:rsid w:val="00421848"/>
    <w:rsid w:val="00425A6A"/>
    <w:rsid w:val="00425A71"/>
    <w:rsid w:val="00426B87"/>
    <w:rsid w:val="00433091"/>
    <w:rsid w:val="0043368D"/>
    <w:rsid w:val="00433ECC"/>
    <w:rsid w:val="00434ECA"/>
    <w:rsid w:val="0043689F"/>
    <w:rsid w:val="0044012B"/>
    <w:rsid w:val="00442014"/>
    <w:rsid w:val="00443715"/>
    <w:rsid w:val="00445213"/>
    <w:rsid w:val="004472A6"/>
    <w:rsid w:val="00451797"/>
    <w:rsid w:val="00452E45"/>
    <w:rsid w:val="00454351"/>
    <w:rsid w:val="004543F4"/>
    <w:rsid w:val="004548EB"/>
    <w:rsid w:val="00454948"/>
    <w:rsid w:val="004551D2"/>
    <w:rsid w:val="0045624D"/>
    <w:rsid w:val="00464C0D"/>
    <w:rsid w:val="00465242"/>
    <w:rsid w:val="00465FA3"/>
    <w:rsid w:val="00466108"/>
    <w:rsid w:val="004663A9"/>
    <w:rsid w:val="00466664"/>
    <w:rsid w:val="00470775"/>
    <w:rsid w:val="004708BA"/>
    <w:rsid w:val="00470D7D"/>
    <w:rsid w:val="00470DD2"/>
    <w:rsid w:val="00473312"/>
    <w:rsid w:val="0047393D"/>
    <w:rsid w:val="004751D1"/>
    <w:rsid w:val="00475256"/>
    <w:rsid w:val="00475D11"/>
    <w:rsid w:val="00475D90"/>
    <w:rsid w:val="004768A9"/>
    <w:rsid w:val="00476FC6"/>
    <w:rsid w:val="00480F64"/>
    <w:rsid w:val="004819EC"/>
    <w:rsid w:val="00482217"/>
    <w:rsid w:val="00482972"/>
    <w:rsid w:val="00482A71"/>
    <w:rsid w:val="00484D2A"/>
    <w:rsid w:val="00484D61"/>
    <w:rsid w:val="004854CF"/>
    <w:rsid w:val="00485628"/>
    <w:rsid w:val="00485679"/>
    <w:rsid w:val="0048647E"/>
    <w:rsid w:val="0049359F"/>
    <w:rsid w:val="004935BE"/>
    <w:rsid w:val="00494AC1"/>
    <w:rsid w:val="0049642E"/>
    <w:rsid w:val="0049714A"/>
    <w:rsid w:val="004A13F1"/>
    <w:rsid w:val="004A1B88"/>
    <w:rsid w:val="004A2206"/>
    <w:rsid w:val="004A33BE"/>
    <w:rsid w:val="004A5041"/>
    <w:rsid w:val="004A50D7"/>
    <w:rsid w:val="004A64C2"/>
    <w:rsid w:val="004A6813"/>
    <w:rsid w:val="004A787D"/>
    <w:rsid w:val="004B0868"/>
    <w:rsid w:val="004B1BE0"/>
    <w:rsid w:val="004B1EE6"/>
    <w:rsid w:val="004B32D3"/>
    <w:rsid w:val="004B43A4"/>
    <w:rsid w:val="004B4D40"/>
    <w:rsid w:val="004B673B"/>
    <w:rsid w:val="004B707F"/>
    <w:rsid w:val="004C11E7"/>
    <w:rsid w:val="004C2E80"/>
    <w:rsid w:val="004C3635"/>
    <w:rsid w:val="004C5219"/>
    <w:rsid w:val="004C577E"/>
    <w:rsid w:val="004C6007"/>
    <w:rsid w:val="004C62C4"/>
    <w:rsid w:val="004C6CC7"/>
    <w:rsid w:val="004D042E"/>
    <w:rsid w:val="004D06FB"/>
    <w:rsid w:val="004D0CB6"/>
    <w:rsid w:val="004D18D5"/>
    <w:rsid w:val="004D25E7"/>
    <w:rsid w:val="004D2B95"/>
    <w:rsid w:val="004D39B9"/>
    <w:rsid w:val="004D5D8E"/>
    <w:rsid w:val="004D6FC4"/>
    <w:rsid w:val="004D70BA"/>
    <w:rsid w:val="004D7331"/>
    <w:rsid w:val="004D7A30"/>
    <w:rsid w:val="004D7E76"/>
    <w:rsid w:val="004E1E97"/>
    <w:rsid w:val="004E3431"/>
    <w:rsid w:val="004E48F3"/>
    <w:rsid w:val="004E4CBE"/>
    <w:rsid w:val="004E5036"/>
    <w:rsid w:val="004E51A2"/>
    <w:rsid w:val="004E568E"/>
    <w:rsid w:val="004E5966"/>
    <w:rsid w:val="004E6D5B"/>
    <w:rsid w:val="004F05A1"/>
    <w:rsid w:val="004F1DDC"/>
    <w:rsid w:val="004F213C"/>
    <w:rsid w:val="004F2871"/>
    <w:rsid w:val="004F2B0A"/>
    <w:rsid w:val="004F2F3C"/>
    <w:rsid w:val="004F3528"/>
    <w:rsid w:val="004F4055"/>
    <w:rsid w:val="004F4310"/>
    <w:rsid w:val="004F4A9F"/>
    <w:rsid w:val="004F4DC8"/>
    <w:rsid w:val="004F70AA"/>
    <w:rsid w:val="004F7AEB"/>
    <w:rsid w:val="005008F4"/>
    <w:rsid w:val="00501419"/>
    <w:rsid w:val="00502546"/>
    <w:rsid w:val="005030D7"/>
    <w:rsid w:val="005043A2"/>
    <w:rsid w:val="0050441D"/>
    <w:rsid w:val="0050464B"/>
    <w:rsid w:val="005056E8"/>
    <w:rsid w:val="00510B28"/>
    <w:rsid w:val="00511DCF"/>
    <w:rsid w:val="00512515"/>
    <w:rsid w:val="0051399E"/>
    <w:rsid w:val="00513CC5"/>
    <w:rsid w:val="00513DA8"/>
    <w:rsid w:val="00513EAC"/>
    <w:rsid w:val="00514B4F"/>
    <w:rsid w:val="00515B63"/>
    <w:rsid w:val="00516B13"/>
    <w:rsid w:val="005173DC"/>
    <w:rsid w:val="00517937"/>
    <w:rsid w:val="00517AE5"/>
    <w:rsid w:val="00521233"/>
    <w:rsid w:val="005214A3"/>
    <w:rsid w:val="00522CEA"/>
    <w:rsid w:val="00522E50"/>
    <w:rsid w:val="0052334B"/>
    <w:rsid w:val="00523C83"/>
    <w:rsid w:val="00526DEF"/>
    <w:rsid w:val="005270BA"/>
    <w:rsid w:val="00527F56"/>
    <w:rsid w:val="005308E1"/>
    <w:rsid w:val="00530B07"/>
    <w:rsid w:val="00531D41"/>
    <w:rsid w:val="0053237C"/>
    <w:rsid w:val="005336C1"/>
    <w:rsid w:val="00533ECD"/>
    <w:rsid w:val="005349F2"/>
    <w:rsid w:val="00535AA0"/>
    <w:rsid w:val="00541978"/>
    <w:rsid w:val="005419C9"/>
    <w:rsid w:val="00541C3D"/>
    <w:rsid w:val="00541E8F"/>
    <w:rsid w:val="005427A5"/>
    <w:rsid w:val="00542B0B"/>
    <w:rsid w:val="00544931"/>
    <w:rsid w:val="00544AD7"/>
    <w:rsid w:val="00547600"/>
    <w:rsid w:val="00547867"/>
    <w:rsid w:val="005503FD"/>
    <w:rsid w:val="00554034"/>
    <w:rsid w:val="00554447"/>
    <w:rsid w:val="00554C4C"/>
    <w:rsid w:val="00555BE2"/>
    <w:rsid w:val="0056196D"/>
    <w:rsid w:val="00561DA8"/>
    <w:rsid w:val="005622B2"/>
    <w:rsid w:val="00563929"/>
    <w:rsid w:val="00563B01"/>
    <w:rsid w:val="005641F1"/>
    <w:rsid w:val="00570EE4"/>
    <w:rsid w:val="005710DF"/>
    <w:rsid w:val="0057262D"/>
    <w:rsid w:val="005739E0"/>
    <w:rsid w:val="00573E96"/>
    <w:rsid w:val="005750B9"/>
    <w:rsid w:val="00575ADE"/>
    <w:rsid w:val="00577901"/>
    <w:rsid w:val="0058344E"/>
    <w:rsid w:val="00584770"/>
    <w:rsid w:val="00584EB6"/>
    <w:rsid w:val="00585EC9"/>
    <w:rsid w:val="0058632C"/>
    <w:rsid w:val="0059076D"/>
    <w:rsid w:val="005918F3"/>
    <w:rsid w:val="005921C7"/>
    <w:rsid w:val="005930A6"/>
    <w:rsid w:val="00594E35"/>
    <w:rsid w:val="00595FB7"/>
    <w:rsid w:val="00596A4A"/>
    <w:rsid w:val="005A062C"/>
    <w:rsid w:val="005A0907"/>
    <w:rsid w:val="005A1C62"/>
    <w:rsid w:val="005A31BF"/>
    <w:rsid w:val="005A4EBD"/>
    <w:rsid w:val="005A5DF9"/>
    <w:rsid w:val="005A6FBD"/>
    <w:rsid w:val="005A71C3"/>
    <w:rsid w:val="005B1415"/>
    <w:rsid w:val="005B1EF5"/>
    <w:rsid w:val="005B3D56"/>
    <w:rsid w:val="005B41EA"/>
    <w:rsid w:val="005B45CC"/>
    <w:rsid w:val="005B4E84"/>
    <w:rsid w:val="005B6DBD"/>
    <w:rsid w:val="005B7BB5"/>
    <w:rsid w:val="005C09FB"/>
    <w:rsid w:val="005C1247"/>
    <w:rsid w:val="005C133A"/>
    <w:rsid w:val="005C3F94"/>
    <w:rsid w:val="005C43BC"/>
    <w:rsid w:val="005C5884"/>
    <w:rsid w:val="005C7BFE"/>
    <w:rsid w:val="005D0F79"/>
    <w:rsid w:val="005D125D"/>
    <w:rsid w:val="005D176C"/>
    <w:rsid w:val="005D18EC"/>
    <w:rsid w:val="005D1A39"/>
    <w:rsid w:val="005D223C"/>
    <w:rsid w:val="005D2EA3"/>
    <w:rsid w:val="005D35C0"/>
    <w:rsid w:val="005D3E46"/>
    <w:rsid w:val="005D459A"/>
    <w:rsid w:val="005D5065"/>
    <w:rsid w:val="005D5665"/>
    <w:rsid w:val="005D5DF9"/>
    <w:rsid w:val="005D714F"/>
    <w:rsid w:val="005D7397"/>
    <w:rsid w:val="005E14A7"/>
    <w:rsid w:val="005E14FD"/>
    <w:rsid w:val="005E185F"/>
    <w:rsid w:val="005E4633"/>
    <w:rsid w:val="005E47D9"/>
    <w:rsid w:val="005E4961"/>
    <w:rsid w:val="005E4D75"/>
    <w:rsid w:val="005E58DA"/>
    <w:rsid w:val="005E5F1A"/>
    <w:rsid w:val="005E6821"/>
    <w:rsid w:val="005E7120"/>
    <w:rsid w:val="005E7A5D"/>
    <w:rsid w:val="005E7FA4"/>
    <w:rsid w:val="005F1698"/>
    <w:rsid w:val="005F56E6"/>
    <w:rsid w:val="006007DF"/>
    <w:rsid w:val="0060154D"/>
    <w:rsid w:val="006016DC"/>
    <w:rsid w:val="00601D61"/>
    <w:rsid w:val="006057B6"/>
    <w:rsid w:val="006058D3"/>
    <w:rsid w:val="006062DC"/>
    <w:rsid w:val="00607689"/>
    <w:rsid w:val="00611DBC"/>
    <w:rsid w:val="00611FD0"/>
    <w:rsid w:val="006129AA"/>
    <w:rsid w:val="006136F8"/>
    <w:rsid w:val="00615494"/>
    <w:rsid w:val="00615D66"/>
    <w:rsid w:val="00615E51"/>
    <w:rsid w:val="00616231"/>
    <w:rsid w:val="00616B78"/>
    <w:rsid w:val="00616E4C"/>
    <w:rsid w:val="00616EB6"/>
    <w:rsid w:val="00617852"/>
    <w:rsid w:val="00620138"/>
    <w:rsid w:val="00621208"/>
    <w:rsid w:val="00624A58"/>
    <w:rsid w:val="00624C84"/>
    <w:rsid w:val="00624F2E"/>
    <w:rsid w:val="0062647D"/>
    <w:rsid w:val="0062662F"/>
    <w:rsid w:val="00630495"/>
    <w:rsid w:val="006315BE"/>
    <w:rsid w:val="006329F2"/>
    <w:rsid w:val="00633BA0"/>
    <w:rsid w:val="00634EC0"/>
    <w:rsid w:val="0063532E"/>
    <w:rsid w:val="00635613"/>
    <w:rsid w:val="0063561C"/>
    <w:rsid w:val="00636D0C"/>
    <w:rsid w:val="00636E37"/>
    <w:rsid w:val="0063775B"/>
    <w:rsid w:val="006403AD"/>
    <w:rsid w:val="00641560"/>
    <w:rsid w:val="00642122"/>
    <w:rsid w:val="00642388"/>
    <w:rsid w:val="00642BE9"/>
    <w:rsid w:val="00643201"/>
    <w:rsid w:val="00643289"/>
    <w:rsid w:val="00643D7C"/>
    <w:rsid w:val="00646692"/>
    <w:rsid w:val="00646FC8"/>
    <w:rsid w:val="006478A9"/>
    <w:rsid w:val="00647DDF"/>
    <w:rsid w:val="00650854"/>
    <w:rsid w:val="0065133D"/>
    <w:rsid w:val="006526D7"/>
    <w:rsid w:val="00652D25"/>
    <w:rsid w:val="006532C9"/>
    <w:rsid w:val="00653786"/>
    <w:rsid w:val="00654942"/>
    <w:rsid w:val="00656628"/>
    <w:rsid w:val="00656AD6"/>
    <w:rsid w:val="00656B09"/>
    <w:rsid w:val="00657272"/>
    <w:rsid w:val="00660A68"/>
    <w:rsid w:val="00661C4F"/>
    <w:rsid w:val="00662335"/>
    <w:rsid w:val="00662468"/>
    <w:rsid w:val="00662543"/>
    <w:rsid w:val="0066380F"/>
    <w:rsid w:val="00664D96"/>
    <w:rsid w:val="00665055"/>
    <w:rsid w:val="0066735D"/>
    <w:rsid w:val="006706B6"/>
    <w:rsid w:val="00671BB7"/>
    <w:rsid w:val="00672555"/>
    <w:rsid w:val="00672902"/>
    <w:rsid w:val="00672C01"/>
    <w:rsid w:val="00674B2F"/>
    <w:rsid w:val="006750F2"/>
    <w:rsid w:val="0067516B"/>
    <w:rsid w:val="006752F6"/>
    <w:rsid w:val="0067640A"/>
    <w:rsid w:val="00677A31"/>
    <w:rsid w:val="00677A44"/>
    <w:rsid w:val="00677B65"/>
    <w:rsid w:val="006805D4"/>
    <w:rsid w:val="00681217"/>
    <w:rsid w:val="006819A5"/>
    <w:rsid w:val="00683841"/>
    <w:rsid w:val="00683F0B"/>
    <w:rsid w:val="0068408A"/>
    <w:rsid w:val="0068704D"/>
    <w:rsid w:val="006900B9"/>
    <w:rsid w:val="0069043B"/>
    <w:rsid w:val="00690BBA"/>
    <w:rsid w:val="00690C81"/>
    <w:rsid w:val="00691D08"/>
    <w:rsid w:val="00691FE9"/>
    <w:rsid w:val="00692BC8"/>
    <w:rsid w:val="00693C3C"/>
    <w:rsid w:val="00693CA2"/>
    <w:rsid w:val="0069430E"/>
    <w:rsid w:val="006943D1"/>
    <w:rsid w:val="006945AA"/>
    <w:rsid w:val="00697564"/>
    <w:rsid w:val="006A102F"/>
    <w:rsid w:val="006A12A1"/>
    <w:rsid w:val="006A27B2"/>
    <w:rsid w:val="006A2936"/>
    <w:rsid w:val="006A32E2"/>
    <w:rsid w:val="006A4AAB"/>
    <w:rsid w:val="006A5006"/>
    <w:rsid w:val="006A546D"/>
    <w:rsid w:val="006A5E3B"/>
    <w:rsid w:val="006B0903"/>
    <w:rsid w:val="006B2380"/>
    <w:rsid w:val="006B2C05"/>
    <w:rsid w:val="006B4046"/>
    <w:rsid w:val="006B411A"/>
    <w:rsid w:val="006B5301"/>
    <w:rsid w:val="006B553A"/>
    <w:rsid w:val="006B65E8"/>
    <w:rsid w:val="006B69D9"/>
    <w:rsid w:val="006C0CAD"/>
    <w:rsid w:val="006C1984"/>
    <w:rsid w:val="006C1CFD"/>
    <w:rsid w:val="006C58AF"/>
    <w:rsid w:val="006C5B24"/>
    <w:rsid w:val="006C6000"/>
    <w:rsid w:val="006C636A"/>
    <w:rsid w:val="006C69EB"/>
    <w:rsid w:val="006C737B"/>
    <w:rsid w:val="006C7A95"/>
    <w:rsid w:val="006D17CB"/>
    <w:rsid w:val="006D23BF"/>
    <w:rsid w:val="006D39C1"/>
    <w:rsid w:val="006D3B18"/>
    <w:rsid w:val="006D5CE5"/>
    <w:rsid w:val="006D6820"/>
    <w:rsid w:val="006E2868"/>
    <w:rsid w:val="006E31D9"/>
    <w:rsid w:val="006E5288"/>
    <w:rsid w:val="006E639F"/>
    <w:rsid w:val="006F2270"/>
    <w:rsid w:val="006F2509"/>
    <w:rsid w:val="006F592B"/>
    <w:rsid w:val="006F68D7"/>
    <w:rsid w:val="006F725B"/>
    <w:rsid w:val="007001E2"/>
    <w:rsid w:val="007025DB"/>
    <w:rsid w:val="00704C0D"/>
    <w:rsid w:val="00704F67"/>
    <w:rsid w:val="00705926"/>
    <w:rsid w:val="00705F12"/>
    <w:rsid w:val="0070606E"/>
    <w:rsid w:val="00706E4F"/>
    <w:rsid w:val="00706FA4"/>
    <w:rsid w:val="007071AA"/>
    <w:rsid w:val="007103CD"/>
    <w:rsid w:val="00710802"/>
    <w:rsid w:val="00712EE5"/>
    <w:rsid w:val="007139E9"/>
    <w:rsid w:val="00720FF1"/>
    <w:rsid w:val="007213DA"/>
    <w:rsid w:val="00723C4A"/>
    <w:rsid w:val="007247DC"/>
    <w:rsid w:val="00725908"/>
    <w:rsid w:val="0073149D"/>
    <w:rsid w:val="00731898"/>
    <w:rsid w:val="00732937"/>
    <w:rsid w:val="007329AD"/>
    <w:rsid w:val="00733A5A"/>
    <w:rsid w:val="00734406"/>
    <w:rsid w:val="00735528"/>
    <w:rsid w:val="00735E2B"/>
    <w:rsid w:val="007379C6"/>
    <w:rsid w:val="00737B5A"/>
    <w:rsid w:val="00740FC3"/>
    <w:rsid w:val="00741901"/>
    <w:rsid w:val="00743409"/>
    <w:rsid w:val="00743C8F"/>
    <w:rsid w:val="0074678A"/>
    <w:rsid w:val="00746E1D"/>
    <w:rsid w:val="00747065"/>
    <w:rsid w:val="007473E2"/>
    <w:rsid w:val="00747AF2"/>
    <w:rsid w:val="00751224"/>
    <w:rsid w:val="00751641"/>
    <w:rsid w:val="00752D0C"/>
    <w:rsid w:val="00753606"/>
    <w:rsid w:val="0075361A"/>
    <w:rsid w:val="00753D5F"/>
    <w:rsid w:val="007546A0"/>
    <w:rsid w:val="00754CA0"/>
    <w:rsid w:val="0075694F"/>
    <w:rsid w:val="0075710D"/>
    <w:rsid w:val="00757925"/>
    <w:rsid w:val="00761118"/>
    <w:rsid w:val="007621DB"/>
    <w:rsid w:val="00763155"/>
    <w:rsid w:val="007659B2"/>
    <w:rsid w:val="0076696C"/>
    <w:rsid w:val="00766E41"/>
    <w:rsid w:val="007675D2"/>
    <w:rsid w:val="007707B7"/>
    <w:rsid w:val="007709C0"/>
    <w:rsid w:val="007723E0"/>
    <w:rsid w:val="00772DD7"/>
    <w:rsid w:val="00775249"/>
    <w:rsid w:val="00777118"/>
    <w:rsid w:val="00777B55"/>
    <w:rsid w:val="00777FCB"/>
    <w:rsid w:val="00780C04"/>
    <w:rsid w:val="00780CCA"/>
    <w:rsid w:val="007823E7"/>
    <w:rsid w:val="00782D74"/>
    <w:rsid w:val="00782F9C"/>
    <w:rsid w:val="00783CC6"/>
    <w:rsid w:val="00783DB8"/>
    <w:rsid w:val="007853E3"/>
    <w:rsid w:val="00786074"/>
    <w:rsid w:val="0078622C"/>
    <w:rsid w:val="007866E9"/>
    <w:rsid w:val="007867CC"/>
    <w:rsid w:val="00790C89"/>
    <w:rsid w:val="007921E6"/>
    <w:rsid w:val="00793823"/>
    <w:rsid w:val="007939A7"/>
    <w:rsid w:val="00793B5D"/>
    <w:rsid w:val="0079408E"/>
    <w:rsid w:val="007A145C"/>
    <w:rsid w:val="007A314C"/>
    <w:rsid w:val="007A349C"/>
    <w:rsid w:val="007A3CD2"/>
    <w:rsid w:val="007A4610"/>
    <w:rsid w:val="007B1B86"/>
    <w:rsid w:val="007B2CB2"/>
    <w:rsid w:val="007B2F34"/>
    <w:rsid w:val="007B5051"/>
    <w:rsid w:val="007B59E2"/>
    <w:rsid w:val="007B6BE4"/>
    <w:rsid w:val="007B6BE9"/>
    <w:rsid w:val="007B7150"/>
    <w:rsid w:val="007B7B0C"/>
    <w:rsid w:val="007B7E1C"/>
    <w:rsid w:val="007C172E"/>
    <w:rsid w:val="007C3158"/>
    <w:rsid w:val="007C34F1"/>
    <w:rsid w:val="007C3753"/>
    <w:rsid w:val="007C37E0"/>
    <w:rsid w:val="007C3C80"/>
    <w:rsid w:val="007C42AD"/>
    <w:rsid w:val="007C501B"/>
    <w:rsid w:val="007C59F9"/>
    <w:rsid w:val="007C5F9C"/>
    <w:rsid w:val="007D0C5B"/>
    <w:rsid w:val="007D45BB"/>
    <w:rsid w:val="007D4671"/>
    <w:rsid w:val="007D5526"/>
    <w:rsid w:val="007D64D7"/>
    <w:rsid w:val="007E09BA"/>
    <w:rsid w:val="007E2070"/>
    <w:rsid w:val="007E274D"/>
    <w:rsid w:val="007E293A"/>
    <w:rsid w:val="007E3BFC"/>
    <w:rsid w:val="007E4A00"/>
    <w:rsid w:val="007E4D46"/>
    <w:rsid w:val="007E5C95"/>
    <w:rsid w:val="007F2405"/>
    <w:rsid w:val="007F38DD"/>
    <w:rsid w:val="007F3E2A"/>
    <w:rsid w:val="007F58EC"/>
    <w:rsid w:val="007F5E74"/>
    <w:rsid w:val="007F5F01"/>
    <w:rsid w:val="007F5F2C"/>
    <w:rsid w:val="007F7B0E"/>
    <w:rsid w:val="0080075F"/>
    <w:rsid w:val="00800AE5"/>
    <w:rsid w:val="00800E82"/>
    <w:rsid w:val="0080129C"/>
    <w:rsid w:val="008020BC"/>
    <w:rsid w:val="00802B58"/>
    <w:rsid w:val="008032F3"/>
    <w:rsid w:val="0080338B"/>
    <w:rsid w:val="008035AB"/>
    <w:rsid w:val="00803A3E"/>
    <w:rsid w:val="008041B3"/>
    <w:rsid w:val="008051B5"/>
    <w:rsid w:val="008054A7"/>
    <w:rsid w:val="008079B8"/>
    <w:rsid w:val="00807D00"/>
    <w:rsid w:val="00810366"/>
    <w:rsid w:val="00810FE0"/>
    <w:rsid w:val="00811FA7"/>
    <w:rsid w:val="00812134"/>
    <w:rsid w:val="00812D4D"/>
    <w:rsid w:val="00813392"/>
    <w:rsid w:val="008139A9"/>
    <w:rsid w:val="00813D0D"/>
    <w:rsid w:val="008147B1"/>
    <w:rsid w:val="00814A22"/>
    <w:rsid w:val="00814C77"/>
    <w:rsid w:val="00816769"/>
    <w:rsid w:val="00817969"/>
    <w:rsid w:val="00817B8E"/>
    <w:rsid w:val="00822550"/>
    <w:rsid w:val="00823249"/>
    <w:rsid w:val="00823EC8"/>
    <w:rsid w:val="00824C88"/>
    <w:rsid w:val="00825382"/>
    <w:rsid w:val="008265B0"/>
    <w:rsid w:val="008269B6"/>
    <w:rsid w:val="00826F15"/>
    <w:rsid w:val="00827FFD"/>
    <w:rsid w:val="00830C5B"/>
    <w:rsid w:val="00831C16"/>
    <w:rsid w:val="00833289"/>
    <w:rsid w:val="00835F9A"/>
    <w:rsid w:val="0083697B"/>
    <w:rsid w:val="0084034A"/>
    <w:rsid w:val="008429C1"/>
    <w:rsid w:val="00843950"/>
    <w:rsid w:val="00844404"/>
    <w:rsid w:val="00851E8E"/>
    <w:rsid w:val="008525E6"/>
    <w:rsid w:val="00852EBA"/>
    <w:rsid w:val="008532BE"/>
    <w:rsid w:val="00853373"/>
    <w:rsid w:val="00854352"/>
    <w:rsid w:val="0085472D"/>
    <w:rsid w:val="00854EB9"/>
    <w:rsid w:val="00854F82"/>
    <w:rsid w:val="00856215"/>
    <w:rsid w:val="008563FD"/>
    <w:rsid w:val="00856BDA"/>
    <w:rsid w:val="00857083"/>
    <w:rsid w:val="008611DC"/>
    <w:rsid w:val="00861556"/>
    <w:rsid w:val="00862A13"/>
    <w:rsid w:val="0086335C"/>
    <w:rsid w:val="0086362C"/>
    <w:rsid w:val="00863EA6"/>
    <w:rsid w:val="0086723B"/>
    <w:rsid w:val="008704AA"/>
    <w:rsid w:val="008712E0"/>
    <w:rsid w:val="00872D34"/>
    <w:rsid w:val="00873FDF"/>
    <w:rsid w:val="00874C11"/>
    <w:rsid w:val="00875CAE"/>
    <w:rsid w:val="0087724F"/>
    <w:rsid w:val="00877D7E"/>
    <w:rsid w:val="008832B2"/>
    <w:rsid w:val="008833CD"/>
    <w:rsid w:val="008839FF"/>
    <w:rsid w:val="00884C69"/>
    <w:rsid w:val="00885A64"/>
    <w:rsid w:val="00890DE3"/>
    <w:rsid w:val="00891160"/>
    <w:rsid w:val="00893313"/>
    <w:rsid w:val="00893D60"/>
    <w:rsid w:val="00896396"/>
    <w:rsid w:val="00897280"/>
    <w:rsid w:val="008A1FB2"/>
    <w:rsid w:val="008A25B1"/>
    <w:rsid w:val="008A26C9"/>
    <w:rsid w:val="008A44E0"/>
    <w:rsid w:val="008A56D7"/>
    <w:rsid w:val="008A5888"/>
    <w:rsid w:val="008A693B"/>
    <w:rsid w:val="008A7005"/>
    <w:rsid w:val="008A78F6"/>
    <w:rsid w:val="008B0545"/>
    <w:rsid w:val="008B08F3"/>
    <w:rsid w:val="008B0FF8"/>
    <w:rsid w:val="008B489A"/>
    <w:rsid w:val="008B52F2"/>
    <w:rsid w:val="008B6363"/>
    <w:rsid w:val="008B6D79"/>
    <w:rsid w:val="008C2058"/>
    <w:rsid w:val="008C2364"/>
    <w:rsid w:val="008C4B6F"/>
    <w:rsid w:val="008C4EF3"/>
    <w:rsid w:val="008C7973"/>
    <w:rsid w:val="008C7E1F"/>
    <w:rsid w:val="008D023C"/>
    <w:rsid w:val="008D1573"/>
    <w:rsid w:val="008D2F1C"/>
    <w:rsid w:val="008D5279"/>
    <w:rsid w:val="008D5570"/>
    <w:rsid w:val="008D6A56"/>
    <w:rsid w:val="008D6C7B"/>
    <w:rsid w:val="008E01E3"/>
    <w:rsid w:val="008E0A32"/>
    <w:rsid w:val="008E2D8B"/>
    <w:rsid w:val="008E3720"/>
    <w:rsid w:val="008E4179"/>
    <w:rsid w:val="008E45EF"/>
    <w:rsid w:val="008E4E14"/>
    <w:rsid w:val="008E6D92"/>
    <w:rsid w:val="008E72CB"/>
    <w:rsid w:val="008F01E8"/>
    <w:rsid w:val="008F0A33"/>
    <w:rsid w:val="008F0A62"/>
    <w:rsid w:val="008F0C8C"/>
    <w:rsid w:val="008F1496"/>
    <w:rsid w:val="008F1896"/>
    <w:rsid w:val="008F1FC4"/>
    <w:rsid w:val="008F2F35"/>
    <w:rsid w:val="008F42B8"/>
    <w:rsid w:val="008F6425"/>
    <w:rsid w:val="00905D8C"/>
    <w:rsid w:val="0091284B"/>
    <w:rsid w:val="00912EF5"/>
    <w:rsid w:val="0091327D"/>
    <w:rsid w:val="00913EC0"/>
    <w:rsid w:val="00916547"/>
    <w:rsid w:val="00916ED5"/>
    <w:rsid w:val="0091757C"/>
    <w:rsid w:val="0092011A"/>
    <w:rsid w:val="0092099F"/>
    <w:rsid w:val="0092154C"/>
    <w:rsid w:val="00924717"/>
    <w:rsid w:val="00924D98"/>
    <w:rsid w:val="0092678F"/>
    <w:rsid w:val="00927778"/>
    <w:rsid w:val="00927D6E"/>
    <w:rsid w:val="009310F0"/>
    <w:rsid w:val="00931148"/>
    <w:rsid w:val="009367DE"/>
    <w:rsid w:val="009371E7"/>
    <w:rsid w:val="0093774C"/>
    <w:rsid w:val="00937F49"/>
    <w:rsid w:val="00943379"/>
    <w:rsid w:val="009438AE"/>
    <w:rsid w:val="00944009"/>
    <w:rsid w:val="00944E18"/>
    <w:rsid w:val="009501CF"/>
    <w:rsid w:val="00950971"/>
    <w:rsid w:val="009513DA"/>
    <w:rsid w:val="00951D60"/>
    <w:rsid w:val="00951F7A"/>
    <w:rsid w:val="0095451B"/>
    <w:rsid w:val="00955803"/>
    <w:rsid w:val="00955BFA"/>
    <w:rsid w:val="0095639D"/>
    <w:rsid w:val="009578EA"/>
    <w:rsid w:val="00960E6F"/>
    <w:rsid w:val="0096282D"/>
    <w:rsid w:val="009645D5"/>
    <w:rsid w:val="009673A8"/>
    <w:rsid w:val="009676E4"/>
    <w:rsid w:val="0097089C"/>
    <w:rsid w:val="00971C72"/>
    <w:rsid w:val="009764F7"/>
    <w:rsid w:val="009804A0"/>
    <w:rsid w:val="00980EEC"/>
    <w:rsid w:val="00983164"/>
    <w:rsid w:val="00983622"/>
    <w:rsid w:val="0098429C"/>
    <w:rsid w:val="009844A0"/>
    <w:rsid w:val="0098458F"/>
    <w:rsid w:val="00984AA8"/>
    <w:rsid w:val="00986583"/>
    <w:rsid w:val="0098748D"/>
    <w:rsid w:val="0099081A"/>
    <w:rsid w:val="00991EF7"/>
    <w:rsid w:val="00995D93"/>
    <w:rsid w:val="009A0C35"/>
    <w:rsid w:val="009A1DD0"/>
    <w:rsid w:val="009A2784"/>
    <w:rsid w:val="009A47FF"/>
    <w:rsid w:val="009A4D6B"/>
    <w:rsid w:val="009A4DEA"/>
    <w:rsid w:val="009A4E1A"/>
    <w:rsid w:val="009A5248"/>
    <w:rsid w:val="009B064D"/>
    <w:rsid w:val="009B4322"/>
    <w:rsid w:val="009B4847"/>
    <w:rsid w:val="009B51F6"/>
    <w:rsid w:val="009B56EE"/>
    <w:rsid w:val="009B6FAC"/>
    <w:rsid w:val="009B7F01"/>
    <w:rsid w:val="009C066B"/>
    <w:rsid w:val="009C08B4"/>
    <w:rsid w:val="009C0B72"/>
    <w:rsid w:val="009C1627"/>
    <w:rsid w:val="009C3C84"/>
    <w:rsid w:val="009C3D83"/>
    <w:rsid w:val="009C5E04"/>
    <w:rsid w:val="009D0AF6"/>
    <w:rsid w:val="009D3CBA"/>
    <w:rsid w:val="009D600C"/>
    <w:rsid w:val="009D6E2F"/>
    <w:rsid w:val="009D7055"/>
    <w:rsid w:val="009E0885"/>
    <w:rsid w:val="009E1677"/>
    <w:rsid w:val="009E2454"/>
    <w:rsid w:val="009E2C5A"/>
    <w:rsid w:val="009E5394"/>
    <w:rsid w:val="009E6504"/>
    <w:rsid w:val="009E7B85"/>
    <w:rsid w:val="009F0525"/>
    <w:rsid w:val="009F0FC8"/>
    <w:rsid w:val="009F1DA1"/>
    <w:rsid w:val="009F3237"/>
    <w:rsid w:val="009F3548"/>
    <w:rsid w:val="009F418E"/>
    <w:rsid w:val="009F64CF"/>
    <w:rsid w:val="009F796B"/>
    <w:rsid w:val="00A00E50"/>
    <w:rsid w:val="00A01502"/>
    <w:rsid w:val="00A01531"/>
    <w:rsid w:val="00A0225E"/>
    <w:rsid w:val="00A02473"/>
    <w:rsid w:val="00A05F97"/>
    <w:rsid w:val="00A1184E"/>
    <w:rsid w:val="00A11A78"/>
    <w:rsid w:val="00A14FFD"/>
    <w:rsid w:val="00A17794"/>
    <w:rsid w:val="00A20EE5"/>
    <w:rsid w:val="00A21634"/>
    <w:rsid w:val="00A2374F"/>
    <w:rsid w:val="00A23A48"/>
    <w:rsid w:val="00A24F5B"/>
    <w:rsid w:val="00A25C70"/>
    <w:rsid w:val="00A26923"/>
    <w:rsid w:val="00A26A2D"/>
    <w:rsid w:val="00A27802"/>
    <w:rsid w:val="00A31108"/>
    <w:rsid w:val="00A320C5"/>
    <w:rsid w:val="00A34D62"/>
    <w:rsid w:val="00A35BCD"/>
    <w:rsid w:val="00A35C93"/>
    <w:rsid w:val="00A36649"/>
    <w:rsid w:val="00A37B58"/>
    <w:rsid w:val="00A41BDC"/>
    <w:rsid w:val="00A42F0F"/>
    <w:rsid w:val="00A432D4"/>
    <w:rsid w:val="00A454C6"/>
    <w:rsid w:val="00A457C6"/>
    <w:rsid w:val="00A50E9F"/>
    <w:rsid w:val="00A519C5"/>
    <w:rsid w:val="00A5282A"/>
    <w:rsid w:val="00A530BF"/>
    <w:rsid w:val="00A53A97"/>
    <w:rsid w:val="00A5429A"/>
    <w:rsid w:val="00A5460E"/>
    <w:rsid w:val="00A567E7"/>
    <w:rsid w:val="00A61963"/>
    <w:rsid w:val="00A6196F"/>
    <w:rsid w:val="00A63191"/>
    <w:rsid w:val="00A637B0"/>
    <w:rsid w:val="00A66AC3"/>
    <w:rsid w:val="00A67AAB"/>
    <w:rsid w:val="00A70B8F"/>
    <w:rsid w:val="00A70D7C"/>
    <w:rsid w:val="00A72921"/>
    <w:rsid w:val="00A733AE"/>
    <w:rsid w:val="00A73D1E"/>
    <w:rsid w:val="00A74E95"/>
    <w:rsid w:val="00A758AA"/>
    <w:rsid w:val="00A77C2A"/>
    <w:rsid w:val="00A82FD2"/>
    <w:rsid w:val="00A8412E"/>
    <w:rsid w:val="00A85ACD"/>
    <w:rsid w:val="00A862EA"/>
    <w:rsid w:val="00A8696E"/>
    <w:rsid w:val="00A86FC6"/>
    <w:rsid w:val="00A872AE"/>
    <w:rsid w:val="00A87A5B"/>
    <w:rsid w:val="00A87DFC"/>
    <w:rsid w:val="00A904A4"/>
    <w:rsid w:val="00A909F8"/>
    <w:rsid w:val="00A91A43"/>
    <w:rsid w:val="00A9223B"/>
    <w:rsid w:val="00A92ABF"/>
    <w:rsid w:val="00A95BB5"/>
    <w:rsid w:val="00AA0F91"/>
    <w:rsid w:val="00AA13F4"/>
    <w:rsid w:val="00AA18D1"/>
    <w:rsid w:val="00AA43ED"/>
    <w:rsid w:val="00AA6774"/>
    <w:rsid w:val="00AA70D1"/>
    <w:rsid w:val="00AA73E3"/>
    <w:rsid w:val="00AA7DFB"/>
    <w:rsid w:val="00AB0547"/>
    <w:rsid w:val="00AB1300"/>
    <w:rsid w:val="00AB2FB7"/>
    <w:rsid w:val="00AB38A4"/>
    <w:rsid w:val="00AB3BAD"/>
    <w:rsid w:val="00AB6449"/>
    <w:rsid w:val="00AC070E"/>
    <w:rsid w:val="00AC2275"/>
    <w:rsid w:val="00AC302C"/>
    <w:rsid w:val="00AC3B3C"/>
    <w:rsid w:val="00AC3FC0"/>
    <w:rsid w:val="00AC4A2B"/>
    <w:rsid w:val="00AC50FC"/>
    <w:rsid w:val="00AC561B"/>
    <w:rsid w:val="00AC6291"/>
    <w:rsid w:val="00AC67CB"/>
    <w:rsid w:val="00AC69A3"/>
    <w:rsid w:val="00AD09E0"/>
    <w:rsid w:val="00AD1CF4"/>
    <w:rsid w:val="00AD32EA"/>
    <w:rsid w:val="00AD4866"/>
    <w:rsid w:val="00AD65D8"/>
    <w:rsid w:val="00AD7E9B"/>
    <w:rsid w:val="00AE1557"/>
    <w:rsid w:val="00AE2225"/>
    <w:rsid w:val="00AE25D0"/>
    <w:rsid w:val="00AE36DC"/>
    <w:rsid w:val="00AE3991"/>
    <w:rsid w:val="00AE40D1"/>
    <w:rsid w:val="00AF3EA1"/>
    <w:rsid w:val="00AF6241"/>
    <w:rsid w:val="00AF681A"/>
    <w:rsid w:val="00AF6AD5"/>
    <w:rsid w:val="00AF6C48"/>
    <w:rsid w:val="00AF73FF"/>
    <w:rsid w:val="00B00B74"/>
    <w:rsid w:val="00B01325"/>
    <w:rsid w:val="00B01BD3"/>
    <w:rsid w:val="00B03A0A"/>
    <w:rsid w:val="00B041FE"/>
    <w:rsid w:val="00B04D53"/>
    <w:rsid w:val="00B070C3"/>
    <w:rsid w:val="00B10BD2"/>
    <w:rsid w:val="00B13A85"/>
    <w:rsid w:val="00B1436E"/>
    <w:rsid w:val="00B16138"/>
    <w:rsid w:val="00B17756"/>
    <w:rsid w:val="00B20A9F"/>
    <w:rsid w:val="00B21DCB"/>
    <w:rsid w:val="00B22D16"/>
    <w:rsid w:val="00B23A68"/>
    <w:rsid w:val="00B23D1D"/>
    <w:rsid w:val="00B250B6"/>
    <w:rsid w:val="00B25521"/>
    <w:rsid w:val="00B305DA"/>
    <w:rsid w:val="00B30A74"/>
    <w:rsid w:val="00B3154B"/>
    <w:rsid w:val="00B31D57"/>
    <w:rsid w:val="00B32122"/>
    <w:rsid w:val="00B33701"/>
    <w:rsid w:val="00B33EE7"/>
    <w:rsid w:val="00B34F98"/>
    <w:rsid w:val="00B37177"/>
    <w:rsid w:val="00B40096"/>
    <w:rsid w:val="00B4039E"/>
    <w:rsid w:val="00B408AE"/>
    <w:rsid w:val="00B419E5"/>
    <w:rsid w:val="00B426E5"/>
    <w:rsid w:val="00B42EB9"/>
    <w:rsid w:val="00B44AFC"/>
    <w:rsid w:val="00B44F1A"/>
    <w:rsid w:val="00B470CA"/>
    <w:rsid w:val="00B471B2"/>
    <w:rsid w:val="00B47928"/>
    <w:rsid w:val="00B47B01"/>
    <w:rsid w:val="00B50D60"/>
    <w:rsid w:val="00B51853"/>
    <w:rsid w:val="00B52167"/>
    <w:rsid w:val="00B537DB"/>
    <w:rsid w:val="00B55C54"/>
    <w:rsid w:val="00B60163"/>
    <w:rsid w:val="00B603A9"/>
    <w:rsid w:val="00B60B48"/>
    <w:rsid w:val="00B61605"/>
    <w:rsid w:val="00B61E12"/>
    <w:rsid w:val="00B622DF"/>
    <w:rsid w:val="00B62568"/>
    <w:rsid w:val="00B645CE"/>
    <w:rsid w:val="00B64E09"/>
    <w:rsid w:val="00B67367"/>
    <w:rsid w:val="00B728F7"/>
    <w:rsid w:val="00B73CA7"/>
    <w:rsid w:val="00B742EF"/>
    <w:rsid w:val="00B77745"/>
    <w:rsid w:val="00B77E7D"/>
    <w:rsid w:val="00B80911"/>
    <w:rsid w:val="00B80BEE"/>
    <w:rsid w:val="00B81B4D"/>
    <w:rsid w:val="00B85DD4"/>
    <w:rsid w:val="00B86464"/>
    <w:rsid w:val="00B8733B"/>
    <w:rsid w:val="00B8743D"/>
    <w:rsid w:val="00B87B50"/>
    <w:rsid w:val="00B91298"/>
    <w:rsid w:val="00B918CF"/>
    <w:rsid w:val="00B91A6C"/>
    <w:rsid w:val="00B927FE"/>
    <w:rsid w:val="00B93B9B"/>
    <w:rsid w:val="00B940BD"/>
    <w:rsid w:val="00B94531"/>
    <w:rsid w:val="00B95CEF"/>
    <w:rsid w:val="00B96ED5"/>
    <w:rsid w:val="00B973CC"/>
    <w:rsid w:val="00BA2FDE"/>
    <w:rsid w:val="00BA4FF8"/>
    <w:rsid w:val="00BA6700"/>
    <w:rsid w:val="00BA6922"/>
    <w:rsid w:val="00BA7FBF"/>
    <w:rsid w:val="00BB07CD"/>
    <w:rsid w:val="00BB1963"/>
    <w:rsid w:val="00BB1AE9"/>
    <w:rsid w:val="00BB2815"/>
    <w:rsid w:val="00BB4CEC"/>
    <w:rsid w:val="00BB56DA"/>
    <w:rsid w:val="00BB60C9"/>
    <w:rsid w:val="00BB6372"/>
    <w:rsid w:val="00BB6638"/>
    <w:rsid w:val="00BB6704"/>
    <w:rsid w:val="00BB6DC8"/>
    <w:rsid w:val="00BB7484"/>
    <w:rsid w:val="00BC1C50"/>
    <w:rsid w:val="00BC72D0"/>
    <w:rsid w:val="00BD0CA4"/>
    <w:rsid w:val="00BD2C4D"/>
    <w:rsid w:val="00BD332F"/>
    <w:rsid w:val="00BD501D"/>
    <w:rsid w:val="00BD57F5"/>
    <w:rsid w:val="00BD7B96"/>
    <w:rsid w:val="00BE03DF"/>
    <w:rsid w:val="00BE0414"/>
    <w:rsid w:val="00BE165B"/>
    <w:rsid w:val="00BE2155"/>
    <w:rsid w:val="00BE2794"/>
    <w:rsid w:val="00BE2BE7"/>
    <w:rsid w:val="00BE3964"/>
    <w:rsid w:val="00BE3F24"/>
    <w:rsid w:val="00BE5E71"/>
    <w:rsid w:val="00BE7CF4"/>
    <w:rsid w:val="00BE7D6A"/>
    <w:rsid w:val="00BE7E82"/>
    <w:rsid w:val="00BF2A93"/>
    <w:rsid w:val="00BF32EA"/>
    <w:rsid w:val="00BF3F0D"/>
    <w:rsid w:val="00BF5BDC"/>
    <w:rsid w:val="00BF7557"/>
    <w:rsid w:val="00C00305"/>
    <w:rsid w:val="00C004A9"/>
    <w:rsid w:val="00C01B58"/>
    <w:rsid w:val="00C02A44"/>
    <w:rsid w:val="00C02D15"/>
    <w:rsid w:val="00C030F6"/>
    <w:rsid w:val="00C03621"/>
    <w:rsid w:val="00C0392D"/>
    <w:rsid w:val="00C0418D"/>
    <w:rsid w:val="00C07436"/>
    <w:rsid w:val="00C0775B"/>
    <w:rsid w:val="00C079C7"/>
    <w:rsid w:val="00C07D39"/>
    <w:rsid w:val="00C1036B"/>
    <w:rsid w:val="00C106CB"/>
    <w:rsid w:val="00C109BA"/>
    <w:rsid w:val="00C11D30"/>
    <w:rsid w:val="00C11E34"/>
    <w:rsid w:val="00C1345D"/>
    <w:rsid w:val="00C14B7B"/>
    <w:rsid w:val="00C14E63"/>
    <w:rsid w:val="00C16743"/>
    <w:rsid w:val="00C1782A"/>
    <w:rsid w:val="00C205DE"/>
    <w:rsid w:val="00C2099D"/>
    <w:rsid w:val="00C20FB1"/>
    <w:rsid w:val="00C22015"/>
    <w:rsid w:val="00C2237A"/>
    <w:rsid w:val="00C2351A"/>
    <w:rsid w:val="00C24679"/>
    <w:rsid w:val="00C25602"/>
    <w:rsid w:val="00C25933"/>
    <w:rsid w:val="00C25997"/>
    <w:rsid w:val="00C33647"/>
    <w:rsid w:val="00C33BDC"/>
    <w:rsid w:val="00C34D47"/>
    <w:rsid w:val="00C3575A"/>
    <w:rsid w:val="00C35E02"/>
    <w:rsid w:val="00C36B10"/>
    <w:rsid w:val="00C37D2E"/>
    <w:rsid w:val="00C40915"/>
    <w:rsid w:val="00C41460"/>
    <w:rsid w:val="00C467FD"/>
    <w:rsid w:val="00C50674"/>
    <w:rsid w:val="00C508EA"/>
    <w:rsid w:val="00C50A9C"/>
    <w:rsid w:val="00C5306C"/>
    <w:rsid w:val="00C54228"/>
    <w:rsid w:val="00C55447"/>
    <w:rsid w:val="00C55821"/>
    <w:rsid w:val="00C56BF5"/>
    <w:rsid w:val="00C56D2A"/>
    <w:rsid w:val="00C61705"/>
    <w:rsid w:val="00C618D4"/>
    <w:rsid w:val="00C6395C"/>
    <w:rsid w:val="00C63B75"/>
    <w:rsid w:val="00C66D48"/>
    <w:rsid w:val="00C66F41"/>
    <w:rsid w:val="00C672AE"/>
    <w:rsid w:val="00C67E57"/>
    <w:rsid w:val="00C715DF"/>
    <w:rsid w:val="00C7176A"/>
    <w:rsid w:val="00C7228C"/>
    <w:rsid w:val="00C759E2"/>
    <w:rsid w:val="00C773B0"/>
    <w:rsid w:val="00C77520"/>
    <w:rsid w:val="00C77FE3"/>
    <w:rsid w:val="00C80A8B"/>
    <w:rsid w:val="00C80CD2"/>
    <w:rsid w:val="00C81A84"/>
    <w:rsid w:val="00C8231D"/>
    <w:rsid w:val="00C82390"/>
    <w:rsid w:val="00C829B3"/>
    <w:rsid w:val="00C8425A"/>
    <w:rsid w:val="00C8459C"/>
    <w:rsid w:val="00C84A75"/>
    <w:rsid w:val="00C85BA6"/>
    <w:rsid w:val="00C8626C"/>
    <w:rsid w:val="00C864CD"/>
    <w:rsid w:val="00C87543"/>
    <w:rsid w:val="00C87D75"/>
    <w:rsid w:val="00C901C5"/>
    <w:rsid w:val="00C90421"/>
    <w:rsid w:val="00C90537"/>
    <w:rsid w:val="00C9165D"/>
    <w:rsid w:val="00C91E4C"/>
    <w:rsid w:val="00C93343"/>
    <w:rsid w:val="00C94074"/>
    <w:rsid w:val="00C947FB"/>
    <w:rsid w:val="00C9522F"/>
    <w:rsid w:val="00C956B4"/>
    <w:rsid w:val="00C958C2"/>
    <w:rsid w:val="00C96B6D"/>
    <w:rsid w:val="00C97FA7"/>
    <w:rsid w:val="00CA217A"/>
    <w:rsid w:val="00CA302A"/>
    <w:rsid w:val="00CA6107"/>
    <w:rsid w:val="00CA65B3"/>
    <w:rsid w:val="00CA7598"/>
    <w:rsid w:val="00CA7D44"/>
    <w:rsid w:val="00CB0C02"/>
    <w:rsid w:val="00CB1642"/>
    <w:rsid w:val="00CB1AD6"/>
    <w:rsid w:val="00CB3E95"/>
    <w:rsid w:val="00CB4686"/>
    <w:rsid w:val="00CB4B35"/>
    <w:rsid w:val="00CB5060"/>
    <w:rsid w:val="00CB7ABD"/>
    <w:rsid w:val="00CC0582"/>
    <w:rsid w:val="00CC1C0E"/>
    <w:rsid w:val="00CC210D"/>
    <w:rsid w:val="00CC24FA"/>
    <w:rsid w:val="00CC3258"/>
    <w:rsid w:val="00CC3303"/>
    <w:rsid w:val="00CC49C6"/>
    <w:rsid w:val="00CC63E3"/>
    <w:rsid w:val="00CC7389"/>
    <w:rsid w:val="00CD00F2"/>
    <w:rsid w:val="00CD02F2"/>
    <w:rsid w:val="00CD041C"/>
    <w:rsid w:val="00CD06DF"/>
    <w:rsid w:val="00CD12C9"/>
    <w:rsid w:val="00CD4054"/>
    <w:rsid w:val="00CD432D"/>
    <w:rsid w:val="00CD46E9"/>
    <w:rsid w:val="00CD5CF2"/>
    <w:rsid w:val="00CD5F4F"/>
    <w:rsid w:val="00CD75C4"/>
    <w:rsid w:val="00CE0C1A"/>
    <w:rsid w:val="00CE1804"/>
    <w:rsid w:val="00CE1B36"/>
    <w:rsid w:val="00CE23D0"/>
    <w:rsid w:val="00CE25E4"/>
    <w:rsid w:val="00CE3096"/>
    <w:rsid w:val="00CE3DA8"/>
    <w:rsid w:val="00CE3FA5"/>
    <w:rsid w:val="00CE498E"/>
    <w:rsid w:val="00CE5F52"/>
    <w:rsid w:val="00CE5FFE"/>
    <w:rsid w:val="00CE7143"/>
    <w:rsid w:val="00CE740C"/>
    <w:rsid w:val="00CE760A"/>
    <w:rsid w:val="00CE79E7"/>
    <w:rsid w:val="00CF1154"/>
    <w:rsid w:val="00CF1A21"/>
    <w:rsid w:val="00CF361F"/>
    <w:rsid w:val="00CF3C71"/>
    <w:rsid w:val="00CF4201"/>
    <w:rsid w:val="00CF42EB"/>
    <w:rsid w:val="00CF43A6"/>
    <w:rsid w:val="00CF4AAF"/>
    <w:rsid w:val="00CF53A2"/>
    <w:rsid w:val="00D00FAF"/>
    <w:rsid w:val="00D01063"/>
    <w:rsid w:val="00D01079"/>
    <w:rsid w:val="00D02784"/>
    <w:rsid w:val="00D02AE5"/>
    <w:rsid w:val="00D03207"/>
    <w:rsid w:val="00D03625"/>
    <w:rsid w:val="00D0417D"/>
    <w:rsid w:val="00D05FDC"/>
    <w:rsid w:val="00D0696E"/>
    <w:rsid w:val="00D076CB"/>
    <w:rsid w:val="00D07914"/>
    <w:rsid w:val="00D11736"/>
    <w:rsid w:val="00D120FA"/>
    <w:rsid w:val="00D12871"/>
    <w:rsid w:val="00D134C7"/>
    <w:rsid w:val="00D170DA"/>
    <w:rsid w:val="00D17EC9"/>
    <w:rsid w:val="00D205A8"/>
    <w:rsid w:val="00D20C94"/>
    <w:rsid w:val="00D21283"/>
    <w:rsid w:val="00D21AF8"/>
    <w:rsid w:val="00D2208F"/>
    <w:rsid w:val="00D2653D"/>
    <w:rsid w:val="00D279B2"/>
    <w:rsid w:val="00D30EBE"/>
    <w:rsid w:val="00D31370"/>
    <w:rsid w:val="00D32589"/>
    <w:rsid w:val="00D33E99"/>
    <w:rsid w:val="00D3412B"/>
    <w:rsid w:val="00D34E03"/>
    <w:rsid w:val="00D35F88"/>
    <w:rsid w:val="00D37644"/>
    <w:rsid w:val="00D3784C"/>
    <w:rsid w:val="00D378BE"/>
    <w:rsid w:val="00D379FF"/>
    <w:rsid w:val="00D37A89"/>
    <w:rsid w:val="00D37A97"/>
    <w:rsid w:val="00D37F70"/>
    <w:rsid w:val="00D4044F"/>
    <w:rsid w:val="00D40A46"/>
    <w:rsid w:val="00D415F7"/>
    <w:rsid w:val="00D4199C"/>
    <w:rsid w:val="00D41C39"/>
    <w:rsid w:val="00D41D74"/>
    <w:rsid w:val="00D43B62"/>
    <w:rsid w:val="00D44837"/>
    <w:rsid w:val="00D44BD0"/>
    <w:rsid w:val="00D458F1"/>
    <w:rsid w:val="00D46DA9"/>
    <w:rsid w:val="00D4723E"/>
    <w:rsid w:val="00D47E56"/>
    <w:rsid w:val="00D5015B"/>
    <w:rsid w:val="00D51F0F"/>
    <w:rsid w:val="00D521BA"/>
    <w:rsid w:val="00D52805"/>
    <w:rsid w:val="00D5476F"/>
    <w:rsid w:val="00D550B3"/>
    <w:rsid w:val="00D55B70"/>
    <w:rsid w:val="00D56833"/>
    <w:rsid w:val="00D60345"/>
    <w:rsid w:val="00D61CD0"/>
    <w:rsid w:val="00D62BD7"/>
    <w:rsid w:val="00D64060"/>
    <w:rsid w:val="00D65F8E"/>
    <w:rsid w:val="00D66042"/>
    <w:rsid w:val="00D7210C"/>
    <w:rsid w:val="00D738F4"/>
    <w:rsid w:val="00D747B1"/>
    <w:rsid w:val="00D74EB0"/>
    <w:rsid w:val="00D76673"/>
    <w:rsid w:val="00D76A3F"/>
    <w:rsid w:val="00D77CF1"/>
    <w:rsid w:val="00D8158E"/>
    <w:rsid w:val="00D81B15"/>
    <w:rsid w:val="00D82CBA"/>
    <w:rsid w:val="00D834E8"/>
    <w:rsid w:val="00D83E50"/>
    <w:rsid w:val="00D845BA"/>
    <w:rsid w:val="00D8487F"/>
    <w:rsid w:val="00D84A1B"/>
    <w:rsid w:val="00D855DF"/>
    <w:rsid w:val="00D86661"/>
    <w:rsid w:val="00D86A78"/>
    <w:rsid w:val="00D86C45"/>
    <w:rsid w:val="00D91E91"/>
    <w:rsid w:val="00D92EDB"/>
    <w:rsid w:val="00D965FC"/>
    <w:rsid w:val="00D969CC"/>
    <w:rsid w:val="00D97F9E"/>
    <w:rsid w:val="00DA08B4"/>
    <w:rsid w:val="00DA1886"/>
    <w:rsid w:val="00DA37A4"/>
    <w:rsid w:val="00DA39F7"/>
    <w:rsid w:val="00DA3BF8"/>
    <w:rsid w:val="00DA3E97"/>
    <w:rsid w:val="00DA42BF"/>
    <w:rsid w:val="00DA4658"/>
    <w:rsid w:val="00DA6BA8"/>
    <w:rsid w:val="00DA7436"/>
    <w:rsid w:val="00DB1A1C"/>
    <w:rsid w:val="00DB27E0"/>
    <w:rsid w:val="00DB4F7B"/>
    <w:rsid w:val="00DC0EBD"/>
    <w:rsid w:val="00DC0ED5"/>
    <w:rsid w:val="00DC101E"/>
    <w:rsid w:val="00DC155C"/>
    <w:rsid w:val="00DC2115"/>
    <w:rsid w:val="00DC55E5"/>
    <w:rsid w:val="00DC6BA7"/>
    <w:rsid w:val="00DD040B"/>
    <w:rsid w:val="00DD1CCC"/>
    <w:rsid w:val="00DD2ABC"/>
    <w:rsid w:val="00DD2F9F"/>
    <w:rsid w:val="00DD3EA1"/>
    <w:rsid w:val="00DD4CA5"/>
    <w:rsid w:val="00DD664A"/>
    <w:rsid w:val="00DD689C"/>
    <w:rsid w:val="00DD6A16"/>
    <w:rsid w:val="00DD77FB"/>
    <w:rsid w:val="00DD78A5"/>
    <w:rsid w:val="00DE144E"/>
    <w:rsid w:val="00DE42F4"/>
    <w:rsid w:val="00DE4C90"/>
    <w:rsid w:val="00DE6A7D"/>
    <w:rsid w:val="00DF0180"/>
    <w:rsid w:val="00DF35E3"/>
    <w:rsid w:val="00DF6BEC"/>
    <w:rsid w:val="00DF71BE"/>
    <w:rsid w:val="00DF7697"/>
    <w:rsid w:val="00DF78E7"/>
    <w:rsid w:val="00DF7BE6"/>
    <w:rsid w:val="00E00B54"/>
    <w:rsid w:val="00E0109D"/>
    <w:rsid w:val="00E01329"/>
    <w:rsid w:val="00E0267D"/>
    <w:rsid w:val="00E02C7A"/>
    <w:rsid w:val="00E03759"/>
    <w:rsid w:val="00E0408D"/>
    <w:rsid w:val="00E055E8"/>
    <w:rsid w:val="00E06E45"/>
    <w:rsid w:val="00E10218"/>
    <w:rsid w:val="00E1022C"/>
    <w:rsid w:val="00E1087A"/>
    <w:rsid w:val="00E12452"/>
    <w:rsid w:val="00E126EF"/>
    <w:rsid w:val="00E141B8"/>
    <w:rsid w:val="00E14C58"/>
    <w:rsid w:val="00E179FF"/>
    <w:rsid w:val="00E17D04"/>
    <w:rsid w:val="00E2125C"/>
    <w:rsid w:val="00E2322C"/>
    <w:rsid w:val="00E2488F"/>
    <w:rsid w:val="00E269A5"/>
    <w:rsid w:val="00E26A13"/>
    <w:rsid w:val="00E27206"/>
    <w:rsid w:val="00E27303"/>
    <w:rsid w:val="00E319F1"/>
    <w:rsid w:val="00E32646"/>
    <w:rsid w:val="00E32848"/>
    <w:rsid w:val="00E32D7C"/>
    <w:rsid w:val="00E335D0"/>
    <w:rsid w:val="00E33DF4"/>
    <w:rsid w:val="00E3411F"/>
    <w:rsid w:val="00E34692"/>
    <w:rsid w:val="00E34946"/>
    <w:rsid w:val="00E35E99"/>
    <w:rsid w:val="00E36F82"/>
    <w:rsid w:val="00E37512"/>
    <w:rsid w:val="00E37EE2"/>
    <w:rsid w:val="00E421F9"/>
    <w:rsid w:val="00E42D0C"/>
    <w:rsid w:val="00E449E9"/>
    <w:rsid w:val="00E459BD"/>
    <w:rsid w:val="00E45AF1"/>
    <w:rsid w:val="00E4627E"/>
    <w:rsid w:val="00E467F5"/>
    <w:rsid w:val="00E46B29"/>
    <w:rsid w:val="00E47D87"/>
    <w:rsid w:val="00E47FD1"/>
    <w:rsid w:val="00E507F7"/>
    <w:rsid w:val="00E50EB3"/>
    <w:rsid w:val="00E51017"/>
    <w:rsid w:val="00E517EC"/>
    <w:rsid w:val="00E527EC"/>
    <w:rsid w:val="00E52BBA"/>
    <w:rsid w:val="00E53040"/>
    <w:rsid w:val="00E56B77"/>
    <w:rsid w:val="00E5736C"/>
    <w:rsid w:val="00E57D10"/>
    <w:rsid w:val="00E62FD6"/>
    <w:rsid w:val="00E64E48"/>
    <w:rsid w:val="00E652FF"/>
    <w:rsid w:val="00E654B2"/>
    <w:rsid w:val="00E655BE"/>
    <w:rsid w:val="00E66AA9"/>
    <w:rsid w:val="00E67004"/>
    <w:rsid w:val="00E70010"/>
    <w:rsid w:val="00E713FD"/>
    <w:rsid w:val="00E71B89"/>
    <w:rsid w:val="00E71C47"/>
    <w:rsid w:val="00E73703"/>
    <w:rsid w:val="00E73D6A"/>
    <w:rsid w:val="00E74E7C"/>
    <w:rsid w:val="00E7519F"/>
    <w:rsid w:val="00E75289"/>
    <w:rsid w:val="00E755CF"/>
    <w:rsid w:val="00E7709F"/>
    <w:rsid w:val="00E77380"/>
    <w:rsid w:val="00E775EA"/>
    <w:rsid w:val="00E802C3"/>
    <w:rsid w:val="00E80375"/>
    <w:rsid w:val="00E818EF"/>
    <w:rsid w:val="00E82932"/>
    <w:rsid w:val="00E83084"/>
    <w:rsid w:val="00E836A4"/>
    <w:rsid w:val="00E84464"/>
    <w:rsid w:val="00E85886"/>
    <w:rsid w:val="00E86129"/>
    <w:rsid w:val="00E86F96"/>
    <w:rsid w:val="00E877E2"/>
    <w:rsid w:val="00E905C0"/>
    <w:rsid w:val="00E924A1"/>
    <w:rsid w:val="00E936F9"/>
    <w:rsid w:val="00E96A95"/>
    <w:rsid w:val="00E96D22"/>
    <w:rsid w:val="00EA3901"/>
    <w:rsid w:val="00EA391A"/>
    <w:rsid w:val="00EA3D8C"/>
    <w:rsid w:val="00EA3DB4"/>
    <w:rsid w:val="00EA5D33"/>
    <w:rsid w:val="00EA61C8"/>
    <w:rsid w:val="00EB03BF"/>
    <w:rsid w:val="00EB0B8B"/>
    <w:rsid w:val="00EB1C81"/>
    <w:rsid w:val="00EB2E56"/>
    <w:rsid w:val="00EB4ADA"/>
    <w:rsid w:val="00EB6366"/>
    <w:rsid w:val="00EB6A7C"/>
    <w:rsid w:val="00EB7015"/>
    <w:rsid w:val="00EB7532"/>
    <w:rsid w:val="00EB76E7"/>
    <w:rsid w:val="00EC16E3"/>
    <w:rsid w:val="00EC2E6A"/>
    <w:rsid w:val="00EC303B"/>
    <w:rsid w:val="00EC3321"/>
    <w:rsid w:val="00EC33E2"/>
    <w:rsid w:val="00EC5238"/>
    <w:rsid w:val="00EC7B84"/>
    <w:rsid w:val="00ED0DFE"/>
    <w:rsid w:val="00ED2B2A"/>
    <w:rsid w:val="00ED35C3"/>
    <w:rsid w:val="00ED4D9A"/>
    <w:rsid w:val="00ED56EF"/>
    <w:rsid w:val="00ED5E60"/>
    <w:rsid w:val="00ED74E3"/>
    <w:rsid w:val="00EE00DF"/>
    <w:rsid w:val="00EE2231"/>
    <w:rsid w:val="00EE2B12"/>
    <w:rsid w:val="00EE4F80"/>
    <w:rsid w:val="00EF1530"/>
    <w:rsid w:val="00EF190F"/>
    <w:rsid w:val="00EF2F85"/>
    <w:rsid w:val="00EF2FE7"/>
    <w:rsid w:val="00EF47DE"/>
    <w:rsid w:val="00EF49E5"/>
    <w:rsid w:val="00EF4FF3"/>
    <w:rsid w:val="00EF5383"/>
    <w:rsid w:val="00EF64C6"/>
    <w:rsid w:val="00F00A36"/>
    <w:rsid w:val="00F018FE"/>
    <w:rsid w:val="00F019A2"/>
    <w:rsid w:val="00F03B47"/>
    <w:rsid w:val="00F04BCA"/>
    <w:rsid w:val="00F111E1"/>
    <w:rsid w:val="00F1372D"/>
    <w:rsid w:val="00F13EEB"/>
    <w:rsid w:val="00F1449E"/>
    <w:rsid w:val="00F15405"/>
    <w:rsid w:val="00F15AFD"/>
    <w:rsid w:val="00F26662"/>
    <w:rsid w:val="00F27BEF"/>
    <w:rsid w:val="00F27EFD"/>
    <w:rsid w:val="00F313FE"/>
    <w:rsid w:val="00F3371C"/>
    <w:rsid w:val="00F34AFD"/>
    <w:rsid w:val="00F34DCA"/>
    <w:rsid w:val="00F35344"/>
    <w:rsid w:val="00F3653B"/>
    <w:rsid w:val="00F368D5"/>
    <w:rsid w:val="00F37064"/>
    <w:rsid w:val="00F370B8"/>
    <w:rsid w:val="00F37A2B"/>
    <w:rsid w:val="00F37C46"/>
    <w:rsid w:val="00F40A95"/>
    <w:rsid w:val="00F40AF6"/>
    <w:rsid w:val="00F421E3"/>
    <w:rsid w:val="00F42AC6"/>
    <w:rsid w:val="00F43763"/>
    <w:rsid w:val="00F437C7"/>
    <w:rsid w:val="00F4477E"/>
    <w:rsid w:val="00F464AD"/>
    <w:rsid w:val="00F46E74"/>
    <w:rsid w:val="00F47023"/>
    <w:rsid w:val="00F47763"/>
    <w:rsid w:val="00F47BA6"/>
    <w:rsid w:val="00F47BE9"/>
    <w:rsid w:val="00F50816"/>
    <w:rsid w:val="00F51001"/>
    <w:rsid w:val="00F51B8B"/>
    <w:rsid w:val="00F52A01"/>
    <w:rsid w:val="00F52B10"/>
    <w:rsid w:val="00F5353E"/>
    <w:rsid w:val="00F54B98"/>
    <w:rsid w:val="00F552F7"/>
    <w:rsid w:val="00F565B5"/>
    <w:rsid w:val="00F57FF7"/>
    <w:rsid w:val="00F60C4C"/>
    <w:rsid w:val="00F63F39"/>
    <w:rsid w:val="00F651B1"/>
    <w:rsid w:val="00F66577"/>
    <w:rsid w:val="00F70AD5"/>
    <w:rsid w:val="00F71E57"/>
    <w:rsid w:val="00F71FC7"/>
    <w:rsid w:val="00F730D7"/>
    <w:rsid w:val="00F73A9D"/>
    <w:rsid w:val="00F73AA1"/>
    <w:rsid w:val="00F73F7A"/>
    <w:rsid w:val="00F741CC"/>
    <w:rsid w:val="00F74E71"/>
    <w:rsid w:val="00F754F9"/>
    <w:rsid w:val="00F75D0A"/>
    <w:rsid w:val="00F76682"/>
    <w:rsid w:val="00F7684E"/>
    <w:rsid w:val="00F76DE1"/>
    <w:rsid w:val="00F81774"/>
    <w:rsid w:val="00F826F6"/>
    <w:rsid w:val="00F82F5C"/>
    <w:rsid w:val="00F83AEE"/>
    <w:rsid w:val="00F841F5"/>
    <w:rsid w:val="00F844EB"/>
    <w:rsid w:val="00F847AD"/>
    <w:rsid w:val="00F85771"/>
    <w:rsid w:val="00F85C6D"/>
    <w:rsid w:val="00F85D0D"/>
    <w:rsid w:val="00F8736F"/>
    <w:rsid w:val="00F90BF3"/>
    <w:rsid w:val="00F91E84"/>
    <w:rsid w:val="00F93947"/>
    <w:rsid w:val="00F959F5"/>
    <w:rsid w:val="00F9622A"/>
    <w:rsid w:val="00F9645F"/>
    <w:rsid w:val="00FA0E98"/>
    <w:rsid w:val="00FA16A5"/>
    <w:rsid w:val="00FA27B3"/>
    <w:rsid w:val="00FA54A7"/>
    <w:rsid w:val="00FA6FEF"/>
    <w:rsid w:val="00FB0460"/>
    <w:rsid w:val="00FB19AE"/>
    <w:rsid w:val="00FB1F8D"/>
    <w:rsid w:val="00FB2E60"/>
    <w:rsid w:val="00FB4CFC"/>
    <w:rsid w:val="00FB7A84"/>
    <w:rsid w:val="00FC0D96"/>
    <w:rsid w:val="00FC1223"/>
    <w:rsid w:val="00FC2BD4"/>
    <w:rsid w:val="00FC34C1"/>
    <w:rsid w:val="00FC4354"/>
    <w:rsid w:val="00FC4AED"/>
    <w:rsid w:val="00FC64A7"/>
    <w:rsid w:val="00FC6BCF"/>
    <w:rsid w:val="00FC7829"/>
    <w:rsid w:val="00FC7FEC"/>
    <w:rsid w:val="00FD0AE2"/>
    <w:rsid w:val="00FD0DA3"/>
    <w:rsid w:val="00FD102E"/>
    <w:rsid w:val="00FD279B"/>
    <w:rsid w:val="00FD2BAD"/>
    <w:rsid w:val="00FD45B3"/>
    <w:rsid w:val="00FD6259"/>
    <w:rsid w:val="00FD6F07"/>
    <w:rsid w:val="00FD75A5"/>
    <w:rsid w:val="00FE138E"/>
    <w:rsid w:val="00FE1F39"/>
    <w:rsid w:val="00FE36BD"/>
    <w:rsid w:val="00FE494A"/>
    <w:rsid w:val="00FE4EDC"/>
    <w:rsid w:val="00FE71BB"/>
    <w:rsid w:val="00FE7AED"/>
    <w:rsid w:val="00FF1569"/>
    <w:rsid w:val="00FF1B22"/>
    <w:rsid w:val="00FF20D9"/>
    <w:rsid w:val="00FF2968"/>
    <w:rsid w:val="00FF29B8"/>
    <w:rsid w:val="00FF2B38"/>
    <w:rsid w:val="00FF62A3"/>
    <w:rsid w:val="00FF7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1AB9F"/>
  <w15:docId w15:val="{F8CE84E2-F1FF-448C-9DFC-F366C9FB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65E1"/>
    <w:pPr>
      <w:jc w:val="both"/>
      <w:outlineLvl w:val="0"/>
    </w:pPr>
    <w:rPr>
      <w:rFonts w:ascii="Arial Narrow" w:hAnsi="Arial Narrow" w:cs="Arial"/>
      <w:b/>
      <w:bCs/>
      <w:color w:val="1F3864" w:themeColor="accent5" w:themeShade="80"/>
      <w:sz w:val="32"/>
      <w:szCs w:val="32"/>
    </w:rPr>
  </w:style>
  <w:style w:type="paragraph" w:styleId="Titolo2">
    <w:name w:val="heading 2"/>
    <w:basedOn w:val="Titolo1"/>
    <w:next w:val="Normale"/>
    <w:link w:val="Titolo2Carattere"/>
    <w:uiPriority w:val="9"/>
    <w:unhideWhenUsed/>
    <w:qFormat/>
    <w:rsid w:val="002665E1"/>
    <w:pPr>
      <w:spacing w:after="120" w:line="240" w:lineRule="auto"/>
      <w:jc w:val="left"/>
      <w:outlineLvl w:val="1"/>
    </w:pPr>
  </w:style>
  <w:style w:type="paragraph" w:styleId="Titolo3">
    <w:name w:val="heading 3"/>
    <w:basedOn w:val="Normale"/>
    <w:next w:val="Normale"/>
    <w:link w:val="Titolo3Carattere"/>
    <w:uiPriority w:val="9"/>
    <w:semiHidden/>
    <w:unhideWhenUsed/>
    <w:qFormat/>
    <w:rsid w:val="00FF62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3A31"/>
    <w:pPr>
      <w:ind w:left="720"/>
      <w:contextualSpacing/>
    </w:pPr>
  </w:style>
  <w:style w:type="character" w:styleId="Rimandocommento">
    <w:name w:val="annotation reference"/>
    <w:basedOn w:val="Carpredefinitoparagrafo"/>
    <w:uiPriority w:val="99"/>
    <w:semiHidden/>
    <w:unhideWhenUsed/>
    <w:rsid w:val="00F51B8B"/>
    <w:rPr>
      <w:sz w:val="16"/>
      <w:szCs w:val="16"/>
    </w:rPr>
  </w:style>
  <w:style w:type="paragraph" w:styleId="Testocommento">
    <w:name w:val="annotation text"/>
    <w:basedOn w:val="Normale"/>
    <w:link w:val="TestocommentoCarattere"/>
    <w:uiPriority w:val="99"/>
    <w:unhideWhenUsed/>
    <w:rsid w:val="00F51B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F51B8B"/>
    <w:rPr>
      <w:sz w:val="20"/>
      <w:szCs w:val="20"/>
    </w:rPr>
  </w:style>
  <w:style w:type="paragraph" w:styleId="Soggettocommento">
    <w:name w:val="annotation subject"/>
    <w:basedOn w:val="Testocommento"/>
    <w:next w:val="Testocommento"/>
    <w:link w:val="SoggettocommentoCarattere"/>
    <w:uiPriority w:val="99"/>
    <w:semiHidden/>
    <w:unhideWhenUsed/>
    <w:rsid w:val="00F51B8B"/>
    <w:rPr>
      <w:b/>
      <w:bCs/>
    </w:rPr>
  </w:style>
  <w:style w:type="character" w:customStyle="1" w:styleId="SoggettocommentoCarattere">
    <w:name w:val="Soggetto commento Carattere"/>
    <w:basedOn w:val="TestocommentoCarattere"/>
    <w:link w:val="Soggettocommento"/>
    <w:uiPriority w:val="99"/>
    <w:semiHidden/>
    <w:rsid w:val="00F51B8B"/>
    <w:rPr>
      <w:b/>
      <w:bCs/>
      <w:sz w:val="20"/>
      <w:szCs w:val="20"/>
    </w:rPr>
  </w:style>
  <w:style w:type="paragraph" w:styleId="Testofumetto">
    <w:name w:val="Balloon Text"/>
    <w:basedOn w:val="Normale"/>
    <w:link w:val="TestofumettoCarattere"/>
    <w:uiPriority w:val="99"/>
    <w:semiHidden/>
    <w:unhideWhenUsed/>
    <w:rsid w:val="00F51B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B8B"/>
    <w:rPr>
      <w:rFonts w:ascii="Segoe UI" w:hAnsi="Segoe UI" w:cs="Segoe UI"/>
      <w:sz w:val="18"/>
      <w:szCs w:val="18"/>
    </w:rPr>
  </w:style>
  <w:style w:type="paragraph" w:styleId="Testonotaapidipagina">
    <w:name w:val="footnote text"/>
    <w:basedOn w:val="Normale"/>
    <w:link w:val="TestonotaapidipaginaCarattere"/>
    <w:uiPriority w:val="99"/>
    <w:unhideWhenUsed/>
    <w:rsid w:val="007247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247DC"/>
    <w:rPr>
      <w:sz w:val="20"/>
      <w:szCs w:val="20"/>
    </w:rPr>
  </w:style>
  <w:style w:type="character" w:styleId="Rimandonotaapidipagina">
    <w:name w:val="footnote reference"/>
    <w:basedOn w:val="Carpredefinitoparagrafo"/>
    <w:uiPriority w:val="99"/>
    <w:semiHidden/>
    <w:unhideWhenUsed/>
    <w:rsid w:val="007247DC"/>
    <w:rPr>
      <w:vertAlign w:val="superscript"/>
    </w:rPr>
  </w:style>
  <w:style w:type="character" w:styleId="Collegamentoipertestuale">
    <w:name w:val="Hyperlink"/>
    <w:basedOn w:val="Carpredefinitoparagrafo"/>
    <w:unhideWhenUsed/>
    <w:rsid w:val="00E64E48"/>
    <w:rPr>
      <w:color w:val="0000FF"/>
      <w:u w:val="single"/>
    </w:rPr>
  </w:style>
  <w:style w:type="paragraph" w:styleId="Revisione">
    <w:name w:val="Revision"/>
    <w:hidden/>
    <w:uiPriority w:val="99"/>
    <w:semiHidden/>
    <w:rsid w:val="0068408A"/>
    <w:pPr>
      <w:spacing w:after="0" w:line="240" w:lineRule="auto"/>
    </w:pPr>
  </w:style>
  <w:style w:type="character" w:styleId="Enfasicorsivo">
    <w:name w:val="Emphasis"/>
    <w:basedOn w:val="Carpredefinitoparagrafo"/>
    <w:uiPriority w:val="20"/>
    <w:qFormat/>
    <w:rsid w:val="00014ECF"/>
    <w:rPr>
      <w:i/>
      <w:iCs/>
    </w:rPr>
  </w:style>
  <w:style w:type="paragraph" w:styleId="Intestazione">
    <w:name w:val="header"/>
    <w:basedOn w:val="Normale"/>
    <w:link w:val="IntestazioneCarattere"/>
    <w:uiPriority w:val="99"/>
    <w:unhideWhenUsed/>
    <w:rsid w:val="00954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51B"/>
  </w:style>
  <w:style w:type="paragraph" w:styleId="Pidipagina">
    <w:name w:val="footer"/>
    <w:basedOn w:val="Normale"/>
    <w:link w:val="PidipaginaCarattere"/>
    <w:unhideWhenUsed/>
    <w:rsid w:val="00954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5451B"/>
  </w:style>
  <w:style w:type="paragraph" w:styleId="Titolo">
    <w:name w:val="Title"/>
    <w:basedOn w:val="Normale"/>
    <w:next w:val="Normale"/>
    <w:link w:val="TitoloCarattere"/>
    <w:uiPriority w:val="10"/>
    <w:qFormat/>
    <w:rsid w:val="002665E1"/>
    <w:pPr>
      <w:autoSpaceDE w:val="0"/>
      <w:autoSpaceDN w:val="0"/>
      <w:adjustRightInd w:val="0"/>
      <w:snapToGrid w:val="0"/>
      <w:spacing w:after="0" w:line="440" w:lineRule="exact"/>
    </w:pPr>
    <w:rPr>
      <w:rFonts w:ascii="Arial Narrow" w:hAnsi="Arial Narrow" w:cs="Arial"/>
      <w:b/>
      <w:bCs/>
      <w:caps/>
      <w:color w:val="1F3864" w:themeColor="accent5" w:themeShade="80"/>
      <w:sz w:val="44"/>
      <w:szCs w:val="44"/>
    </w:rPr>
  </w:style>
  <w:style w:type="character" w:customStyle="1" w:styleId="TitoloCarattere">
    <w:name w:val="Titolo Carattere"/>
    <w:basedOn w:val="Carpredefinitoparagrafo"/>
    <w:link w:val="Titolo"/>
    <w:uiPriority w:val="10"/>
    <w:rsid w:val="002665E1"/>
    <w:rPr>
      <w:rFonts w:ascii="Arial Narrow" w:hAnsi="Arial Narrow" w:cs="Arial"/>
      <w:b/>
      <w:bCs/>
      <w:caps/>
      <w:color w:val="1F3864" w:themeColor="accent5" w:themeShade="80"/>
      <w:sz w:val="44"/>
      <w:szCs w:val="44"/>
    </w:rPr>
  </w:style>
  <w:style w:type="character" w:customStyle="1" w:styleId="Titolo1Carattere">
    <w:name w:val="Titolo 1 Carattere"/>
    <w:basedOn w:val="Carpredefinitoparagrafo"/>
    <w:link w:val="Titolo1"/>
    <w:uiPriority w:val="9"/>
    <w:rsid w:val="002665E1"/>
    <w:rPr>
      <w:rFonts w:ascii="Arial Narrow" w:hAnsi="Arial Narrow" w:cs="Arial"/>
      <w:b/>
      <w:bCs/>
      <w:color w:val="1F3864" w:themeColor="accent5" w:themeShade="80"/>
      <w:sz w:val="32"/>
      <w:szCs w:val="32"/>
    </w:rPr>
  </w:style>
  <w:style w:type="character" w:customStyle="1" w:styleId="Titolo2Carattere">
    <w:name w:val="Titolo 2 Carattere"/>
    <w:basedOn w:val="Carpredefinitoparagrafo"/>
    <w:link w:val="Titolo2"/>
    <w:uiPriority w:val="9"/>
    <w:rsid w:val="002665E1"/>
    <w:rPr>
      <w:rFonts w:ascii="Arial Narrow" w:hAnsi="Arial Narrow" w:cs="Arial"/>
      <w:b/>
      <w:bCs/>
      <w:color w:val="1F3864" w:themeColor="accent5" w:themeShade="80"/>
      <w:sz w:val="32"/>
      <w:szCs w:val="32"/>
    </w:rPr>
  </w:style>
  <w:style w:type="paragraph" w:customStyle="1" w:styleId="Default">
    <w:name w:val="Default"/>
    <w:rsid w:val="00FF62A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99"/>
    <w:rsid w:val="00FF62A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F62A3"/>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rsid w:val="00FF62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E0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942">
      <w:bodyDiv w:val="1"/>
      <w:marLeft w:val="0"/>
      <w:marRight w:val="0"/>
      <w:marTop w:val="0"/>
      <w:marBottom w:val="0"/>
      <w:divBdr>
        <w:top w:val="none" w:sz="0" w:space="0" w:color="auto"/>
        <w:left w:val="none" w:sz="0" w:space="0" w:color="auto"/>
        <w:bottom w:val="none" w:sz="0" w:space="0" w:color="auto"/>
        <w:right w:val="none" w:sz="0" w:space="0" w:color="auto"/>
      </w:divBdr>
    </w:div>
    <w:div w:id="34165861">
      <w:bodyDiv w:val="1"/>
      <w:marLeft w:val="0"/>
      <w:marRight w:val="0"/>
      <w:marTop w:val="0"/>
      <w:marBottom w:val="0"/>
      <w:divBdr>
        <w:top w:val="none" w:sz="0" w:space="0" w:color="auto"/>
        <w:left w:val="none" w:sz="0" w:space="0" w:color="auto"/>
        <w:bottom w:val="none" w:sz="0" w:space="0" w:color="auto"/>
        <w:right w:val="none" w:sz="0" w:space="0" w:color="auto"/>
      </w:divBdr>
    </w:div>
    <w:div w:id="87039957">
      <w:bodyDiv w:val="1"/>
      <w:marLeft w:val="0"/>
      <w:marRight w:val="0"/>
      <w:marTop w:val="0"/>
      <w:marBottom w:val="0"/>
      <w:divBdr>
        <w:top w:val="none" w:sz="0" w:space="0" w:color="auto"/>
        <w:left w:val="none" w:sz="0" w:space="0" w:color="auto"/>
        <w:bottom w:val="none" w:sz="0" w:space="0" w:color="auto"/>
        <w:right w:val="none" w:sz="0" w:space="0" w:color="auto"/>
      </w:divBdr>
    </w:div>
    <w:div w:id="88815170">
      <w:bodyDiv w:val="1"/>
      <w:marLeft w:val="0"/>
      <w:marRight w:val="0"/>
      <w:marTop w:val="0"/>
      <w:marBottom w:val="0"/>
      <w:divBdr>
        <w:top w:val="none" w:sz="0" w:space="0" w:color="auto"/>
        <w:left w:val="none" w:sz="0" w:space="0" w:color="auto"/>
        <w:bottom w:val="none" w:sz="0" w:space="0" w:color="auto"/>
        <w:right w:val="none" w:sz="0" w:space="0" w:color="auto"/>
      </w:divBdr>
    </w:div>
    <w:div w:id="142740904">
      <w:bodyDiv w:val="1"/>
      <w:marLeft w:val="0"/>
      <w:marRight w:val="0"/>
      <w:marTop w:val="0"/>
      <w:marBottom w:val="0"/>
      <w:divBdr>
        <w:top w:val="none" w:sz="0" w:space="0" w:color="auto"/>
        <w:left w:val="none" w:sz="0" w:space="0" w:color="auto"/>
        <w:bottom w:val="none" w:sz="0" w:space="0" w:color="auto"/>
        <w:right w:val="none" w:sz="0" w:space="0" w:color="auto"/>
      </w:divBdr>
    </w:div>
    <w:div w:id="160704071">
      <w:bodyDiv w:val="1"/>
      <w:marLeft w:val="0"/>
      <w:marRight w:val="0"/>
      <w:marTop w:val="0"/>
      <w:marBottom w:val="0"/>
      <w:divBdr>
        <w:top w:val="none" w:sz="0" w:space="0" w:color="auto"/>
        <w:left w:val="none" w:sz="0" w:space="0" w:color="auto"/>
        <w:bottom w:val="none" w:sz="0" w:space="0" w:color="auto"/>
        <w:right w:val="none" w:sz="0" w:space="0" w:color="auto"/>
      </w:divBdr>
    </w:div>
    <w:div w:id="192112055">
      <w:bodyDiv w:val="1"/>
      <w:marLeft w:val="0"/>
      <w:marRight w:val="0"/>
      <w:marTop w:val="0"/>
      <w:marBottom w:val="0"/>
      <w:divBdr>
        <w:top w:val="none" w:sz="0" w:space="0" w:color="auto"/>
        <w:left w:val="none" w:sz="0" w:space="0" w:color="auto"/>
        <w:bottom w:val="none" w:sz="0" w:space="0" w:color="auto"/>
        <w:right w:val="none" w:sz="0" w:space="0" w:color="auto"/>
      </w:divBdr>
    </w:div>
    <w:div w:id="227572568">
      <w:bodyDiv w:val="1"/>
      <w:marLeft w:val="0"/>
      <w:marRight w:val="0"/>
      <w:marTop w:val="0"/>
      <w:marBottom w:val="0"/>
      <w:divBdr>
        <w:top w:val="none" w:sz="0" w:space="0" w:color="auto"/>
        <w:left w:val="none" w:sz="0" w:space="0" w:color="auto"/>
        <w:bottom w:val="none" w:sz="0" w:space="0" w:color="auto"/>
        <w:right w:val="none" w:sz="0" w:space="0" w:color="auto"/>
      </w:divBdr>
    </w:div>
    <w:div w:id="294874661">
      <w:bodyDiv w:val="1"/>
      <w:marLeft w:val="0"/>
      <w:marRight w:val="0"/>
      <w:marTop w:val="0"/>
      <w:marBottom w:val="0"/>
      <w:divBdr>
        <w:top w:val="none" w:sz="0" w:space="0" w:color="auto"/>
        <w:left w:val="none" w:sz="0" w:space="0" w:color="auto"/>
        <w:bottom w:val="none" w:sz="0" w:space="0" w:color="auto"/>
        <w:right w:val="none" w:sz="0" w:space="0" w:color="auto"/>
      </w:divBdr>
    </w:div>
    <w:div w:id="453910793">
      <w:bodyDiv w:val="1"/>
      <w:marLeft w:val="0"/>
      <w:marRight w:val="0"/>
      <w:marTop w:val="0"/>
      <w:marBottom w:val="0"/>
      <w:divBdr>
        <w:top w:val="none" w:sz="0" w:space="0" w:color="auto"/>
        <w:left w:val="none" w:sz="0" w:space="0" w:color="auto"/>
        <w:bottom w:val="none" w:sz="0" w:space="0" w:color="auto"/>
        <w:right w:val="none" w:sz="0" w:space="0" w:color="auto"/>
      </w:divBdr>
    </w:div>
    <w:div w:id="461385306">
      <w:bodyDiv w:val="1"/>
      <w:marLeft w:val="0"/>
      <w:marRight w:val="0"/>
      <w:marTop w:val="0"/>
      <w:marBottom w:val="0"/>
      <w:divBdr>
        <w:top w:val="none" w:sz="0" w:space="0" w:color="auto"/>
        <w:left w:val="none" w:sz="0" w:space="0" w:color="auto"/>
        <w:bottom w:val="none" w:sz="0" w:space="0" w:color="auto"/>
        <w:right w:val="none" w:sz="0" w:space="0" w:color="auto"/>
      </w:divBdr>
    </w:div>
    <w:div w:id="471562793">
      <w:bodyDiv w:val="1"/>
      <w:marLeft w:val="0"/>
      <w:marRight w:val="0"/>
      <w:marTop w:val="0"/>
      <w:marBottom w:val="0"/>
      <w:divBdr>
        <w:top w:val="none" w:sz="0" w:space="0" w:color="auto"/>
        <w:left w:val="none" w:sz="0" w:space="0" w:color="auto"/>
        <w:bottom w:val="none" w:sz="0" w:space="0" w:color="auto"/>
        <w:right w:val="none" w:sz="0" w:space="0" w:color="auto"/>
      </w:divBdr>
    </w:div>
    <w:div w:id="544023892">
      <w:bodyDiv w:val="1"/>
      <w:marLeft w:val="0"/>
      <w:marRight w:val="0"/>
      <w:marTop w:val="0"/>
      <w:marBottom w:val="0"/>
      <w:divBdr>
        <w:top w:val="none" w:sz="0" w:space="0" w:color="auto"/>
        <w:left w:val="none" w:sz="0" w:space="0" w:color="auto"/>
        <w:bottom w:val="none" w:sz="0" w:space="0" w:color="auto"/>
        <w:right w:val="none" w:sz="0" w:space="0" w:color="auto"/>
      </w:divBdr>
    </w:div>
    <w:div w:id="666597003">
      <w:bodyDiv w:val="1"/>
      <w:marLeft w:val="0"/>
      <w:marRight w:val="0"/>
      <w:marTop w:val="0"/>
      <w:marBottom w:val="0"/>
      <w:divBdr>
        <w:top w:val="none" w:sz="0" w:space="0" w:color="auto"/>
        <w:left w:val="none" w:sz="0" w:space="0" w:color="auto"/>
        <w:bottom w:val="none" w:sz="0" w:space="0" w:color="auto"/>
        <w:right w:val="none" w:sz="0" w:space="0" w:color="auto"/>
      </w:divBdr>
    </w:div>
    <w:div w:id="680929908">
      <w:bodyDiv w:val="1"/>
      <w:marLeft w:val="0"/>
      <w:marRight w:val="0"/>
      <w:marTop w:val="0"/>
      <w:marBottom w:val="0"/>
      <w:divBdr>
        <w:top w:val="none" w:sz="0" w:space="0" w:color="auto"/>
        <w:left w:val="none" w:sz="0" w:space="0" w:color="auto"/>
        <w:bottom w:val="none" w:sz="0" w:space="0" w:color="auto"/>
        <w:right w:val="none" w:sz="0" w:space="0" w:color="auto"/>
      </w:divBdr>
    </w:div>
    <w:div w:id="701368808">
      <w:bodyDiv w:val="1"/>
      <w:marLeft w:val="0"/>
      <w:marRight w:val="0"/>
      <w:marTop w:val="0"/>
      <w:marBottom w:val="0"/>
      <w:divBdr>
        <w:top w:val="none" w:sz="0" w:space="0" w:color="auto"/>
        <w:left w:val="none" w:sz="0" w:space="0" w:color="auto"/>
        <w:bottom w:val="none" w:sz="0" w:space="0" w:color="auto"/>
        <w:right w:val="none" w:sz="0" w:space="0" w:color="auto"/>
      </w:divBdr>
    </w:div>
    <w:div w:id="722867180">
      <w:bodyDiv w:val="1"/>
      <w:marLeft w:val="0"/>
      <w:marRight w:val="0"/>
      <w:marTop w:val="0"/>
      <w:marBottom w:val="0"/>
      <w:divBdr>
        <w:top w:val="none" w:sz="0" w:space="0" w:color="auto"/>
        <w:left w:val="none" w:sz="0" w:space="0" w:color="auto"/>
        <w:bottom w:val="none" w:sz="0" w:space="0" w:color="auto"/>
        <w:right w:val="none" w:sz="0" w:space="0" w:color="auto"/>
      </w:divBdr>
    </w:div>
    <w:div w:id="726415967">
      <w:bodyDiv w:val="1"/>
      <w:marLeft w:val="0"/>
      <w:marRight w:val="0"/>
      <w:marTop w:val="0"/>
      <w:marBottom w:val="0"/>
      <w:divBdr>
        <w:top w:val="none" w:sz="0" w:space="0" w:color="auto"/>
        <w:left w:val="none" w:sz="0" w:space="0" w:color="auto"/>
        <w:bottom w:val="none" w:sz="0" w:space="0" w:color="auto"/>
        <w:right w:val="none" w:sz="0" w:space="0" w:color="auto"/>
      </w:divBdr>
    </w:div>
    <w:div w:id="754740725">
      <w:bodyDiv w:val="1"/>
      <w:marLeft w:val="0"/>
      <w:marRight w:val="0"/>
      <w:marTop w:val="0"/>
      <w:marBottom w:val="0"/>
      <w:divBdr>
        <w:top w:val="none" w:sz="0" w:space="0" w:color="auto"/>
        <w:left w:val="none" w:sz="0" w:space="0" w:color="auto"/>
        <w:bottom w:val="none" w:sz="0" w:space="0" w:color="auto"/>
        <w:right w:val="none" w:sz="0" w:space="0" w:color="auto"/>
      </w:divBdr>
    </w:div>
    <w:div w:id="774986400">
      <w:bodyDiv w:val="1"/>
      <w:marLeft w:val="0"/>
      <w:marRight w:val="0"/>
      <w:marTop w:val="0"/>
      <w:marBottom w:val="0"/>
      <w:divBdr>
        <w:top w:val="none" w:sz="0" w:space="0" w:color="auto"/>
        <w:left w:val="none" w:sz="0" w:space="0" w:color="auto"/>
        <w:bottom w:val="none" w:sz="0" w:space="0" w:color="auto"/>
        <w:right w:val="none" w:sz="0" w:space="0" w:color="auto"/>
      </w:divBdr>
    </w:div>
    <w:div w:id="782842994">
      <w:bodyDiv w:val="1"/>
      <w:marLeft w:val="0"/>
      <w:marRight w:val="0"/>
      <w:marTop w:val="0"/>
      <w:marBottom w:val="0"/>
      <w:divBdr>
        <w:top w:val="none" w:sz="0" w:space="0" w:color="auto"/>
        <w:left w:val="none" w:sz="0" w:space="0" w:color="auto"/>
        <w:bottom w:val="none" w:sz="0" w:space="0" w:color="auto"/>
        <w:right w:val="none" w:sz="0" w:space="0" w:color="auto"/>
      </w:divBdr>
    </w:div>
    <w:div w:id="797459113">
      <w:bodyDiv w:val="1"/>
      <w:marLeft w:val="0"/>
      <w:marRight w:val="0"/>
      <w:marTop w:val="0"/>
      <w:marBottom w:val="0"/>
      <w:divBdr>
        <w:top w:val="none" w:sz="0" w:space="0" w:color="auto"/>
        <w:left w:val="none" w:sz="0" w:space="0" w:color="auto"/>
        <w:bottom w:val="none" w:sz="0" w:space="0" w:color="auto"/>
        <w:right w:val="none" w:sz="0" w:space="0" w:color="auto"/>
      </w:divBdr>
    </w:div>
    <w:div w:id="809514957">
      <w:bodyDiv w:val="1"/>
      <w:marLeft w:val="0"/>
      <w:marRight w:val="0"/>
      <w:marTop w:val="0"/>
      <w:marBottom w:val="0"/>
      <w:divBdr>
        <w:top w:val="none" w:sz="0" w:space="0" w:color="auto"/>
        <w:left w:val="none" w:sz="0" w:space="0" w:color="auto"/>
        <w:bottom w:val="none" w:sz="0" w:space="0" w:color="auto"/>
        <w:right w:val="none" w:sz="0" w:space="0" w:color="auto"/>
      </w:divBdr>
    </w:div>
    <w:div w:id="873225269">
      <w:bodyDiv w:val="1"/>
      <w:marLeft w:val="0"/>
      <w:marRight w:val="0"/>
      <w:marTop w:val="0"/>
      <w:marBottom w:val="0"/>
      <w:divBdr>
        <w:top w:val="none" w:sz="0" w:space="0" w:color="auto"/>
        <w:left w:val="none" w:sz="0" w:space="0" w:color="auto"/>
        <w:bottom w:val="none" w:sz="0" w:space="0" w:color="auto"/>
        <w:right w:val="none" w:sz="0" w:space="0" w:color="auto"/>
      </w:divBdr>
    </w:div>
    <w:div w:id="909198002">
      <w:bodyDiv w:val="1"/>
      <w:marLeft w:val="0"/>
      <w:marRight w:val="0"/>
      <w:marTop w:val="0"/>
      <w:marBottom w:val="0"/>
      <w:divBdr>
        <w:top w:val="none" w:sz="0" w:space="0" w:color="auto"/>
        <w:left w:val="none" w:sz="0" w:space="0" w:color="auto"/>
        <w:bottom w:val="none" w:sz="0" w:space="0" w:color="auto"/>
        <w:right w:val="none" w:sz="0" w:space="0" w:color="auto"/>
      </w:divBdr>
    </w:div>
    <w:div w:id="914320295">
      <w:bodyDiv w:val="1"/>
      <w:marLeft w:val="0"/>
      <w:marRight w:val="0"/>
      <w:marTop w:val="0"/>
      <w:marBottom w:val="0"/>
      <w:divBdr>
        <w:top w:val="none" w:sz="0" w:space="0" w:color="auto"/>
        <w:left w:val="none" w:sz="0" w:space="0" w:color="auto"/>
        <w:bottom w:val="none" w:sz="0" w:space="0" w:color="auto"/>
        <w:right w:val="none" w:sz="0" w:space="0" w:color="auto"/>
      </w:divBdr>
    </w:div>
    <w:div w:id="917011500">
      <w:bodyDiv w:val="1"/>
      <w:marLeft w:val="0"/>
      <w:marRight w:val="0"/>
      <w:marTop w:val="0"/>
      <w:marBottom w:val="0"/>
      <w:divBdr>
        <w:top w:val="none" w:sz="0" w:space="0" w:color="auto"/>
        <w:left w:val="none" w:sz="0" w:space="0" w:color="auto"/>
        <w:bottom w:val="none" w:sz="0" w:space="0" w:color="auto"/>
        <w:right w:val="none" w:sz="0" w:space="0" w:color="auto"/>
      </w:divBdr>
    </w:div>
    <w:div w:id="923147032">
      <w:bodyDiv w:val="1"/>
      <w:marLeft w:val="0"/>
      <w:marRight w:val="0"/>
      <w:marTop w:val="0"/>
      <w:marBottom w:val="0"/>
      <w:divBdr>
        <w:top w:val="none" w:sz="0" w:space="0" w:color="auto"/>
        <w:left w:val="none" w:sz="0" w:space="0" w:color="auto"/>
        <w:bottom w:val="none" w:sz="0" w:space="0" w:color="auto"/>
        <w:right w:val="none" w:sz="0" w:space="0" w:color="auto"/>
      </w:divBdr>
    </w:div>
    <w:div w:id="932249985">
      <w:bodyDiv w:val="1"/>
      <w:marLeft w:val="0"/>
      <w:marRight w:val="0"/>
      <w:marTop w:val="0"/>
      <w:marBottom w:val="0"/>
      <w:divBdr>
        <w:top w:val="none" w:sz="0" w:space="0" w:color="auto"/>
        <w:left w:val="none" w:sz="0" w:space="0" w:color="auto"/>
        <w:bottom w:val="none" w:sz="0" w:space="0" w:color="auto"/>
        <w:right w:val="none" w:sz="0" w:space="0" w:color="auto"/>
      </w:divBdr>
    </w:div>
    <w:div w:id="959342681">
      <w:bodyDiv w:val="1"/>
      <w:marLeft w:val="0"/>
      <w:marRight w:val="0"/>
      <w:marTop w:val="0"/>
      <w:marBottom w:val="0"/>
      <w:divBdr>
        <w:top w:val="none" w:sz="0" w:space="0" w:color="auto"/>
        <w:left w:val="none" w:sz="0" w:space="0" w:color="auto"/>
        <w:bottom w:val="none" w:sz="0" w:space="0" w:color="auto"/>
        <w:right w:val="none" w:sz="0" w:space="0" w:color="auto"/>
      </w:divBdr>
    </w:div>
    <w:div w:id="994846029">
      <w:bodyDiv w:val="1"/>
      <w:marLeft w:val="0"/>
      <w:marRight w:val="0"/>
      <w:marTop w:val="0"/>
      <w:marBottom w:val="0"/>
      <w:divBdr>
        <w:top w:val="none" w:sz="0" w:space="0" w:color="auto"/>
        <w:left w:val="none" w:sz="0" w:space="0" w:color="auto"/>
        <w:bottom w:val="none" w:sz="0" w:space="0" w:color="auto"/>
        <w:right w:val="none" w:sz="0" w:space="0" w:color="auto"/>
      </w:divBdr>
    </w:div>
    <w:div w:id="1288849200">
      <w:bodyDiv w:val="1"/>
      <w:marLeft w:val="0"/>
      <w:marRight w:val="0"/>
      <w:marTop w:val="0"/>
      <w:marBottom w:val="0"/>
      <w:divBdr>
        <w:top w:val="none" w:sz="0" w:space="0" w:color="auto"/>
        <w:left w:val="none" w:sz="0" w:space="0" w:color="auto"/>
        <w:bottom w:val="none" w:sz="0" w:space="0" w:color="auto"/>
        <w:right w:val="none" w:sz="0" w:space="0" w:color="auto"/>
      </w:divBdr>
    </w:div>
    <w:div w:id="1326862384">
      <w:bodyDiv w:val="1"/>
      <w:marLeft w:val="0"/>
      <w:marRight w:val="0"/>
      <w:marTop w:val="0"/>
      <w:marBottom w:val="0"/>
      <w:divBdr>
        <w:top w:val="none" w:sz="0" w:space="0" w:color="auto"/>
        <w:left w:val="none" w:sz="0" w:space="0" w:color="auto"/>
        <w:bottom w:val="none" w:sz="0" w:space="0" w:color="auto"/>
        <w:right w:val="none" w:sz="0" w:space="0" w:color="auto"/>
      </w:divBdr>
    </w:div>
    <w:div w:id="1374619978">
      <w:bodyDiv w:val="1"/>
      <w:marLeft w:val="0"/>
      <w:marRight w:val="0"/>
      <w:marTop w:val="0"/>
      <w:marBottom w:val="0"/>
      <w:divBdr>
        <w:top w:val="none" w:sz="0" w:space="0" w:color="auto"/>
        <w:left w:val="none" w:sz="0" w:space="0" w:color="auto"/>
        <w:bottom w:val="none" w:sz="0" w:space="0" w:color="auto"/>
        <w:right w:val="none" w:sz="0" w:space="0" w:color="auto"/>
      </w:divBdr>
    </w:div>
    <w:div w:id="1512649386">
      <w:bodyDiv w:val="1"/>
      <w:marLeft w:val="0"/>
      <w:marRight w:val="0"/>
      <w:marTop w:val="0"/>
      <w:marBottom w:val="0"/>
      <w:divBdr>
        <w:top w:val="none" w:sz="0" w:space="0" w:color="auto"/>
        <w:left w:val="none" w:sz="0" w:space="0" w:color="auto"/>
        <w:bottom w:val="none" w:sz="0" w:space="0" w:color="auto"/>
        <w:right w:val="none" w:sz="0" w:space="0" w:color="auto"/>
      </w:divBdr>
    </w:div>
    <w:div w:id="1565217371">
      <w:bodyDiv w:val="1"/>
      <w:marLeft w:val="0"/>
      <w:marRight w:val="0"/>
      <w:marTop w:val="0"/>
      <w:marBottom w:val="0"/>
      <w:divBdr>
        <w:top w:val="none" w:sz="0" w:space="0" w:color="auto"/>
        <w:left w:val="none" w:sz="0" w:space="0" w:color="auto"/>
        <w:bottom w:val="none" w:sz="0" w:space="0" w:color="auto"/>
        <w:right w:val="none" w:sz="0" w:space="0" w:color="auto"/>
      </w:divBdr>
    </w:div>
    <w:div w:id="1605460834">
      <w:bodyDiv w:val="1"/>
      <w:marLeft w:val="0"/>
      <w:marRight w:val="0"/>
      <w:marTop w:val="0"/>
      <w:marBottom w:val="0"/>
      <w:divBdr>
        <w:top w:val="none" w:sz="0" w:space="0" w:color="auto"/>
        <w:left w:val="none" w:sz="0" w:space="0" w:color="auto"/>
        <w:bottom w:val="none" w:sz="0" w:space="0" w:color="auto"/>
        <w:right w:val="none" w:sz="0" w:space="0" w:color="auto"/>
      </w:divBdr>
    </w:div>
    <w:div w:id="1634286341">
      <w:bodyDiv w:val="1"/>
      <w:marLeft w:val="0"/>
      <w:marRight w:val="0"/>
      <w:marTop w:val="0"/>
      <w:marBottom w:val="0"/>
      <w:divBdr>
        <w:top w:val="none" w:sz="0" w:space="0" w:color="auto"/>
        <w:left w:val="none" w:sz="0" w:space="0" w:color="auto"/>
        <w:bottom w:val="none" w:sz="0" w:space="0" w:color="auto"/>
        <w:right w:val="none" w:sz="0" w:space="0" w:color="auto"/>
      </w:divBdr>
    </w:div>
    <w:div w:id="1688436635">
      <w:bodyDiv w:val="1"/>
      <w:marLeft w:val="0"/>
      <w:marRight w:val="0"/>
      <w:marTop w:val="0"/>
      <w:marBottom w:val="0"/>
      <w:divBdr>
        <w:top w:val="none" w:sz="0" w:space="0" w:color="auto"/>
        <w:left w:val="none" w:sz="0" w:space="0" w:color="auto"/>
        <w:bottom w:val="none" w:sz="0" w:space="0" w:color="auto"/>
        <w:right w:val="none" w:sz="0" w:space="0" w:color="auto"/>
      </w:divBdr>
    </w:div>
    <w:div w:id="1717386901">
      <w:bodyDiv w:val="1"/>
      <w:marLeft w:val="0"/>
      <w:marRight w:val="0"/>
      <w:marTop w:val="0"/>
      <w:marBottom w:val="0"/>
      <w:divBdr>
        <w:top w:val="none" w:sz="0" w:space="0" w:color="auto"/>
        <w:left w:val="none" w:sz="0" w:space="0" w:color="auto"/>
        <w:bottom w:val="none" w:sz="0" w:space="0" w:color="auto"/>
        <w:right w:val="none" w:sz="0" w:space="0" w:color="auto"/>
      </w:divBdr>
    </w:div>
    <w:div w:id="1729067385">
      <w:bodyDiv w:val="1"/>
      <w:marLeft w:val="0"/>
      <w:marRight w:val="0"/>
      <w:marTop w:val="0"/>
      <w:marBottom w:val="0"/>
      <w:divBdr>
        <w:top w:val="none" w:sz="0" w:space="0" w:color="auto"/>
        <w:left w:val="none" w:sz="0" w:space="0" w:color="auto"/>
        <w:bottom w:val="none" w:sz="0" w:space="0" w:color="auto"/>
        <w:right w:val="none" w:sz="0" w:space="0" w:color="auto"/>
      </w:divBdr>
    </w:div>
    <w:div w:id="1771268138">
      <w:bodyDiv w:val="1"/>
      <w:marLeft w:val="0"/>
      <w:marRight w:val="0"/>
      <w:marTop w:val="0"/>
      <w:marBottom w:val="0"/>
      <w:divBdr>
        <w:top w:val="none" w:sz="0" w:space="0" w:color="auto"/>
        <w:left w:val="none" w:sz="0" w:space="0" w:color="auto"/>
        <w:bottom w:val="none" w:sz="0" w:space="0" w:color="auto"/>
        <w:right w:val="none" w:sz="0" w:space="0" w:color="auto"/>
      </w:divBdr>
    </w:div>
    <w:div w:id="2036926563">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 w:id="2076511055">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2580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tif"/><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G:\Users\burgio\My%20Documents\lavoro\ISTAT\Violenza_genere\Comunicato_stampa_2023\Tabelle_figure_comunicato_1204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nzalucia.vaccaro\Downloads\Tabelle_figure_comunicato_20230417.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Users\enzalucia.vaccaro\My%20Documents\Maggio%202023\5%20maggio\Violenza\Tabelle_figure_comunicato_202305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nzalucia.vaccaro\Downloads\Tabelle_figure_comunicato_202304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0609268103782"/>
          <c:y val="0.17107690684393095"/>
          <c:w val="0.84437703676302212"/>
          <c:h val="0.72192416938399051"/>
        </c:manualLayout>
      </c:layout>
      <c:lineChart>
        <c:grouping val="standard"/>
        <c:varyColors val="0"/>
        <c:ser>
          <c:idx val="1"/>
          <c:order val="0"/>
          <c:tx>
            <c:v>per 10.000 accessi</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'Figura 1'!$N$5:$N$9</c:f>
              <c:numCache>
                <c:formatCode>General</c:formatCode>
                <c:ptCount val="5"/>
                <c:pt idx="0">
                  <c:v>2017</c:v>
                </c:pt>
                <c:pt idx="1">
                  <c:v>2018</c:v>
                </c:pt>
                <c:pt idx="2">
                  <c:v>2019</c:v>
                </c:pt>
                <c:pt idx="3">
                  <c:v>2020</c:v>
                </c:pt>
                <c:pt idx="4">
                  <c:v>2021</c:v>
                </c:pt>
              </c:numCache>
            </c:numRef>
          </c:cat>
          <c:val>
            <c:numRef>
              <c:f>'Figura 1'!$O$5:$O$9</c:f>
              <c:numCache>
                <c:formatCode>0.0</c:formatCode>
                <c:ptCount val="5"/>
                <c:pt idx="0">
                  <c:v>14.09</c:v>
                </c:pt>
                <c:pt idx="1">
                  <c:v>15.77</c:v>
                </c:pt>
                <c:pt idx="2">
                  <c:v>15.27</c:v>
                </c:pt>
                <c:pt idx="3">
                  <c:v>18.52</c:v>
                </c:pt>
                <c:pt idx="4">
                  <c:v>18.399999999999999</c:v>
                </c:pt>
              </c:numCache>
            </c:numRef>
          </c:val>
          <c:smooth val="0"/>
          <c:extLst>
            <c:ext xmlns:c16="http://schemas.microsoft.com/office/drawing/2014/chart" uri="{C3380CC4-5D6E-409C-BE32-E72D297353CC}">
              <c16:uniqueId val="{00000000-A8D8-4B1D-9A66-1231FBB9424A}"/>
            </c:ext>
          </c:extLst>
        </c:ser>
        <c:ser>
          <c:idx val="2"/>
          <c:order val="1"/>
          <c:tx>
            <c:v>per 10.000 ricoveri</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'Figura 1'!$N$5:$N$9</c:f>
              <c:numCache>
                <c:formatCode>General</c:formatCode>
                <c:ptCount val="5"/>
                <c:pt idx="0">
                  <c:v>2017</c:v>
                </c:pt>
                <c:pt idx="1">
                  <c:v>2018</c:v>
                </c:pt>
                <c:pt idx="2">
                  <c:v>2019</c:v>
                </c:pt>
                <c:pt idx="3">
                  <c:v>2020</c:v>
                </c:pt>
                <c:pt idx="4">
                  <c:v>2021</c:v>
                </c:pt>
              </c:numCache>
            </c:numRef>
          </c:cat>
          <c:val>
            <c:numRef>
              <c:f>'Figura 1'!$P$5:$P$9</c:f>
              <c:numCache>
                <c:formatCode>0.0</c:formatCode>
                <c:ptCount val="5"/>
                <c:pt idx="0">
                  <c:v>4.7395674011505706</c:v>
                </c:pt>
                <c:pt idx="1">
                  <c:v>4.8696116790408528</c:v>
                </c:pt>
                <c:pt idx="2">
                  <c:v>4.7640742029386685</c:v>
                </c:pt>
                <c:pt idx="3">
                  <c:v>4.1944670873209953</c:v>
                </c:pt>
                <c:pt idx="4">
                  <c:v>4.4636747974669504</c:v>
                </c:pt>
              </c:numCache>
            </c:numRef>
          </c:val>
          <c:smooth val="0"/>
          <c:extLst>
            <c:ext xmlns:c16="http://schemas.microsoft.com/office/drawing/2014/chart" uri="{C3380CC4-5D6E-409C-BE32-E72D297353CC}">
              <c16:uniqueId val="{00000001-A8D8-4B1D-9A66-1231FBB9424A}"/>
            </c:ext>
          </c:extLst>
        </c:ser>
        <c:dLbls>
          <c:dLblPos val="t"/>
          <c:showLegendKey val="0"/>
          <c:showVal val="1"/>
          <c:showCatName val="0"/>
          <c:showSerName val="0"/>
          <c:showPercent val="0"/>
          <c:showBubbleSize val="0"/>
        </c:dLbls>
        <c:marker val="1"/>
        <c:smooth val="0"/>
        <c:axId val="1496816175"/>
        <c:axId val="1496815343"/>
      </c:lineChart>
      <c:catAx>
        <c:axId val="1496816175"/>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496815343"/>
        <c:crosses val="autoZero"/>
        <c:auto val="1"/>
        <c:lblAlgn val="ctr"/>
        <c:lblOffset val="100"/>
        <c:noMultiLvlLbl val="0"/>
      </c:catAx>
      <c:valAx>
        <c:axId val="1496815343"/>
        <c:scaling>
          <c:orientation val="minMax"/>
        </c:scaling>
        <c:delete val="0"/>
        <c:axPos val="l"/>
        <c:majorGridlines>
          <c:spPr>
            <a:ln w="317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496816175"/>
        <c:crosses val="autoZero"/>
        <c:crossBetween val="between"/>
      </c:valAx>
      <c:spPr>
        <a:noFill/>
        <a:ln>
          <a:noFill/>
        </a:ln>
        <a:effectLst/>
      </c:spPr>
    </c:plotArea>
    <c:legend>
      <c:legendPos val="t"/>
      <c:layout>
        <c:manualLayout>
          <c:xMode val="edge"/>
          <c:yMode val="edge"/>
          <c:x val="0.12314650832580354"/>
          <c:y val="2.0100502512562814E-2"/>
          <c:w val="0.75370663912912528"/>
          <c:h val="9.280206808319814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Narrow" panose="020B0606020202030204" pitchFamily="34" charset="0"/>
                <a:ea typeface="+mn-ea"/>
                <a:cs typeface="+mn-cs"/>
              </a:defRPr>
            </a:pPr>
            <a:r>
              <a:rPr lang="it-IT" sz="800" b="1"/>
              <a:t>Femmine</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0.10487083333333333"/>
          <c:y val="0.14487407407407407"/>
          <c:w val="0.84053680555555543"/>
          <c:h val="0.62620766935153394"/>
        </c:manualLayout>
      </c:layout>
      <c:scatterChart>
        <c:scatterStyle val="smoothMarker"/>
        <c:varyColors val="0"/>
        <c:ser>
          <c:idx val="0"/>
          <c:order val="0"/>
          <c:tx>
            <c:strRef>
              <c:f>'Figura 8'!$H$5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8'!$I$5:$M$5</c:f>
              <c:numCache>
                <c:formatCode>0.00</c:formatCode>
                <c:ptCount val="5"/>
                <c:pt idx="0">
                  <c:v>0.68120982865569246</c:v>
                </c:pt>
                <c:pt idx="1">
                  <c:v>0.64113311301862463</c:v>
                </c:pt>
                <c:pt idx="2">
                  <c:v>0.68738172074196024</c:v>
                </c:pt>
                <c:pt idx="3">
                  <c:v>0.45415457644655638</c:v>
                </c:pt>
                <c:pt idx="4">
                  <c:v>0.65912716915533409</c:v>
                </c:pt>
              </c:numCache>
            </c:numRef>
          </c:yVal>
          <c:smooth val="1"/>
          <c:extLst>
            <c:ext xmlns:c16="http://schemas.microsoft.com/office/drawing/2014/chart" uri="{C3380CC4-5D6E-409C-BE32-E72D297353CC}">
              <c16:uniqueId val="{00000000-22CF-4962-9ED7-CD5B4F356A63}"/>
            </c:ext>
          </c:extLst>
        </c:ser>
        <c:ser>
          <c:idx val="1"/>
          <c:order val="1"/>
          <c:tx>
            <c:strRef>
              <c:f>'Figura 8'!$H$6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8'!$I$6:$M$6</c:f>
              <c:numCache>
                <c:formatCode>0.00</c:formatCode>
                <c:ptCount val="5"/>
                <c:pt idx="0">
                  <c:v>0.81907337408207448</c:v>
                </c:pt>
                <c:pt idx="1">
                  <c:v>0.72737263357899362</c:v>
                </c:pt>
                <c:pt idx="2">
                  <c:v>0.73399246635583937</c:v>
                </c:pt>
                <c:pt idx="3">
                  <c:v>0.47720432410219038</c:v>
                </c:pt>
                <c:pt idx="4">
                  <c:v>0.57404270877753305</c:v>
                </c:pt>
              </c:numCache>
            </c:numRef>
          </c:yVal>
          <c:smooth val="1"/>
          <c:extLst>
            <c:ext xmlns:c16="http://schemas.microsoft.com/office/drawing/2014/chart" uri="{C3380CC4-5D6E-409C-BE32-E72D297353CC}">
              <c16:uniqueId val="{00000001-22CF-4962-9ED7-CD5B4F356A63}"/>
            </c:ext>
          </c:extLst>
        </c:ser>
        <c:ser>
          <c:idx val="2"/>
          <c:order val="2"/>
          <c:tx>
            <c:strRef>
              <c:f>'Figura 8'!$H$7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8'!$I$7:$M$7</c:f>
              <c:numCache>
                <c:formatCode>0.00</c:formatCode>
                <c:ptCount val="5"/>
                <c:pt idx="0">
                  <c:v>0.50606940636477171</c:v>
                </c:pt>
                <c:pt idx="1">
                  <c:v>0.55108020957057002</c:v>
                </c:pt>
                <c:pt idx="2">
                  <c:v>0.48996891060611752</c:v>
                </c:pt>
                <c:pt idx="3">
                  <c:v>0.38299081242208882</c:v>
                </c:pt>
                <c:pt idx="4">
                  <c:v>0.42324357443638683</c:v>
                </c:pt>
              </c:numCache>
            </c:numRef>
          </c:yVal>
          <c:smooth val="1"/>
          <c:extLst>
            <c:ext xmlns:c16="http://schemas.microsoft.com/office/drawing/2014/chart" uri="{C3380CC4-5D6E-409C-BE32-E72D297353CC}">
              <c16:uniqueId val="{00000002-22CF-4962-9ED7-CD5B4F356A63}"/>
            </c:ext>
          </c:extLst>
        </c:ser>
        <c:ser>
          <c:idx val="3"/>
          <c:order val="3"/>
          <c:tx>
            <c:strRef>
              <c:f>'Figura 8'!$H$8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8'!$I$8:$M$8</c:f>
              <c:numCache>
                <c:formatCode>0.00</c:formatCode>
                <c:ptCount val="5"/>
                <c:pt idx="0">
                  <c:v>0.27924836716002582</c:v>
                </c:pt>
                <c:pt idx="1">
                  <c:v>0.33764414872819581</c:v>
                </c:pt>
                <c:pt idx="2">
                  <c:v>0.34137659446699481</c:v>
                </c:pt>
                <c:pt idx="3">
                  <c:v>0.22248489426368809</c:v>
                </c:pt>
                <c:pt idx="4">
                  <c:v>0.25102268164048402</c:v>
                </c:pt>
              </c:numCache>
            </c:numRef>
          </c:yVal>
          <c:smooth val="1"/>
          <c:extLst>
            <c:ext xmlns:c16="http://schemas.microsoft.com/office/drawing/2014/chart" uri="{C3380CC4-5D6E-409C-BE32-E72D297353CC}">
              <c16:uniqueId val="{00000003-22CF-4962-9ED7-CD5B4F356A63}"/>
            </c:ext>
          </c:extLst>
        </c:ser>
        <c:ser>
          <c:idx val="4"/>
          <c:order val="4"/>
          <c:tx>
            <c:strRef>
              <c:f>'Figura 8'!$H$9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8'!$I$9:$M$9</c:f>
              <c:numCache>
                <c:formatCode>0.00</c:formatCode>
                <c:ptCount val="5"/>
                <c:pt idx="0">
                  <c:v>0.34713211776626746</c:v>
                </c:pt>
                <c:pt idx="1">
                  <c:v>0.37997749443877649</c:v>
                </c:pt>
                <c:pt idx="2">
                  <c:v>0.32277237551981142</c:v>
                </c:pt>
                <c:pt idx="3">
                  <c:v>0.26048634716356223</c:v>
                </c:pt>
                <c:pt idx="4">
                  <c:v>0.20207699565648843</c:v>
                </c:pt>
              </c:numCache>
            </c:numRef>
          </c:yVal>
          <c:smooth val="1"/>
          <c:extLst>
            <c:ext xmlns:c16="http://schemas.microsoft.com/office/drawing/2014/chart" uri="{C3380CC4-5D6E-409C-BE32-E72D297353CC}">
              <c16:uniqueId val="{00000004-22CF-4962-9ED7-CD5B4F356A63}"/>
            </c:ext>
          </c:extLst>
        </c:ser>
        <c:ser>
          <c:idx val="5"/>
          <c:order val="5"/>
          <c:tx>
            <c:strRef>
              <c:f>'Figura 8'!$H$10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8'!$I$4:$M$4</c:f>
              <c:numCache>
                <c:formatCode>General</c:formatCode>
                <c:ptCount val="5"/>
                <c:pt idx="0">
                  <c:v>2017</c:v>
                </c:pt>
                <c:pt idx="1">
                  <c:v>2018</c:v>
                </c:pt>
                <c:pt idx="2">
                  <c:v>2019</c:v>
                </c:pt>
                <c:pt idx="3">
                  <c:v>2020</c:v>
                </c:pt>
                <c:pt idx="4">
                  <c:v>2021</c:v>
                </c:pt>
              </c:numCache>
            </c:numRef>
          </c:xVal>
          <c:yVal>
            <c:numRef>
              <c:f>'Figura 8'!$I$10:$M$10</c:f>
              <c:numCache>
                <c:formatCode>0.00</c:formatCode>
                <c:ptCount val="5"/>
                <c:pt idx="0">
                  <c:v>0.49846455404610851</c:v>
                </c:pt>
                <c:pt idx="1">
                  <c:v>0.50531361835819666</c:v>
                </c:pt>
                <c:pt idx="2">
                  <c:v>0.48533810555271506</c:v>
                </c:pt>
                <c:pt idx="3">
                  <c:v>0.34185577819924678</c:v>
                </c:pt>
                <c:pt idx="4">
                  <c:v>0.38658880836294268</c:v>
                </c:pt>
              </c:numCache>
            </c:numRef>
          </c:yVal>
          <c:smooth val="1"/>
          <c:extLst>
            <c:ext xmlns:c16="http://schemas.microsoft.com/office/drawing/2014/chart" uri="{C3380CC4-5D6E-409C-BE32-E72D297353CC}">
              <c16:uniqueId val="{00000005-22CF-4962-9ED7-CD5B4F356A63}"/>
            </c:ext>
          </c:extLst>
        </c:ser>
        <c:dLbls>
          <c:showLegendKey val="0"/>
          <c:showVal val="0"/>
          <c:showCatName val="0"/>
          <c:showSerName val="0"/>
          <c:showPercent val="0"/>
          <c:showBubbleSize val="0"/>
        </c:dLbls>
        <c:axId val="1640788864"/>
        <c:axId val="1640797184"/>
      </c:scatterChart>
      <c:valAx>
        <c:axId val="1640788864"/>
        <c:scaling>
          <c:orientation val="minMax"/>
          <c:max val="2021"/>
          <c:min val="2017"/>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5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97184"/>
        <c:crosses val="autoZero"/>
        <c:crossBetween val="midCat"/>
        <c:majorUnit val="1"/>
      </c:valAx>
      <c:valAx>
        <c:axId val="1640797184"/>
        <c:scaling>
          <c:orientation val="minMax"/>
          <c:max val="3.5"/>
        </c:scaling>
        <c:delete val="0"/>
        <c:axPos val="l"/>
        <c:majorGridlines>
          <c:spPr>
            <a:ln w="317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88864"/>
        <c:crosses val="autoZero"/>
        <c:crossBetween val="midCat"/>
      </c:valAx>
      <c:spPr>
        <a:noFill/>
        <a:ln>
          <a:noFill/>
        </a:ln>
        <a:effectLst/>
      </c:spPr>
    </c:plotArea>
    <c:legend>
      <c:legendPos val="b"/>
      <c:layout>
        <c:manualLayout>
          <c:xMode val="edge"/>
          <c:yMode val="edge"/>
          <c:x val="2.0642361111111113E-3"/>
          <c:y val="0.87534351851851855"/>
          <c:w val="0.97382256944444456"/>
          <c:h val="0.1070175925925926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Narrow" panose="020B0606020202030204" pitchFamily="34" charset="0"/>
                <a:ea typeface="+mn-ea"/>
                <a:cs typeface="+mn-cs"/>
              </a:defRPr>
            </a:pPr>
            <a:r>
              <a:rPr lang="it-IT" sz="800" b="1"/>
              <a:t>Maschi</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0.10487083333333333"/>
          <c:y val="0.1507537037037037"/>
          <c:w val="0.84053680555555543"/>
          <c:h val="0.62620859543395058"/>
        </c:manualLayout>
      </c:layout>
      <c:scatterChart>
        <c:scatterStyle val="smoothMarker"/>
        <c:varyColors val="0"/>
        <c:ser>
          <c:idx val="0"/>
          <c:order val="0"/>
          <c:tx>
            <c:strRef>
              <c:f>'Figura 8'!$A$5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8'!$B$5:$F$5</c:f>
              <c:numCache>
                <c:formatCode>0.00</c:formatCode>
                <c:ptCount val="5"/>
                <c:pt idx="0">
                  <c:v>0.98354001085470522</c:v>
                </c:pt>
                <c:pt idx="1">
                  <c:v>0.95869089549785869</c:v>
                </c:pt>
                <c:pt idx="2">
                  <c:v>1.0017470263701727</c:v>
                </c:pt>
                <c:pt idx="3">
                  <c:v>0.71366270004663623</c:v>
                </c:pt>
                <c:pt idx="4">
                  <c:v>0.94370131162973758</c:v>
                </c:pt>
              </c:numCache>
            </c:numRef>
          </c:yVal>
          <c:smooth val="1"/>
          <c:extLst>
            <c:ext xmlns:c16="http://schemas.microsoft.com/office/drawing/2014/chart" uri="{C3380CC4-5D6E-409C-BE32-E72D297353CC}">
              <c16:uniqueId val="{00000000-459C-4350-99DA-53D862EC2F93}"/>
            </c:ext>
          </c:extLst>
        </c:ser>
        <c:ser>
          <c:idx val="1"/>
          <c:order val="1"/>
          <c:tx>
            <c:strRef>
              <c:f>'Figura 8'!$A$6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8'!$B$6:$F$6</c:f>
              <c:numCache>
                <c:formatCode>0.00</c:formatCode>
                <c:ptCount val="5"/>
                <c:pt idx="0">
                  <c:v>3.4083898673360302</c:v>
                </c:pt>
                <c:pt idx="1">
                  <c:v>3.3992595565609314</c:v>
                </c:pt>
                <c:pt idx="2">
                  <c:v>3.0558735441329019</c:v>
                </c:pt>
                <c:pt idx="3">
                  <c:v>2.4587929166692222</c:v>
                </c:pt>
                <c:pt idx="4">
                  <c:v>2.6358339845421392</c:v>
                </c:pt>
              </c:numCache>
            </c:numRef>
          </c:yVal>
          <c:smooth val="1"/>
          <c:extLst>
            <c:ext xmlns:c16="http://schemas.microsoft.com/office/drawing/2014/chart" uri="{C3380CC4-5D6E-409C-BE32-E72D297353CC}">
              <c16:uniqueId val="{00000001-459C-4350-99DA-53D862EC2F93}"/>
            </c:ext>
          </c:extLst>
        </c:ser>
        <c:ser>
          <c:idx val="2"/>
          <c:order val="2"/>
          <c:tx>
            <c:strRef>
              <c:f>'Figura 8'!$A$7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8'!$B$7:$F$7</c:f>
              <c:numCache>
                <c:formatCode>0.00</c:formatCode>
                <c:ptCount val="5"/>
                <c:pt idx="0">
                  <c:v>1.8092354323099649</c:v>
                </c:pt>
                <c:pt idx="1">
                  <c:v>1.8618886356503304</c:v>
                </c:pt>
                <c:pt idx="2">
                  <c:v>1.686890744363112</c:v>
                </c:pt>
                <c:pt idx="3">
                  <c:v>1.3769064694875983</c:v>
                </c:pt>
                <c:pt idx="4">
                  <c:v>1.4768800908081678</c:v>
                </c:pt>
              </c:numCache>
            </c:numRef>
          </c:yVal>
          <c:smooth val="1"/>
          <c:extLst>
            <c:ext xmlns:c16="http://schemas.microsoft.com/office/drawing/2014/chart" uri="{C3380CC4-5D6E-409C-BE32-E72D297353CC}">
              <c16:uniqueId val="{00000002-459C-4350-99DA-53D862EC2F93}"/>
            </c:ext>
          </c:extLst>
        </c:ser>
        <c:ser>
          <c:idx val="3"/>
          <c:order val="3"/>
          <c:tx>
            <c:strRef>
              <c:f>'Figura 8'!$A$8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8'!$B$8:$F$8</c:f>
              <c:numCache>
                <c:formatCode>0.00</c:formatCode>
                <c:ptCount val="5"/>
                <c:pt idx="0">
                  <c:v>1.0406608051352992</c:v>
                </c:pt>
                <c:pt idx="1">
                  <c:v>0.92697483342285936</c:v>
                </c:pt>
                <c:pt idx="2">
                  <c:v>0.86635543598056419</c:v>
                </c:pt>
                <c:pt idx="3">
                  <c:v>0.78425763185504105</c:v>
                </c:pt>
                <c:pt idx="4">
                  <c:v>0.73940643088137026</c:v>
                </c:pt>
              </c:numCache>
            </c:numRef>
          </c:yVal>
          <c:smooth val="1"/>
          <c:extLst>
            <c:ext xmlns:c16="http://schemas.microsoft.com/office/drawing/2014/chart" uri="{C3380CC4-5D6E-409C-BE32-E72D297353CC}">
              <c16:uniqueId val="{00000003-459C-4350-99DA-53D862EC2F93}"/>
            </c:ext>
          </c:extLst>
        </c:ser>
        <c:ser>
          <c:idx val="4"/>
          <c:order val="4"/>
          <c:tx>
            <c:strRef>
              <c:f>'Figura 8'!$A$9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8'!$B$9:$F$9</c:f>
              <c:numCache>
                <c:formatCode>0.00</c:formatCode>
                <c:ptCount val="5"/>
                <c:pt idx="0">
                  <c:v>0.49566227145269037</c:v>
                </c:pt>
                <c:pt idx="1">
                  <c:v>0.52042864057364757</c:v>
                </c:pt>
                <c:pt idx="2">
                  <c:v>0.41168213905372614</c:v>
                </c:pt>
                <c:pt idx="3">
                  <c:v>0.36086175765051642</c:v>
                </c:pt>
                <c:pt idx="4">
                  <c:v>0.3720517651286161</c:v>
                </c:pt>
              </c:numCache>
            </c:numRef>
          </c:yVal>
          <c:smooth val="1"/>
          <c:extLst>
            <c:ext xmlns:c16="http://schemas.microsoft.com/office/drawing/2014/chart" uri="{C3380CC4-5D6E-409C-BE32-E72D297353CC}">
              <c16:uniqueId val="{00000004-459C-4350-99DA-53D862EC2F93}"/>
            </c:ext>
          </c:extLst>
        </c:ser>
        <c:ser>
          <c:idx val="5"/>
          <c:order val="5"/>
          <c:tx>
            <c:strRef>
              <c:f>'Figura 8'!$A$10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8'!$B$4:$F$4</c:f>
              <c:numCache>
                <c:formatCode>General</c:formatCode>
                <c:ptCount val="5"/>
                <c:pt idx="0">
                  <c:v>2017</c:v>
                </c:pt>
                <c:pt idx="1">
                  <c:v>2018</c:v>
                </c:pt>
                <c:pt idx="2">
                  <c:v>2019</c:v>
                </c:pt>
                <c:pt idx="3">
                  <c:v>2020</c:v>
                </c:pt>
                <c:pt idx="4">
                  <c:v>2021</c:v>
                </c:pt>
              </c:numCache>
            </c:numRef>
          </c:xVal>
          <c:yVal>
            <c:numRef>
              <c:f>'Figura 8'!$B$10:$F$10</c:f>
              <c:numCache>
                <c:formatCode>0.00</c:formatCode>
                <c:ptCount val="5"/>
                <c:pt idx="0">
                  <c:v>1.5404098830819299</c:v>
                </c:pt>
                <c:pt idx="1">
                  <c:v>1.5214196952548997</c:v>
                </c:pt>
                <c:pt idx="2">
                  <c:v>1.3832625098803237</c:v>
                </c:pt>
                <c:pt idx="3">
                  <c:v>1.120927534037814</c:v>
                </c:pt>
                <c:pt idx="4">
                  <c:v>1.1989214145150828</c:v>
                </c:pt>
              </c:numCache>
            </c:numRef>
          </c:yVal>
          <c:smooth val="1"/>
          <c:extLst>
            <c:ext xmlns:c16="http://schemas.microsoft.com/office/drawing/2014/chart" uri="{C3380CC4-5D6E-409C-BE32-E72D297353CC}">
              <c16:uniqueId val="{00000005-459C-4350-99DA-53D862EC2F93}"/>
            </c:ext>
          </c:extLst>
        </c:ser>
        <c:dLbls>
          <c:showLegendKey val="0"/>
          <c:showVal val="0"/>
          <c:showCatName val="0"/>
          <c:showSerName val="0"/>
          <c:showPercent val="0"/>
          <c:showBubbleSize val="0"/>
        </c:dLbls>
        <c:axId val="1710473040"/>
        <c:axId val="1710469296"/>
      </c:scatterChart>
      <c:valAx>
        <c:axId val="1710473040"/>
        <c:scaling>
          <c:orientation val="minMax"/>
          <c:max val="2021"/>
          <c:min val="2017"/>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5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69296"/>
        <c:crosses val="autoZero"/>
        <c:crossBetween val="midCat"/>
        <c:majorUnit val="1"/>
      </c:valAx>
      <c:valAx>
        <c:axId val="1710469296"/>
        <c:scaling>
          <c:orientation val="minMax"/>
          <c:max val="3.5"/>
        </c:scaling>
        <c:delete val="0"/>
        <c:axPos val="l"/>
        <c:majorGridlines>
          <c:spPr>
            <a:ln w="317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73040"/>
        <c:crosses val="autoZero"/>
        <c:crossBetween val="midCat"/>
      </c:valAx>
      <c:spPr>
        <a:noFill/>
        <a:ln>
          <a:noFill/>
        </a:ln>
        <a:effectLst/>
      </c:spPr>
    </c:plotArea>
    <c:legend>
      <c:legendPos val="b"/>
      <c:layout>
        <c:manualLayout>
          <c:xMode val="edge"/>
          <c:yMode val="edge"/>
          <c:x val="6.4739583333333333E-3"/>
          <c:y val="0.85770462962962968"/>
          <c:w val="0.98264201388888894"/>
          <c:h val="0.1246564814814815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500816993464055E-2"/>
          <c:y val="0.11010798611111113"/>
          <c:w val="0.92267238562091503"/>
          <c:h val="0.7989711805555556"/>
        </c:manualLayout>
      </c:layout>
      <c:barChart>
        <c:barDir val="col"/>
        <c:grouping val="clustered"/>
        <c:varyColors val="0"/>
        <c:ser>
          <c:idx val="5"/>
          <c:order val="5"/>
          <c:tx>
            <c:strRef>
              <c:f>'Figura 9'!$A$10</c:f>
              <c:strCache>
                <c:ptCount val="1"/>
                <c:pt idx="0">
                  <c:v>Totale</c:v>
                </c:pt>
              </c:strCache>
            </c:strRef>
          </c:tx>
          <c:spPr>
            <a:solidFill>
              <a:schemeClr val="accent4"/>
            </a:solidFill>
            <a:ln>
              <a:noFill/>
            </a:ln>
            <a:effectLst/>
          </c:spPr>
          <c:invertIfNegative val="0"/>
          <c:cat>
            <c:strRef>
              <c:f>'Figura 9'!$B$4:$E$4</c:f>
              <c:strCache>
                <c:ptCount val="4"/>
                <c:pt idx="0">
                  <c:v>Italiane_2017-2019</c:v>
                </c:pt>
                <c:pt idx="1">
                  <c:v>Straniere_2017-2019</c:v>
                </c:pt>
                <c:pt idx="2">
                  <c:v>Italiane_2020-2021</c:v>
                </c:pt>
                <c:pt idx="3">
                  <c:v>Straniere_2020-2021</c:v>
                </c:pt>
              </c:strCache>
            </c:strRef>
          </c:cat>
          <c:val>
            <c:numRef>
              <c:f>'Figura 9'!$B$10:$E$10</c:f>
              <c:numCache>
                <c:formatCode>0.00</c:formatCode>
                <c:ptCount val="4"/>
                <c:pt idx="0">
                  <c:v>0.39015144159537646</c:v>
                </c:pt>
                <c:pt idx="1">
                  <c:v>1.2743789800845551</c:v>
                </c:pt>
                <c:pt idx="2">
                  <c:v>0.28616574144536994</c:v>
                </c:pt>
                <c:pt idx="3">
                  <c:v>0.98830416482205796</c:v>
                </c:pt>
              </c:numCache>
            </c:numRef>
          </c:val>
          <c:extLst>
            <c:ext xmlns:c16="http://schemas.microsoft.com/office/drawing/2014/chart" uri="{C3380CC4-5D6E-409C-BE32-E72D297353CC}">
              <c16:uniqueId val="{00000000-9B82-433F-AB68-A7B3041CE8C5}"/>
            </c:ext>
          </c:extLst>
        </c:ser>
        <c:dLbls>
          <c:showLegendKey val="0"/>
          <c:showVal val="0"/>
          <c:showCatName val="0"/>
          <c:showSerName val="0"/>
          <c:showPercent val="0"/>
          <c:showBubbleSize val="0"/>
        </c:dLbls>
        <c:gapWidth val="219"/>
        <c:axId val="1798544160"/>
        <c:axId val="1798528768"/>
      </c:barChart>
      <c:lineChart>
        <c:grouping val="standard"/>
        <c:varyColors val="0"/>
        <c:ser>
          <c:idx val="0"/>
          <c:order val="0"/>
          <c:tx>
            <c:strRef>
              <c:f>'Figura 9'!$A$5</c:f>
              <c:strCache>
                <c:ptCount val="1"/>
                <c:pt idx="0">
                  <c:v>0-17</c:v>
                </c:pt>
              </c:strCache>
            </c:strRef>
          </c:tx>
          <c:spPr>
            <a:ln w="28575" cap="rnd">
              <a:noFill/>
              <a:round/>
            </a:ln>
            <a:effectLst/>
          </c:spPr>
          <c:marker>
            <c:symbol val="dash"/>
            <c:size val="22"/>
            <c:spPr>
              <a:solidFill>
                <a:schemeClr val="accent1"/>
              </a:solidFill>
              <a:ln w="9525">
                <a:solidFill>
                  <a:schemeClr val="accent1"/>
                </a:solidFill>
              </a:ln>
              <a:effectLst/>
            </c:spPr>
          </c:marker>
          <c:cat>
            <c:strRef>
              <c:f>'Figura 9'!$B$4:$E$4</c:f>
              <c:strCache>
                <c:ptCount val="4"/>
                <c:pt idx="0">
                  <c:v>Italiane_2017-2019</c:v>
                </c:pt>
                <c:pt idx="1">
                  <c:v>Straniere_2017-2019</c:v>
                </c:pt>
                <c:pt idx="2">
                  <c:v>Italiane_2020-2021</c:v>
                </c:pt>
                <c:pt idx="3">
                  <c:v>Straniere_2020-2021</c:v>
                </c:pt>
              </c:strCache>
            </c:strRef>
          </c:cat>
          <c:val>
            <c:numRef>
              <c:f>'Figura 9'!$B$5:$E$5</c:f>
              <c:numCache>
                <c:formatCode>0.00</c:formatCode>
                <c:ptCount val="4"/>
                <c:pt idx="0">
                  <c:v>0.52162884220456751</c:v>
                </c:pt>
                <c:pt idx="1">
                  <c:v>1.6446784755946096</c:v>
                </c:pt>
                <c:pt idx="2">
                  <c:v>0.43574131515418912</c:v>
                </c:pt>
                <c:pt idx="3">
                  <c:v>1.3537675350500442</c:v>
                </c:pt>
              </c:numCache>
            </c:numRef>
          </c:val>
          <c:smooth val="0"/>
          <c:extLst>
            <c:ext xmlns:c16="http://schemas.microsoft.com/office/drawing/2014/chart" uri="{C3380CC4-5D6E-409C-BE32-E72D297353CC}">
              <c16:uniqueId val="{00000001-9B82-433F-AB68-A7B3041CE8C5}"/>
            </c:ext>
          </c:extLst>
        </c:ser>
        <c:ser>
          <c:idx val="1"/>
          <c:order val="1"/>
          <c:tx>
            <c:strRef>
              <c:f>'Figura 9'!$A$6</c:f>
              <c:strCache>
                <c:ptCount val="1"/>
                <c:pt idx="0">
                  <c:v>18-34</c:v>
                </c:pt>
              </c:strCache>
            </c:strRef>
          </c:tx>
          <c:spPr>
            <a:ln w="28575" cap="rnd">
              <a:noFill/>
              <a:round/>
            </a:ln>
            <a:effectLst/>
          </c:spPr>
          <c:marker>
            <c:symbol val="dash"/>
            <c:size val="22"/>
            <c:spPr>
              <a:solidFill>
                <a:schemeClr val="accent2"/>
              </a:solidFill>
              <a:ln w="9525">
                <a:solidFill>
                  <a:schemeClr val="accent2"/>
                </a:solidFill>
              </a:ln>
              <a:effectLst/>
            </c:spPr>
          </c:marker>
          <c:cat>
            <c:strRef>
              <c:f>'Figura 9'!$B$4:$E$4</c:f>
              <c:strCache>
                <c:ptCount val="4"/>
                <c:pt idx="0">
                  <c:v>Italiane_2017-2019</c:v>
                </c:pt>
                <c:pt idx="1">
                  <c:v>Straniere_2017-2019</c:v>
                </c:pt>
                <c:pt idx="2">
                  <c:v>Italiane_2020-2021</c:v>
                </c:pt>
                <c:pt idx="3">
                  <c:v>Straniere_2020-2021</c:v>
                </c:pt>
              </c:strCache>
            </c:strRef>
          </c:cat>
          <c:val>
            <c:numRef>
              <c:f>'Figura 9'!$B$6:$E$6</c:f>
              <c:numCache>
                <c:formatCode>0.00</c:formatCode>
                <c:ptCount val="4"/>
                <c:pt idx="0">
                  <c:v>0.48268541107295065</c:v>
                </c:pt>
                <c:pt idx="1">
                  <c:v>1.7675903324792479</c:v>
                </c:pt>
                <c:pt idx="2">
                  <c:v>0.34376822042012534</c:v>
                </c:pt>
                <c:pt idx="3">
                  <c:v>1.4050132525808854</c:v>
                </c:pt>
              </c:numCache>
            </c:numRef>
          </c:val>
          <c:smooth val="0"/>
          <c:extLst>
            <c:ext xmlns:c16="http://schemas.microsoft.com/office/drawing/2014/chart" uri="{C3380CC4-5D6E-409C-BE32-E72D297353CC}">
              <c16:uniqueId val="{00000002-9B82-433F-AB68-A7B3041CE8C5}"/>
            </c:ext>
          </c:extLst>
        </c:ser>
        <c:ser>
          <c:idx val="2"/>
          <c:order val="2"/>
          <c:tx>
            <c:strRef>
              <c:f>'Figura 9'!$A$7</c:f>
              <c:strCache>
                <c:ptCount val="1"/>
                <c:pt idx="0">
                  <c:v>35-49</c:v>
                </c:pt>
              </c:strCache>
            </c:strRef>
          </c:tx>
          <c:spPr>
            <a:ln w="28575" cap="rnd">
              <a:noFill/>
              <a:round/>
            </a:ln>
            <a:effectLst/>
          </c:spPr>
          <c:marker>
            <c:symbol val="dash"/>
            <c:size val="22"/>
            <c:spPr>
              <a:solidFill>
                <a:schemeClr val="accent3"/>
              </a:solidFill>
              <a:ln w="9525">
                <a:solidFill>
                  <a:schemeClr val="accent3"/>
                </a:solidFill>
              </a:ln>
              <a:effectLst/>
            </c:spPr>
          </c:marker>
          <c:cat>
            <c:strRef>
              <c:f>'Figura 9'!$B$4:$E$4</c:f>
              <c:strCache>
                <c:ptCount val="4"/>
                <c:pt idx="0">
                  <c:v>Italiane_2017-2019</c:v>
                </c:pt>
                <c:pt idx="1">
                  <c:v>Straniere_2017-2019</c:v>
                </c:pt>
                <c:pt idx="2">
                  <c:v>Italiane_2020-2021</c:v>
                </c:pt>
                <c:pt idx="3">
                  <c:v>Straniere_2020-2021</c:v>
                </c:pt>
              </c:strCache>
            </c:strRef>
          </c:cat>
          <c:val>
            <c:numRef>
              <c:f>'Figura 9'!$B$7:$E$7</c:f>
              <c:numCache>
                <c:formatCode>0.00</c:formatCode>
                <c:ptCount val="4"/>
                <c:pt idx="0">
                  <c:v>0.39075525785511805</c:v>
                </c:pt>
                <c:pt idx="1">
                  <c:v>1.2032957813449183</c:v>
                </c:pt>
                <c:pt idx="2">
                  <c:v>0.29194190431443989</c:v>
                </c:pt>
                <c:pt idx="3">
                  <c:v>0.95246808291986607</c:v>
                </c:pt>
              </c:numCache>
            </c:numRef>
          </c:val>
          <c:smooth val="0"/>
          <c:extLst>
            <c:ext xmlns:c16="http://schemas.microsoft.com/office/drawing/2014/chart" uri="{C3380CC4-5D6E-409C-BE32-E72D297353CC}">
              <c16:uniqueId val="{00000003-9B82-433F-AB68-A7B3041CE8C5}"/>
            </c:ext>
          </c:extLst>
        </c:ser>
        <c:ser>
          <c:idx val="3"/>
          <c:order val="3"/>
          <c:tx>
            <c:strRef>
              <c:f>'Figura 9'!$A$8</c:f>
              <c:strCache>
                <c:ptCount val="1"/>
                <c:pt idx="0">
                  <c:v>50-64</c:v>
                </c:pt>
              </c:strCache>
            </c:strRef>
          </c:tx>
          <c:spPr>
            <a:ln w="28575" cap="rnd">
              <a:noFill/>
              <a:round/>
            </a:ln>
            <a:effectLst/>
          </c:spPr>
          <c:marker>
            <c:symbol val="dash"/>
            <c:size val="22"/>
            <c:spPr>
              <a:solidFill>
                <a:schemeClr val="accent4"/>
              </a:solidFill>
              <a:ln w="9525">
                <a:solidFill>
                  <a:schemeClr val="accent4"/>
                </a:solidFill>
              </a:ln>
              <a:effectLst/>
            </c:spPr>
          </c:marker>
          <c:cat>
            <c:strRef>
              <c:f>'Figura 9'!$B$4:$E$4</c:f>
              <c:strCache>
                <c:ptCount val="4"/>
                <c:pt idx="0">
                  <c:v>Italiane_2017-2019</c:v>
                </c:pt>
                <c:pt idx="1">
                  <c:v>Straniere_2017-2019</c:v>
                </c:pt>
                <c:pt idx="2">
                  <c:v>Italiane_2020-2021</c:v>
                </c:pt>
                <c:pt idx="3">
                  <c:v>Straniere_2020-2021</c:v>
                </c:pt>
              </c:strCache>
            </c:strRef>
          </c:cat>
          <c:val>
            <c:numRef>
              <c:f>'Figura 9'!$B$8:$E$8</c:f>
              <c:numCache>
                <c:formatCode>0.00</c:formatCode>
                <c:ptCount val="4"/>
                <c:pt idx="0">
                  <c:v>0.28744986345861834</c:v>
                </c:pt>
                <c:pt idx="1">
                  <c:v>0.56090990805284335</c:v>
                </c:pt>
                <c:pt idx="2">
                  <c:v>0.21789292662923732</c:v>
                </c:pt>
                <c:pt idx="3">
                  <c:v>0.42387494918317375</c:v>
                </c:pt>
              </c:numCache>
            </c:numRef>
          </c:val>
          <c:smooth val="0"/>
          <c:extLst>
            <c:ext xmlns:c16="http://schemas.microsoft.com/office/drawing/2014/chart" uri="{C3380CC4-5D6E-409C-BE32-E72D297353CC}">
              <c16:uniqueId val="{00000004-9B82-433F-AB68-A7B3041CE8C5}"/>
            </c:ext>
          </c:extLst>
        </c:ser>
        <c:ser>
          <c:idx val="4"/>
          <c:order val="4"/>
          <c:tx>
            <c:strRef>
              <c:f>'Figura 9'!$A$9</c:f>
              <c:strCache>
                <c:ptCount val="1"/>
                <c:pt idx="0">
                  <c:v>65+</c:v>
                </c:pt>
              </c:strCache>
            </c:strRef>
          </c:tx>
          <c:spPr>
            <a:ln w="28575" cap="rnd">
              <a:noFill/>
              <a:round/>
            </a:ln>
            <a:effectLst/>
          </c:spPr>
          <c:marker>
            <c:symbol val="dash"/>
            <c:size val="22"/>
            <c:spPr>
              <a:solidFill>
                <a:schemeClr val="accent5"/>
              </a:solidFill>
              <a:ln w="9525">
                <a:solidFill>
                  <a:schemeClr val="accent5"/>
                </a:solidFill>
              </a:ln>
              <a:effectLst/>
            </c:spPr>
          </c:marker>
          <c:cat>
            <c:strRef>
              <c:f>'Figura 9'!$B$4:$E$4</c:f>
              <c:strCache>
                <c:ptCount val="4"/>
                <c:pt idx="0">
                  <c:v>Italiane_2017-2019</c:v>
                </c:pt>
                <c:pt idx="1">
                  <c:v>Straniere_2017-2019</c:v>
                </c:pt>
                <c:pt idx="2">
                  <c:v>Italiane_2020-2021</c:v>
                </c:pt>
                <c:pt idx="3">
                  <c:v>Straniere_2020-2021</c:v>
                </c:pt>
              </c:strCache>
            </c:strRef>
          </c:cat>
          <c:val>
            <c:numRef>
              <c:f>'Figura 9'!$B$9:$E$9</c:f>
              <c:numCache>
                <c:formatCode>0.00</c:formatCode>
                <c:ptCount val="4"/>
                <c:pt idx="0">
                  <c:v>0.34567516663014453</c:v>
                </c:pt>
                <c:pt idx="1">
                  <c:v>0.45507728529633318</c:v>
                </c:pt>
                <c:pt idx="2">
                  <c:v>0.22701573056394092</c:v>
                </c:pt>
                <c:pt idx="3">
                  <c:v>0.30357581957881891</c:v>
                </c:pt>
              </c:numCache>
            </c:numRef>
          </c:val>
          <c:smooth val="0"/>
          <c:extLst>
            <c:ext xmlns:c16="http://schemas.microsoft.com/office/drawing/2014/chart" uri="{C3380CC4-5D6E-409C-BE32-E72D297353CC}">
              <c16:uniqueId val="{00000005-9B82-433F-AB68-A7B3041CE8C5}"/>
            </c:ext>
          </c:extLst>
        </c:ser>
        <c:dLbls>
          <c:showLegendKey val="0"/>
          <c:showVal val="0"/>
          <c:showCatName val="0"/>
          <c:showSerName val="0"/>
          <c:showPercent val="0"/>
          <c:showBubbleSize val="0"/>
        </c:dLbls>
        <c:marker val="1"/>
        <c:smooth val="0"/>
        <c:axId val="1798544160"/>
        <c:axId val="1798528768"/>
      </c:lineChart>
      <c:catAx>
        <c:axId val="179854416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98528768"/>
        <c:crosses val="autoZero"/>
        <c:auto val="1"/>
        <c:lblAlgn val="ctr"/>
        <c:lblOffset val="100"/>
        <c:noMultiLvlLbl val="0"/>
      </c:catAx>
      <c:valAx>
        <c:axId val="1798528768"/>
        <c:scaling>
          <c:orientation val="minMax"/>
        </c:scaling>
        <c:delete val="0"/>
        <c:axPos val="l"/>
        <c:majorGridlines>
          <c:spPr>
            <a:ln w="317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98544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59991699522727E-2"/>
          <c:y val="0.11619989262705799"/>
          <c:w val="0.89796818041446835"/>
          <c:h val="0.57838603325808047"/>
        </c:manualLayout>
      </c:layout>
      <c:barChart>
        <c:barDir val="col"/>
        <c:grouping val="clustered"/>
        <c:varyColors val="0"/>
        <c:ser>
          <c:idx val="0"/>
          <c:order val="0"/>
          <c:tx>
            <c:strRef>
              <c:f>'Figura 10'!$C$5</c:f>
              <c:strCache>
                <c:ptCount val="1"/>
                <c:pt idx="0">
                  <c:v>2017-2019</c:v>
                </c:pt>
              </c:strCache>
            </c:strRef>
          </c:tx>
          <c:spPr>
            <a:solidFill>
              <a:schemeClr val="accent1">
                <a:lumMod val="75000"/>
              </a:schemeClr>
            </a:solidFill>
            <a:scene3d>
              <a:camera prst="orthographicFront"/>
              <a:lightRig rig="threePt" dir="t"/>
            </a:scene3d>
            <a:sp3d>
              <a:bevelT w="0" h="0"/>
            </a:sp3d>
          </c:spPr>
          <c:invertIfNegative val="0"/>
          <c:dPt>
            <c:idx val="0"/>
            <c:invertIfNegative val="0"/>
            <c:bubble3D val="0"/>
            <c:extLst>
              <c:ext xmlns:c16="http://schemas.microsoft.com/office/drawing/2014/chart" uri="{C3380CC4-5D6E-409C-BE32-E72D297353CC}">
                <c16:uniqueId val="{00000000-405E-4704-A187-855F22BDC65C}"/>
              </c:ext>
            </c:extLst>
          </c:dPt>
          <c:dPt>
            <c:idx val="1"/>
            <c:invertIfNegative val="0"/>
            <c:bubble3D val="0"/>
            <c:extLst>
              <c:ext xmlns:c16="http://schemas.microsoft.com/office/drawing/2014/chart" uri="{C3380CC4-5D6E-409C-BE32-E72D297353CC}">
                <c16:uniqueId val="{00000001-405E-4704-A187-855F22BDC65C}"/>
              </c:ext>
            </c:extLst>
          </c:dPt>
          <c:dPt>
            <c:idx val="2"/>
            <c:invertIfNegative val="0"/>
            <c:bubble3D val="0"/>
            <c:extLst>
              <c:ext xmlns:c16="http://schemas.microsoft.com/office/drawing/2014/chart" uri="{C3380CC4-5D6E-409C-BE32-E72D297353CC}">
                <c16:uniqueId val="{00000002-405E-4704-A187-855F22BDC65C}"/>
              </c:ext>
            </c:extLst>
          </c:dPt>
          <c:dPt>
            <c:idx val="3"/>
            <c:invertIfNegative val="0"/>
            <c:bubble3D val="0"/>
            <c:extLst>
              <c:ext xmlns:c16="http://schemas.microsoft.com/office/drawing/2014/chart" uri="{C3380CC4-5D6E-409C-BE32-E72D297353CC}">
                <c16:uniqueId val="{00000003-405E-4704-A187-855F22BDC65C}"/>
              </c:ext>
            </c:extLst>
          </c:dPt>
          <c:dPt>
            <c:idx val="4"/>
            <c:invertIfNegative val="0"/>
            <c:bubble3D val="0"/>
            <c:extLst>
              <c:ext xmlns:c16="http://schemas.microsoft.com/office/drawing/2014/chart" uri="{C3380CC4-5D6E-409C-BE32-E72D297353CC}">
                <c16:uniqueId val="{00000004-405E-4704-A187-855F22BDC65C}"/>
              </c:ext>
            </c:extLst>
          </c:dPt>
          <c:dPt>
            <c:idx val="5"/>
            <c:invertIfNegative val="0"/>
            <c:bubble3D val="0"/>
            <c:extLst>
              <c:ext xmlns:c16="http://schemas.microsoft.com/office/drawing/2014/chart" uri="{C3380CC4-5D6E-409C-BE32-E72D297353CC}">
                <c16:uniqueId val="{00000005-405E-4704-A187-855F22BDC65C}"/>
              </c:ext>
            </c:extLst>
          </c:dPt>
          <c:dPt>
            <c:idx val="6"/>
            <c:invertIfNegative val="0"/>
            <c:bubble3D val="0"/>
            <c:extLst>
              <c:ext xmlns:c16="http://schemas.microsoft.com/office/drawing/2014/chart" uri="{C3380CC4-5D6E-409C-BE32-E72D297353CC}">
                <c16:uniqueId val="{00000006-405E-4704-A187-855F22BDC65C}"/>
              </c:ext>
            </c:extLst>
          </c:dPt>
          <c:dPt>
            <c:idx val="7"/>
            <c:invertIfNegative val="0"/>
            <c:bubble3D val="0"/>
            <c:extLst>
              <c:ext xmlns:c16="http://schemas.microsoft.com/office/drawing/2014/chart" uri="{C3380CC4-5D6E-409C-BE32-E72D297353CC}">
                <c16:uniqueId val="{00000007-405E-4704-A187-855F22BDC65C}"/>
              </c:ext>
            </c:extLst>
          </c:dPt>
          <c:dPt>
            <c:idx val="8"/>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09-405E-4704-A187-855F22BDC65C}"/>
              </c:ext>
            </c:extLst>
          </c:dPt>
          <c:dPt>
            <c:idx val="9"/>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0B-405E-4704-A187-855F22BDC65C}"/>
              </c:ext>
            </c:extLst>
          </c:dPt>
          <c:dPt>
            <c:idx val="10"/>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0D-405E-4704-A187-855F22BDC65C}"/>
              </c:ext>
            </c:extLst>
          </c:dPt>
          <c:dPt>
            <c:idx val="11"/>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0F-405E-4704-A187-855F22BDC65C}"/>
              </c:ext>
            </c:extLst>
          </c:dPt>
          <c:dPt>
            <c:idx val="12"/>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11-405E-4704-A187-855F22BDC65C}"/>
              </c:ext>
            </c:extLst>
          </c:dPt>
          <c:dPt>
            <c:idx val="13"/>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13-405E-4704-A187-855F22BDC65C}"/>
              </c:ext>
            </c:extLst>
          </c:dPt>
          <c:dPt>
            <c:idx val="14"/>
            <c:invertIfNegative val="0"/>
            <c:bubble3D val="0"/>
            <c:spPr>
              <a:solidFill>
                <a:schemeClr val="accent2">
                  <a:lumMod val="75000"/>
                </a:schemeClr>
              </a:solidFill>
              <a:scene3d>
                <a:camera prst="orthographicFront"/>
                <a:lightRig rig="threePt" dir="t"/>
              </a:scene3d>
              <a:sp3d>
                <a:bevelT w="0" h="0"/>
              </a:sp3d>
            </c:spPr>
            <c:extLst>
              <c:ext xmlns:c16="http://schemas.microsoft.com/office/drawing/2014/chart" uri="{C3380CC4-5D6E-409C-BE32-E72D297353CC}">
                <c16:uniqueId val="{00000015-405E-4704-A187-855F22BDC65C}"/>
              </c:ext>
            </c:extLst>
          </c:dPt>
          <c:dPt>
            <c:idx val="15"/>
            <c:invertIfNegative val="0"/>
            <c:bubble3D val="0"/>
            <c:extLst>
              <c:ext xmlns:c16="http://schemas.microsoft.com/office/drawing/2014/chart" uri="{C3380CC4-5D6E-409C-BE32-E72D297353CC}">
                <c16:uniqueId val="{00000016-405E-4704-A187-855F22BDC65C}"/>
              </c:ext>
            </c:extLst>
          </c:dPt>
          <c:dPt>
            <c:idx val="16"/>
            <c:invertIfNegative val="0"/>
            <c:bubble3D val="0"/>
            <c:extLst>
              <c:ext xmlns:c16="http://schemas.microsoft.com/office/drawing/2014/chart" uri="{C3380CC4-5D6E-409C-BE32-E72D297353CC}">
                <c16:uniqueId val="{00000017-405E-4704-A187-855F22BDC65C}"/>
              </c:ext>
            </c:extLst>
          </c:dPt>
          <c:dPt>
            <c:idx val="17"/>
            <c:invertIfNegative val="0"/>
            <c:bubble3D val="0"/>
            <c:extLst>
              <c:ext xmlns:c16="http://schemas.microsoft.com/office/drawing/2014/chart" uri="{C3380CC4-5D6E-409C-BE32-E72D297353CC}">
                <c16:uniqueId val="{00000018-405E-4704-A187-855F22BDC65C}"/>
              </c:ext>
            </c:extLst>
          </c:dPt>
          <c:dPt>
            <c:idx val="18"/>
            <c:invertIfNegative val="0"/>
            <c:bubble3D val="0"/>
            <c:extLst>
              <c:ext xmlns:c16="http://schemas.microsoft.com/office/drawing/2014/chart" uri="{C3380CC4-5D6E-409C-BE32-E72D297353CC}">
                <c16:uniqueId val="{00000019-405E-4704-A187-855F22BDC65C}"/>
              </c:ext>
            </c:extLst>
          </c:dPt>
          <c:dPt>
            <c:idx val="19"/>
            <c:invertIfNegative val="0"/>
            <c:bubble3D val="0"/>
            <c:extLst>
              <c:ext xmlns:c16="http://schemas.microsoft.com/office/drawing/2014/chart" uri="{C3380CC4-5D6E-409C-BE32-E72D297353CC}">
                <c16:uniqueId val="{0000001A-405E-4704-A187-855F22BDC65C}"/>
              </c:ext>
            </c:extLst>
          </c:dPt>
          <c:dPt>
            <c:idx val="20"/>
            <c:invertIfNegative val="0"/>
            <c:bubble3D val="0"/>
            <c:extLst>
              <c:ext xmlns:c16="http://schemas.microsoft.com/office/drawing/2014/chart" uri="{C3380CC4-5D6E-409C-BE32-E72D297353CC}">
                <c16:uniqueId val="{0000001B-405E-4704-A187-855F22BDC65C}"/>
              </c:ext>
            </c:extLst>
          </c:dPt>
          <c:dPt>
            <c:idx val="21"/>
            <c:invertIfNegative val="0"/>
            <c:bubble3D val="0"/>
            <c:extLst>
              <c:ext xmlns:c16="http://schemas.microsoft.com/office/drawing/2014/chart" uri="{C3380CC4-5D6E-409C-BE32-E72D297353CC}">
                <c16:uniqueId val="{0000001C-405E-4704-A187-855F22BDC65C}"/>
              </c:ext>
            </c:extLst>
          </c:dPt>
          <c:dPt>
            <c:idx val="22"/>
            <c:invertIfNegative val="0"/>
            <c:bubble3D val="0"/>
            <c:extLst>
              <c:ext xmlns:c16="http://schemas.microsoft.com/office/drawing/2014/chart" uri="{C3380CC4-5D6E-409C-BE32-E72D297353CC}">
                <c16:uniqueId val="{0000001D-405E-4704-A187-855F22BDC65C}"/>
              </c:ext>
            </c:extLst>
          </c:dPt>
          <c:dPt>
            <c:idx val="23"/>
            <c:invertIfNegative val="0"/>
            <c:bubble3D val="0"/>
            <c:extLst>
              <c:ext xmlns:c16="http://schemas.microsoft.com/office/drawing/2014/chart" uri="{C3380CC4-5D6E-409C-BE32-E72D297353CC}">
                <c16:uniqueId val="{0000001E-405E-4704-A187-855F22BDC65C}"/>
              </c:ext>
            </c:extLst>
          </c:dPt>
          <c:dPt>
            <c:idx val="24"/>
            <c:invertIfNegative val="0"/>
            <c:bubble3D val="0"/>
            <c:extLst>
              <c:ext xmlns:c16="http://schemas.microsoft.com/office/drawing/2014/chart" uri="{C3380CC4-5D6E-409C-BE32-E72D297353CC}">
                <c16:uniqueId val="{0000001F-405E-4704-A187-855F22BDC65C}"/>
              </c:ext>
            </c:extLst>
          </c:dPt>
          <c:dPt>
            <c:idx val="25"/>
            <c:invertIfNegative val="0"/>
            <c:bubble3D val="0"/>
            <c:extLst>
              <c:ext xmlns:c16="http://schemas.microsoft.com/office/drawing/2014/chart" uri="{C3380CC4-5D6E-409C-BE32-E72D297353CC}">
                <c16:uniqueId val="{00000020-405E-4704-A187-855F22BDC65C}"/>
              </c:ext>
            </c:extLst>
          </c:dPt>
          <c:dPt>
            <c:idx val="26"/>
            <c:invertIfNegative val="0"/>
            <c:bubble3D val="0"/>
            <c:extLst>
              <c:ext xmlns:c16="http://schemas.microsoft.com/office/drawing/2014/chart" uri="{C3380CC4-5D6E-409C-BE32-E72D297353CC}">
                <c16:uniqueId val="{00000021-405E-4704-A187-855F22BDC65C}"/>
              </c:ext>
            </c:extLst>
          </c:dPt>
          <c:dPt>
            <c:idx val="27"/>
            <c:invertIfNegative val="0"/>
            <c:bubble3D val="0"/>
            <c:extLst>
              <c:ext xmlns:c16="http://schemas.microsoft.com/office/drawing/2014/chart" uri="{C3380CC4-5D6E-409C-BE32-E72D297353CC}">
                <c16:uniqueId val="{00000022-405E-4704-A187-855F22BDC65C}"/>
              </c:ext>
            </c:extLst>
          </c:dPt>
          <c:dPt>
            <c:idx val="28"/>
            <c:invertIfNegative val="0"/>
            <c:bubble3D val="0"/>
            <c:extLst>
              <c:ext xmlns:c16="http://schemas.microsoft.com/office/drawing/2014/chart" uri="{C3380CC4-5D6E-409C-BE32-E72D297353CC}">
                <c16:uniqueId val="{00000023-405E-4704-A187-855F22BDC65C}"/>
              </c:ext>
            </c:extLst>
          </c:dPt>
          <c:dPt>
            <c:idx val="29"/>
            <c:invertIfNegative val="0"/>
            <c:bubble3D val="0"/>
            <c:extLst>
              <c:ext xmlns:c16="http://schemas.microsoft.com/office/drawing/2014/chart" uri="{C3380CC4-5D6E-409C-BE32-E72D297353CC}">
                <c16:uniqueId val="{00000024-405E-4704-A187-855F22BDC65C}"/>
              </c:ext>
            </c:extLst>
          </c:dPt>
          <c:dPt>
            <c:idx val="30"/>
            <c:invertIfNegative val="0"/>
            <c:bubble3D val="0"/>
            <c:extLst>
              <c:ext xmlns:c16="http://schemas.microsoft.com/office/drawing/2014/chart" uri="{C3380CC4-5D6E-409C-BE32-E72D297353CC}">
                <c16:uniqueId val="{00000025-405E-4704-A187-855F22BDC65C}"/>
              </c:ext>
            </c:extLst>
          </c:dPt>
          <c:dPt>
            <c:idx val="31"/>
            <c:invertIfNegative val="0"/>
            <c:bubble3D val="0"/>
            <c:extLst>
              <c:ext xmlns:c16="http://schemas.microsoft.com/office/drawing/2014/chart" uri="{C3380CC4-5D6E-409C-BE32-E72D297353CC}">
                <c16:uniqueId val="{00000026-405E-4704-A187-855F22BDC65C}"/>
              </c:ext>
            </c:extLst>
          </c:dPt>
          <c:dPt>
            <c:idx val="32"/>
            <c:invertIfNegative val="0"/>
            <c:bubble3D val="0"/>
            <c:extLst>
              <c:ext xmlns:c16="http://schemas.microsoft.com/office/drawing/2014/chart" uri="{C3380CC4-5D6E-409C-BE32-E72D297353CC}">
                <c16:uniqueId val="{00000027-405E-4704-A187-855F22BDC65C}"/>
              </c:ext>
            </c:extLst>
          </c:dPt>
          <c:cat>
            <c:multiLvlStrRef>
              <c:f>'Figura 10'!$A$6:$B$20</c:f>
              <c:multiLvlStrCache>
                <c:ptCount val="15"/>
                <c:lvl>
                  <c:pt idx="0">
                    <c:v>lesioni inflitte da altre persone</c:v>
                  </c:pt>
                  <c:pt idx="1">
                    <c:v>adulto maltrattato</c:v>
                  </c:pt>
                  <c:pt idx="2">
                    <c:v>sindrome del bambino maltrattato</c:v>
                  </c:pt>
                  <c:pt idx="3">
                    <c:v>problemi coniugali</c:v>
                  </c:pt>
                  <c:pt idx="4">
                    <c:v>problemi genitori-figli</c:v>
                  </c:pt>
                  <c:pt idx="5">
                    <c:v>osservazione per sospetta violenza</c:v>
                  </c:pt>
                  <c:pt idx="6">
                    <c:v>anamnesi di violenza</c:v>
                  </c:pt>
                  <c:pt idx="8">
                    <c:v>lesioni inflitte da altre persone</c:v>
                  </c:pt>
                  <c:pt idx="9">
                    <c:v>adulta maltrattata</c:v>
                  </c:pt>
                  <c:pt idx="10">
                    <c:v>sindrome della bambina maltrattata</c:v>
                  </c:pt>
                  <c:pt idx="11">
                    <c:v>problemi coniugali</c:v>
                  </c:pt>
                  <c:pt idx="12">
                    <c:v>problemi genitori-figli</c:v>
                  </c:pt>
                  <c:pt idx="13">
                    <c:v>osservazione per sospetta violenza</c:v>
                  </c:pt>
                  <c:pt idx="14">
                    <c:v>anamnesi di violenza</c:v>
                  </c:pt>
                </c:lvl>
                <c:lvl>
                  <c:pt idx="0">
                    <c:v>Maschi</c:v>
                  </c:pt>
                  <c:pt idx="8">
                    <c:v>Femmine</c:v>
                  </c:pt>
                </c:lvl>
              </c:multiLvlStrCache>
            </c:multiLvlStrRef>
          </c:cat>
          <c:val>
            <c:numRef>
              <c:f>'Figura 10'!$C$6:$C$20</c:f>
              <c:numCache>
                <c:formatCode>0.00</c:formatCode>
                <c:ptCount val="15"/>
                <c:pt idx="0">
                  <c:v>91.310652537646391</c:v>
                </c:pt>
                <c:pt idx="1">
                  <c:v>0.73619631901840488</c:v>
                </c:pt>
                <c:pt idx="2">
                  <c:v>2.1751254880089235</c:v>
                </c:pt>
                <c:pt idx="3">
                  <c:v>0.1003904071388734</c:v>
                </c:pt>
                <c:pt idx="4">
                  <c:v>1.260457334076966</c:v>
                </c:pt>
                <c:pt idx="5">
                  <c:v>1.6954824316787507</c:v>
                </c:pt>
                <c:pt idx="6">
                  <c:v>0.4350250976017847</c:v>
                </c:pt>
                <c:pt idx="8">
                  <c:v>59.178885630498534</c:v>
                </c:pt>
                <c:pt idx="9">
                  <c:v>15.219941348973606</c:v>
                </c:pt>
                <c:pt idx="10">
                  <c:v>9.6480938416422291</c:v>
                </c:pt>
                <c:pt idx="11">
                  <c:v>2.1994134897360706</c:v>
                </c:pt>
                <c:pt idx="12">
                  <c:v>3.5777126099706744</c:v>
                </c:pt>
                <c:pt idx="13">
                  <c:v>13.079178885630499</c:v>
                </c:pt>
                <c:pt idx="14">
                  <c:v>6.480938416422287</c:v>
                </c:pt>
              </c:numCache>
            </c:numRef>
          </c:val>
          <c:extLst>
            <c:ext xmlns:c16="http://schemas.microsoft.com/office/drawing/2014/chart" uri="{C3380CC4-5D6E-409C-BE32-E72D297353CC}">
              <c16:uniqueId val="{00000028-405E-4704-A187-855F22BDC65C}"/>
            </c:ext>
          </c:extLst>
        </c:ser>
        <c:ser>
          <c:idx val="1"/>
          <c:order val="1"/>
          <c:tx>
            <c:strRef>
              <c:f>'Figura 10'!$D$5</c:f>
              <c:strCache>
                <c:ptCount val="1"/>
                <c:pt idx="0">
                  <c:v>2020-2021</c:v>
                </c:pt>
              </c:strCache>
            </c:strRef>
          </c:tx>
          <c:invertIfNegative val="0"/>
          <c:dPt>
            <c:idx val="0"/>
            <c:invertIfNegative val="0"/>
            <c:bubble3D val="0"/>
            <c:spPr>
              <a:solidFill>
                <a:schemeClr val="tx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2A-405E-4704-A187-855F22BDC65C}"/>
              </c:ext>
            </c:extLst>
          </c:dPt>
          <c:dPt>
            <c:idx val="1"/>
            <c:invertIfNegative val="0"/>
            <c:bubble3D val="0"/>
            <c:spPr>
              <a:solidFill>
                <a:schemeClr val="tx2">
                  <a:lumMod val="40000"/>
                  <a:lumOff val="60000"/>
                </a:schemeClr>
              </a:solidFill>
              <a:scene3d>
                <a:camera prst="orthographicFront"/>
                <a:lightRig rig="threePt" dir="t"/>
              </a:scene3d>
              <a:sp3d>
                <a:bevelT/>
              </a:sp3d>
            </c:spPr>
            <c:extLst>
              <c:ext xmlns:c16="http://schemas.microsoft.com/office/drawing/2014/chart" uri="{C3380CC4-5D6E-409C-BE32-E72D297353CC}">
                <c16:uniqueId val="{0000002C-405E-4704-A187-855F22BDC65C}"/>
              </c:ext>
            </c:extLst>
          </c:dPt>
          <c:dPt>
            <c:idx val="2"/>
            <c:invertIfNegative val="0"/>
            <c:bubble3D val="0"/>
            <c:spPr>
              <a:solidFill>
                <a:schemeClr val="tx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2E-405E-4704-A187-855F22BDC65C}"/>
              </c:ext>
            </c:extLst>
          </c:dPt>
          <c:dPt>
            <c:idx val="3"/>
            <c:invertIfNegative val="0"/>
            <c:bubble3D val="0"/>
            <c:spPr>
              <a:solidFill>
                <a:schemeClr val="tx2">
                  <a:lumMod val="40000"/>
                  <a:lumOff val="60000"/>
                </a:schemeClr>
              </a:solidFill>
              <a:scene3d>
                <a:camera prst="orthographicFront"/>
                <a:lightRig rig="threePt" dir="t"/>
              </a:scene3d>
              <a:sp3d>
                <a:bevelT/>
              </a:sp3d>
            </c:spPr>
            <c:extLst>
              <c:ext xmlns:c16="http://schemas.microsoft.com/office/drawing/2014/chart" uri="{C3380CC4-5D6E-409C-BE32-E72D297353CC}">
                <c16:uniqueId val="{00000030-405E-4704-A187-855F22BDC65C}"/>
              </c:ext>
            </c:extLst>
          </c:dPt>
          <c:dPt>
            <c:idx val="4"/>
            <c:invertIfNegative val="0"/>
            <c:bubble3D val="0"/>
            <c:spPr>
              <a:solidFill>
                <a:schemeClr val="tx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32-405E-4704-A187-855F22BDC65C}"/>
              </c:ext>
            </c:extLst>
          </c:dPt>
          <c:dPt>
            <c:idx val="5"/>
            <c:invertIfNegative val="0"/>
            <c:bubble3D val="0"/>
            <c:spPr>
              <a:solidFill>
                <a:schemeClr val="tx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34-405E-4704-A187-855F22BDC65C}"/>
              </c:ext>
            </c:extLst>
          </c:dPt>
          <c:dPt>
            <c:idx val="6"/>
            <c:invertIfNegative val="0"/>
            <c:bubble3D val="0"/>
            <c:spPr>
              <a:solidFill>
                <a:schemeClr val="tx2">
                  <a:lumMod val="40000"/>
                  <a:lumOff val="60000"/>
                </a:schemeClr>
              </a:solidFill>
              <a:scene3d>
                <a:camera prst="orthographicFront"/>
                <a:lightRig rig="threePt" dir="t"/>
              </a:scene3d>
              <a:sp3d>
                <a:bevelT/>
              </a:sp3d>
            </c:spPr>
            <c:extLst>
              <c:ext xmlns:c16="http://schemas.microsoft.com/office/drawing/2014/chart" uri="{C3380CC4-5D6E-409C-BE32-E72D297353CC}">
                <c16:uniqueId val="{00000036-405E-4704-A187-855F22BDC65C}"/>
              </c:ext>
            </c:extLst>
          </c:dPt>
          <c:dPt>
            <c:idx val="7"/>
            <c:invertIfNegative val="0"/>
            <c:bubble3D val="0"/>
            <c:spPr>
              <a:solidFill>
                <a:schemeClr val="tx2">
                  <a:lumMod val="40000"/>
                  <a:lumOff val="60000"/>
                </a:schemeClr>
              </a:solidFill>
              <a:scene3d>
                <a:camera prst="orthographicFront"/>
                <a:lightRig rig="threePt" dir="t"/>
              </a:scene3d>
              <a:sp3d>
                <a:bevelT/>
              </a:sp3d>
            </c:spPr>
            <c:extLst>
              <c:ext xmlns:c16="http://schemas.microsoft.com/office/drawing/2014/chart" uri="{C3380CC4-5D6E-409C-BE32-E72D297353CC}">
                <c16:uniqueId val="{00000038-405E-4704-A187-855F22BDC65C}"/>
              </c:ext>
            </c:extLst>
          </c:dPt>
          <c:dPt>
            <c:idx val="8"/>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3A-405E-4704-A187-855F22BDC65C}"/>
              </c:ext>
            </c:extLst>
          </c:dPt>
          <c:dPt>
            <c:idx val="9"/>
            <c:invertIfNegative val="0"/>
            <c:bubble3D val="0"/>
            <c:spPr>
              <a:solidFill>
                <a:schemeClr val="accent2">
                  <a:lumMod val="40000"/>
                  <a:lumOff val="60000"/>
                </a:schemeClr>
              </a:solidFill>
            </c:spPr>
            <c:extLst>
              <c:ext xmlns:c16="http://schemas.microsoft.com/office/drawing/2014/chart" uri="{C3380CC4-5D6E-409C-BE32-E72D297353CC}">
                <c16:uniqueId val="{0000003C-405E-4704-A187-855F22BDC65C}"/>
              </c:ext>
            </c:extLst>
          </c:dPt>
          <c:dPt>
            <c:idx val="10"/>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3E-405E-4704-A187-855F22BDC65C}"/>
              </c:ext>
            </c:extLst>
          </c:dPt>
          <c:dPt>
            <c:idx val="11"/>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40-405E-4704-A187-855F22BDC65C}"/>
              </c:ext>
            </c:extLst>
          </c:dPt>
          <c:dPt>
            <c:idx val="12"/>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42-405E-4704-A187-855F22BDC65C}"/>
              </c:ext>
            </c:extLst>
          </c:dPt>
          <c:dPt>
            <c:idx val="13"/>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44-405E-4704-A187-855F22BDC65C}"/>
              </c:ext>
            </c:extLst>
          </c:dPt>
          <c:dPt>
            <c:idx val="14"/>
            <c:invertIfNegative val="0"/>
            <c:bubble3D val="0"/>
            <c:spPr>
              <a:solidFill>
                <a:schemeClr val="accent2">
                  <a:lumMod val="40000"/>
                  <a:lumOff val="60000"/>
                </a:schemeClr>
              </a:solidFill>
              <a:scene3d>
                <a:camera prst="orthographicFront"/>
                <a:lightRig rig="threePt" dir="t"/>
              </a:scene3d>
              <a:sp3d>
                <a:bevelT w="0" h="0"/>
              </a:sp3d>
            </c:spPr>
            <c:extLst>
              <c:ext xmlns:c16="http://schemas.microsoft.com/office/drawing/2014/chart" uri="{C3380CC4-5D6E-409C-BE32-E72D297353CC}">
                <c16:uniqueId val="{00000046-405E-4704-A187-855F22BDC65C}"/>
              </c:ext>
            </c:extLst>
          </c:dPt>
          <c:dPt>
            <c:idx val="15"/>
            <c:invertIfNegative val="0"/>
            <c:bubble3D val="0"/>
            <c:spPr>
              <a:solidFill>
                <a:srgbClr val="FF6600"/>
              </a:solidFill>
              <a:scene3d>
                <a:camera prst="orthographicFront"/>
                <a:lightRig rig="threePt" dir="t"/>
              </a:scene3d>
              <a:sp3d>
                <a:bevelT/>
              </a:sp3d>
            </c:spPr>
            <c:extLst>
              <c:ext xmlns:c16="http://schemas.microsoft.com/office/drawing/2014/chart" uri="{C3380CC4-5D6E-409C-BE32-E72D297353CC}">
                <c16:uniqueId val="{00000048-405E-4704-A187-855F22BDC65C}"/>
              </c:ext>
            </c:extLst>
          </c:dPt>
          <c:dPt>
            <c:idx val="16"/>
            <c:invertIfNegative val="0"/>
            <c:bubble3D val="0"/>
            <c:spPr>
              <a:solidFill>
                <a:srgbClr val="FF6600"/>
              </a:solidFill>
              <a:scene3d>
                <a:camera prst="orthographicFront"/>
                <a:lightRig rig="threePt" dir="t"/>
              </a:scene3d>
              <a:sp3d>
                <a:bevelT/>
              </a:sp3d>
            </c:spPr>
            <c:extLst>
              <c:ext xmlns:c16="http://schemas.microsoft.com/office/drawing/2014/chart" uri="{C3380CC4-5D6E-409C-BE32-E72D297353CC}">
                <c16:uniqueId val="{0000004A-405E-4704-A187-855F22BDC65C}"/>
              </c:ext>
            </c:extLst>
          </c:dPt>
          <c:dPt>
            <c:idx val="17"/>
            <c:invertIfNegative val="0"/>
            <c:bubble3D val="0"/>
            <c:spPr>
              <a:solidFill>
                <a:srgbClr val="FF6600"/>
              </a:solidFill>
              <a:scene3d>
                <a:camera prst="orthographicFront"/>
                <a:lightRig rig="threePt" dir="t"/>
              </a:scene3d>
              <a:sp3d>
                <a:bevelT/>
              </a:sp3d>
            </c:spPr>
            <c:extLst>
              <c:ext xmlns:c16="http://schemas.microsoft.com/office/drawing/2014/chart" uri="{C3380CC4-5D6E-409C-BE32-E72D297353CC}">
                <c16:uniqueId val="{0000004C-405E-4704-A187-855F22BDC65C}"/>
              </c:ext>
            </c:extLst>
          </c:dPt>
          <c:dPt>
            <c:idx val="18"/>
            <c:invertIfNegative val="0"/>
            <c:bubble3D val="0"/>
            <c:spPr>
              <a:solidFill>
                <a:srgbClr val="FF6600"/>
              </a:solidFill>
              <a:scene3d>
                <a:camera prst="orthographicFront"/>
                <a:lightRig rig="threePt" dir="t"/>
              </a:scene3d>
              <a:sp3d>
                <a:bevelT/>
              </a:sp3d>
            </c:spPr>
            <c:extLst>
              <c:ext xmlns:c16="http://schemas.microsoft.com/office/drawing/2014/chart" uri="{C3380CC4-5D6E-409C-BE32-E72D297353CC}">
                <c16:uniqueId val="{0000004E-405E-4704-A187-855F22BDC65C}"/>
              </c:ext>
            </c:extLst>
          </c:dPt>
          <c:cat>
            <c:multiLvlStrRef>
              <c:f>'Figura 10'!$A$6:$B$20</c:f>
              <c:multiLvlStrCache>
                <c:ptCount val="15"/>
                <c:lvl>
                  <c:pt idx="0">
                    <c:v>lesioni inflitte da altre persone</c:v>
                  </c:pt>
                  <c:pt idx="1">
                    <c:v>adulto maltrattato</c:v>
                  </c:pt>
                  <c:pt idx="2">
                    <c:v>sindrome del bambino maltrattato</c:v>
                  </c:pt>
                  <c:pt idx="3">
                    <c:v>problemi coniugali</c:v>
                  </c:pt>
                  <c:pt idx="4">
                    <c:v>problemi genitori-figli</c:v>
                  </c:pt>
                  <c:pt idx="5">
                    <c:v>osservazione per sospetta violenza</c:v>
                  </c:pt>
                  <c:pt idx="6">
                    <c:v>anamnesi di violenza</c:v>
                  </c:pt>
                  <c:pt idx="8">
                    <c:v>lesioni inflitte da altre persone</c:v>
                  </c:pt>
                  <c:pt idx="9">
                    <c:v>adulta maltrattata</c:v>
                  </c:pt>
                  <c:pt idx="10">
                    <c:v>sindrome della bambina maltrattata</c:v>
                  </c:pt>
                  <c:pt idx="11">
                    <c:v>problemi coniugali</c:v>
                  </c:pt>
                  <c:pt idx="12">
                    <c:v>problemi genitori-figli</c:v>
                  </c:pt>
                  <c:pt idx="13">
                    <c:v>osservazione per sospetta violenza</c:v>
                  </c:pt>
                  <c:pt idx="14">
                    <c:v>anamnesi di violenza</c:v>
                  </c:pt>
                </c:lvl>
                <c:lvl>
                  <c:pt idx="0">
                    <c:v>Maschi</c:v>
                  </c:pt>
                  <c:pt idx="8">
                    <c:v>Femmine</c:v>
                  </c:pt>
                </c:lvl>
              </c:multiLvlStrCache>
            </c:multiLvlStrRef>
          </c:cat>
          <c:val>
            <c:numRef>
              <c:f>'Figura 10'!$D$6:$D$20</c:f>
              <c:numCache>
                <c:formatCode>0.00</c:formatCode>
                <c:ptCount val="15"/>
                <c:pt idx="0">
                  <c:v>91.053894828714817</c:v>
                </c:pt>
                <c:pt idx="1">
                  <c:v>0.48003491162993672</c:v>
                </c:pt>
                <c:pt idx="2">
                  <c:v>2.6178010471204187</c:v>
                </c:pt>
                <c:pt idx="3">
                  <c:v>4.3630017452006981E-2</c:v>
                </c:pt>
                <c:pt idx="4">
                  <c:v>1.6143106457242582</c:v>
                </c:pt>
                <c:pt idx="5">
                  <c:v>1.9851657940663177</c:v>
                </c:pt>
                <c:pt idx="6">
                  <c:v>0.43630017452006981</c:v>
                </c:pt>
                <c:pt idx="8">
                  <c:v>55.694692903995225</c:v>
                </c:pt>
                <c:pt idx="9">
                  <c:v>17.054263565891471</c:v>
                </c:pt>
                <c:pt idx="10">
                  <c:v>10.673822301729279</c:v>
                </c:pt>
                <c:pt idx="11">
                  <c:v>2.3852116875372689</c:v>
                </c:pt>
                <c:pt idx="12">
                  <c:v>4.4126416219439477</c:v>
                </c:pt>
                <c:pt idx="13">
                  <c:v>14.490161001788909</c:v>
                </c:pt>
                <c:pt idx="14">
                  <c:v>7.8115682766845556</c:v>
                </c:pt>
              </c:numCache>
            </c:numRef>
          </c:val>
          <c:extLst>
            <c:ext xmlns:c16="http://schemas.microsoft.com/office/drawing/2014/chart" uri="{C3380CC4-5D6E-409C-BE32-E72D297353CC}">
              <c16:uniqueId val="{0000004F-405E-4704-A187-855F22BDC65C}"/>
            </c:ext>
          </c:extLst>
        </c:ser>
        <c:dLbls>
          <c:showLegendKey val="0"/>
          <c:showVal val="0"/>
          <c:showCatName val="0"/>
          <c:showSerName val="0"/>
          <c:showPercent val="0"/>
          <c:showBubbleSize val="0"/>
        </c:dLbls>
        <c:gapWidth val="45"/>
        <c:axId val="252515456"/>
        <c:axId val="252516016"/>
      </c:barChart>
      <c:catAx>
        <c:axId val="252515456"/>
        <c:scaling>
          <c:orientation val="minMax"/>
        </c:scaling>
        <c:delete val="0"/>
        <c:axPos val="b"/>
        <c:numFmt formatCode="General" sourceLinked="0"/>
        <c:majorTickMark val="out"/>
        <c:minorTickMark val="none"/>
        <c:tickLblPos val="nextTo"/>
        <c:spPr>
          <a:ln w="3175">
            <a:solidFill>
              <a:schemeClr val="bg1">
                <a:lumMod val="75000"/>
              </a:schemeClr>
            </a:solidFill>
          </a:ln>
        </c:spPr>
        <c:txPr>
          <a:bodyPr rot="5400000" vert="horz"/>
          <a:lstStyle/>
          <a:p>
            <a:pPr>
              <a:defRPr/>
            </a:pPr>
            <a:endParaRPr lang="it-IT"/>
          </a:p>
        </c:txPr>
        <c:crossAx val="252516016"/>
        <c:crosses val="autoZero"/>
        <c:auto val="1"/>
        <c:lblAlgn val="ctr"/>
        <c:lblOffset val="100"/>
        <c:noMultiLvlLbl val="0"/>
      </c:catAx>
      <c:valAx>
        <c:axId val="252516016"/>
        <c:scaling>
          <c:orientation val="minMax"/>
        </c:scaling>
        <c:delete val="0"/>
        <c:axPos val="l"/>
        <c:majorGridlines>
          <c:spPr>
            <a:ln w="3175">
              <a:solidFill>
                <a:schemeClr val="bg1">
                  <a:lumMod val="95000"/>
                </a:schemeClr>
              </a:solidFill>
            </a:ln>
          </c:spPr>
        </c:majorGridlines>
        <c:numFmt formatCode="0.00" sourceLinked="1"/>
        <c:majorTickMark val="out"/>
        <c:minorTickMark val="none"/>
        <c:tickLblPos val="nextTo"/>
        <c:txPr>
          <a:bodyPr rot="0" vert="horz"/>
          <a:lstStyle/>
          <a:p>
            <a:pPr>
              <a:defRPr sz="800"/>
            </a:pPr>
            <a:endParaRPr lang="it-IT"/>
          </a:p>
        </c:txPr>
        <c:crossAx val="252515456"/>
        <c:crosses val="autoZero"/>
        <c:crossBetween val="between"/>
      </c:valAx>
      <c:dTable>
        <c:showHorzBorder val="1"/>
        <c:showVertBorder val="1"/>
        <c:showOutline val="1"/>
        <c:showKeys val="0"/>
      </c:dTable>
      <c:spPr>
        <a:ln w="3175">
          <a:solidFill>
            <a:schemeClr val="bg1">
              <a:lumMod val="85000"/>
            </a:schemeClr>
          </a:solidFill>
        </a:ln>
      </c:spPr>
    </c:plotArea>
    <c:plotVisOnly val="1"/>
    <c:dispBlanksAs val="gap"/>
    <c:showDLblsOverMax val="0"/>
  </c:chart>
  <c:spPr>
    <a:ln w="3175">
      <a:solidFill>
        <a:schemeClr val="bg1">
          <a:lumMod val="75000"/>
        </a:schemeClr>
      </a:solidFill>
    </a:ln>
  </c:spPr>
  <c:txPr>
    <a:bodyPr/>
    <a:lstStyle/>
    <a:p>
      <a:pPr>
        <a:defRPr sz="700" b="0" i="0" u="none" strike="noStrike" baseline="0">
          <a:solidFill>
            <a:srgbClr val="000000"/>
          </a:solidFill>
          <a:latin typeface="Arial Narrow" panose="020B0606020202030204" pitchFamily="34" charset="0"/>
          <a:ea typeface="Calibri"/>
          <a:cs typeface="Calibri"/>
        </a:defRPr>
      </a:pPr>
      <a:endParaRPr lang="it-IT"/>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bg2">
                    <a:lumMod val="25000"/>
                  </a:schemeClr>
                </a:solidFill>
                <a:latin typeface="Arial Narrow" panose="020B0606020202030204" pitchFamily="34" charset="0"/>
                <a:ea typeface="+mn-ea"/>
                <a:cs typeface="+mn-cs"/>
              </a:defRPr>
            </a:pPr>
            <a:r>
              <a:rPr lang="it-IT" sz="900" b="1"/>
              <a:t>Italiane</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bg2">
                  <a:lumMod val="2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0.10098400120367119"/>
          <c:y val="0.14489855924728021"/>
          <c:w val="0.85230686928465149"/>
          <c:h val="0.68700914737907104"/>
        </c:manualLayout>
      </c:layout>
      <c:barChart>
        <c:barDir val="col"/>
        <c:grouping val="clustered"/>
        <c:varyColors val="0"/>
        <c:ser>
          <c:idx val="1"/>
          <c:order val="1"/>
          <c:tx>
            <c:strRef>
              <c:f>'Figura 12'!$C$4</c:f>
              <c:strCache>
                <c:ptCount val="1"/>
                <c:pt idx="0">
                  <c:v>2020-2021</c:v>
                </c:pt>
              </c:strCache>
            </c:strRef>
          </c:tx>
          <c:spPr>
            <a:solidFill>
              <a:schemeClr val="accent2"/>
            </a:solidFill>
            <a:ln>
              <a:noFill/>
            </a:ln>
            <a:effectLst/>
          </c:spPr>
          <c:invertIfNegative val="0"/>
          <c:cat>
            <c:strRef>
              <c:f>'Figura 12'!$A$5:$A$10</c:f>
              <c:strCache>
                <c:ptCount val="6"/>
                <c:pt idx="0">
                  <c:v>0-17</c:v>
                </c:pt>
                <c:pt idx="1">
                  <c:v>18-34</c:v>
                </c:pt>
                <c:pt idx="2">
                  <c:v>35-49</c:v>
                </c:pt>
                <c:pt idx="3">
                  <c:v>50-64</c:v>
                </c:pt>
                <c:pt idx="4">
                  <c:v>65+</c:v>
                </c:pt>
                <c:pt idx="5">
                  <c:v>Totale</c:v>
                </c:pt>
              </c:strCache>
            </c:strRef>
          </c:cat>
          <c:val>
            <c:numRef>
              <c:f>'Figura 12'!$C$5:$C$10</c:f>
              <c:numCache>
                <c:formatCode>0.0</c:formatCode>
                <c:ptCount val="6"/>
                <c:pt idx="0">
                  <c:v>3.133903133903134</c:v>
                </c:pt>
                <c:pt idx="1">
                  <c:v>13.355048859934854</c:v>
                </c:pt>
                <c:pt idx="2">
                  <c:v>9.32475884244373</c:v>
                </c:pt>
                <c:pt idx="3">
                  <c:v>7.5812274368231041</c:v>
                </c:pt>
                <c:pt idx="4">
                  <c:v>2.005730659025788</c:v>
                </c:pt>
                <c:pt idx="5">
                  <c:v>6.8338557993730413</c:v>
                </c:pt>
              </c:numCache>
            </c:numRef>
          </c:val>
          <c:extLst>
            <c:ext xmlns:c16="http://schemas.microsoft.com/office/drawing/2014/chart" uri="{C3380CC4-5D6E-409C-BE32-E72D297353CC}">
              <c16:uniqueId val="{00000000-F85C-4147-8936-4D596976ACE1}"/>
            </c:ext>
          </c:extLst>
        </c:ser>
        <c:dLbls>
          <c:showLegendKey val="0"/>
          <c:showVal val="0"/>
          <c:showCatName val="0"/>
          <c:showSerName val="0"/>
          <c:showPercent val="0"/>
          <c:showBubbleSize val="0"/>
        </c:dLbls>
        <c:gapWidth val="90"/>
        <c:axId val="95780016"/>
        <c:axId val="95780848"/>
      </c:barChart>
      <c:lineChart>
        <c:grouping val="standard"/>
        <c:varyColors val="0"/>
        <c:ser>
          <c:idx val="0"/>
          <c:order val="0"/>
          <c:tx>
            <c:strRef>
              <c:f>'Figura 12'!$B$4</c:f>
              <c:strCache>
                <c:ptCount val="1"/>
                <c:pt idx="0">
                  <c:v>2017-2019</c:v>
                </c:pt>
              </c:strCache>
            </c:strRef>
          </c:tx>
          <c:spPr>
            <a:ln w="28575" cap="rnd">
              <a:noFill/>
              <a:round/>
            </a:ln>
            <a:effectLst/>
          </c:spPr>
          <c:marker>
            <c:symbol val="square"/>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12'!$A$5:$A$10</c:f>
              <c:strCache>
                <c:ptCount val="6"/>
                <c:pt idx="0">
                  <c:v>0-17</c:v>
                </c:pt>
                <c:pt idx="1">
                  <c:v>18-34</c:v>
                </c:pt>
                <c:pt idx="2">
                  <c:v>35-49</c:v>
                </c:pt>
                <c:pt idx="3">
                  <c:v>50-64</c:v>
                </c:pt>
                <c:pt idx="4">
                  <c:v>65+</c:v>
                </c:pt>
                <c:pt idx="5">
                  <c:v>Totale</c:v>
                </c:pt>
              </c:strCache>
            </c:strRef>
          </c:cat>
          <c:val>
            <c:numRef>
              <c:f>'Figura 12'!$B$5:$B$10</c:f>
              <c:numCache>
                <c:formatCode>0.0</c:formatCode>
                <c:ptCount val="6"/>
                <c:pt idx="0">
                  <c:v>6.9908814589665651</c:v>
                </c:pt>
                <c:pt idx="1">
                  <c:v>14.48170731707317</c:v>
                </c:pt>
                <c:pt idx="2">
                  <c:v>14.37125748502994</c:v>
                </c:pt>
                <c:pt idx="3">
                  <c:v>8.9887640449438209</c:v>
                </c:pt>
                <c:pt idx="4">
                  <c:v>1.6518424396442184</c:v>
                </c:pt>
                <c:pt idx="5">
                  <c:v>9.0221011201937635</c:v>
                </c:pt>
              </c:numCache>
            </c:numRef>
          </c:val>
          <c:smooth val="0"/>
          <c:extLst>
            <c:ext xmlns:c16="http://schemas.microsoft.com/office/drawing/2014/chart" uri="{C3380CC4-5D6E-409C-BE32-E72D297353CC}">
              <c16:uniqueId val="{00000001-F85C-4147-8936-4D596976ACE1}"/>
            </c:ext>
          </c:extLst>
        </c:ser>
        <c:dLbls>
          <c:showLegendKey val="0"/>
          <c:showVal val="0"/>
          <c:showCatName val="0"/>
          <c:showSerName val="0"/>
          <c:showPercent val="0"/>
          <c:showBubbleSize val="0"/>
        </c:dLbls>
        <c:marker val="1"/>
        <c:smooth val="0"/>
        <c:axId val="95780016"/>
        <c:axId val="95780848"/>
      </c:lineChart>
      <c:catAx>
        <c:axId val="9578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bg2">
                    <a:lumMod val="25000"/>
                  </a:schemeClr>
                </a:solidFill>
                <a:latin typeface="Arial Narrow" panose="020B0606020202030204" pitchFamily="34" charset="0"/>
                <a:ea typeface="+mn-ea"/>
                <a:cs typeface="+mn-cs"/>
              </a:defRPr>
            </a:pPr>
            <a:endParaRPr lang="it-IT"/>
          </a:p>
        </c:txPr>
        <c:crossAx val="95780848"/>
        <c:crosses val="autoZero"/>
        <c:auto val="1"/>
        <c:lblAlgn val="ctr"/>
        <c:lblOffset val="100"/>
        <c:noMultiLvlLbl val="0"/>
      </c:catAx>
      <c:valAx>
        <c:axId val="95780848"/>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crossAx val="95780016"/>
        <c:crosses val="autoZero"/>
        <c:crossBetween val="between"/>
        <c:majorUnit val="5"/>
      </c:valAx>
      <c:spPr>
        <a:noFill/>
        <a:ln>
          <a:noFill/>
        </a:ln>
        <a:effectLst/>
      </c:spPr>
    </c:plotArea>
    <c:legend>
      <c:legendPos val="b"/>
      <c:layout>
        <c:manualLayout>
          <c:xMode val="edge"/>
          <c:yMode val="edge"/>
          <c:x val="0.29852717454904126"/>
          <c:y val="0.91197077283892891"/>
          <c:w val="0.40294565090191753"/>
          <c:h val="8.80292271610712E-2"/>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bg2">
                  <a:lumMod val="2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bg2">
              <a:lumMod val="25000"/>
            </a:schemeClr>
          </a:solidFill>
          <a:latin typeface="Arial Narrow" panose="020B0606020202030204" pitchFamily="34" charset="0"/>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bg2">
                    <a:lumMod val="25000"/>
                  </a:schemeClr>
                </a:solidFill>
                <a:latin typeface="Arial Narrow" panose="020B0606020202030204" pitchFamily="34" charset="0"/>
                <a:ea typeface="+mn-ea"/>
                <a:cs typeface="+mn-cs"/>
              </a:defRPr>
            </a:pPr>
            <a:r>
              <a:rPr lang="it-IT" sz="800" b="1"/>
              <a:t>Straniere</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bg2">
                  <a:lumMod val="2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0.10487083333333333"/>
          <c:y val="0.14487407407407407"/>
          <c:w val="0.86867083333333328"/>
          <c:h val="0.69881947643930575"/>
        </c:manualLayout>
      </c:layout>
      <c:barChart>
        <c:barDir val="col"/>
        <c:grouping val="clustered"/>
        <c:varyColors val="0"/>
        <c:ser>
          <c:idx val="1"/>
          <c:order val="1"/>
          <c:tx>
            <c:strRef>
              <c:f>'Figura 12'!$F$4</c:f>
              <c:strCache>
                <c:ptCount val="1"/>
                <c:pt idx="0">
                  <c:v>2020-2021</c:v>
                </c:pt>
              </c:strCache>
            </c:strRef>
          </c:tx>
          <c:spPr>
            <a:solidFill>
              <a:schemeClr val="tx2">
                <a:lumMod val="40000"/>
                <a:lumOff val="60000"/>
              </a:schemeClr>
            </a:solidFill>
            <a:ln>
              <a:noFill/>
            </a:ln>
            <a:effectLst/>
          </c:spPr>
          <c:invertIfNegative val="0"/>
          <c:cat>
            <c:strRef>
              <c:f>'Figura 12'!$D$5:$D$10</c:f>
              <c:strCache>
                <c:ptCount val="6"/>
                <c:pt idx="0">
                  <c:v>0-17</c:v>
                </c:pt>
                <c:pt idx="1">
                  <c:v>18-34</c:v>
                </c:pt>
                <c:pt idx="2">
                  <c:v>35-49</c:v>
                </c:pt>
                <c:pt idx="3">
                  <c:v>50-64</c:v>
                </c:pt>
                <c:pt idx="4">
                  <c:v>65+</c:v>
                </c:pt>
                <c:pt idx="5">
                  <c:v>Totale</c:v>
                </c:pt>
              </c:strCache>
            </c:strRef>
          </c:cat>
          <c:val>
            <c:numRef>
              <c:f>'Figura 12'!$F$5:$F$10</c:f>
              <c:numCache>
                <c:formatCode>0.0</c:formatCode>
                <c:ptCount val="6"/>
                <c:pt idx="0">
                  <c:v>3.2679738562091507</c:v>
                </c:pt>
                <c:pt idx="1">
                  <c:v>18.468468468468469</c:v>
                </c:pt>
                <c:pt idx="2">
                  <c:v>13.333333333333334</c:v>
                </c:pt>
                <c:pt idx="3">
                  <c:v>8.3333333333333321</c:v>
                </c:pt>
                <c:pt idx="4">
                  <c:v>7.6923076923076925</c:v>
                </c:pt>
                <c:pt idx="5">
                  <c:v>12.175324675324676</c:v>
                </c:pt>
              </c:numCache>
            </c:numRef>
          </c:val>
          <c:extLst>
            <c:ext xmlns:c16="http://schemas.microsoft.com/office/drawing/2014/chart" uri="{C3380CC4-5D6E-409C-BE32-E72D297353CC}">
              <c16:uniqueId val="{00000000-2039-424F-826D-1D9A2627DD5B}"/>
            </c:ext>
          </c:extLst>
        </c:ser>
        <c:dLbls>
          <c:showLegendKey val="0"/>
          <c:showVal val="0"/>
          <c:showCatName val="0"/>
          <c:showSerName val="0"/>
          <c:showPercent val="0"/>
          <c:showBubbleSize val="0"/>
        </c:dLbls>
        <c:gapWidth val="90"/>
        <c:axId val="2082725056"/>
        <c:axId val="2082724224"/>
      </c:barChart>
      <c:lineChart>
        <c:grouping val="standard"/>
        <c:varyColors val="0"/>
        <c:ser>
          <c:idx val="0"/>
          <c:order val="0"/>
          <c:tx>
            <c:strRef>
              <c:f>'Figura 12'!$E$4</c:f>
              <c:strCache>
                <c:ptCount val="1"/>
                <c:pt idx="0">
                  <c:v>2017-2019</c:v>
                </c:pt>
              </c:strCache>
            </c:strRef>
          </c:tx>
          <c:spPr>
            <a:ln w="28575" cap="rnd">
              <a:noFill/>
              <a:round/>
            </a:ln>
            <a:effectLst/>
          </c:spPr>
          <c:marker>
            <c:symbol val="diamond"/>
            <c:size val="9"/>
            <c:spPr>
              <a:solidFill>
                <a:srgbClr val="FF0000"/>
              </a:solidFill>
              <a:ln w="9525">
                <a:solidFill>
                  <a:srgbClr val="FF0000"/>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12'!$D$5:$D$10</c:f>
              <c:strCache>
                <c:ptCount val="6"/>
                <c:pt idx="0">
                  <c:v>0-17</c:v>
                </c:pt>
                <c:pt idx="1">
                  <c:v>18-34</c:v>
                </c:pt>
                <c:pt idx="2">
                  <c:v>35-49</c:v>
                </c:pt>
                <c:pt idx="3">
                  <c:v>50-64</c:v>
                </c:pt>
                <c:pt idx="4">
                  <c:v>65+</c:v>
                </c:pt>
                <c:pt idx="5">
                  <c:v>Totale</c:v>
                </c:pt>
              </c:strCache>
            </c:strRef>
          </c:cat>
          <c:val>
            <c:numRef>
              <c:f>'Figura 12'!$E$5:$E$10</c:f>
              <c:numCache>
                <c:formatCode>0.0</c:formatCode>
                <c:ptCount val="6"/>
                <c:pt idx="0">
                  <c:v>5.6939501779359425</c:v>
                </c:pt>
                <c:pt idx="1">
                  <c:v>21.102661596958175</c:v>
                </c:pt>
                <c:pt idx="2">
                  <c:v>13.432835820895523</c:v>
                </c:pt>
                <c:pt idx="3">
                  <c:v>11.428571428571429</c:v>
                </c:pt>
                <c:pt idx="4">
                  <c:v>8.695652173913043</c:v>
                </c:pt>
                <c:pt idx="5">
                  <c:v>14.645669291338583</c:v>
                </c:pt>
              </c:numCache>
            </c:numRef>
          </c:val>
          <c:smooth val="0"/>
          <c:extLst>
            <c:ext xmlns:c16="http://schemas.microsoft.com/office/drawing/2014/chart" uri="{C3380CC4-5D6E-409C-BE32-E72D297353CC}">
              <c16:uniqueId val="{00000001-2039-424F-826D-1D9A2627DD5B}"/>
            </c:ext>
          </c:extLst>
        </c:ser>
        <c:dLbls>
          <c:showLegendKey val="0"/>
          <c:showVal val="0"/>
          <c:showCatName val="0"/>
          <c:showSerName val="0"/>
          <c:showPercent val="0"/>
          <c:showBubbleSize val="0"/>
        </c:dLbls>
        <c:marker val="1"/>
        <c:smooth val="0"/>
        <c:axId val="2082725056"/>
        <c:axId val="2082724224"/>
      </c:lineChart>
      <c:catAx>
        <c:axId val="2082725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bg2">
                    <a:lumMod val="25000"/>
                  </a:schemeClr>
                </a:solidFill>
                <a:latin typeface="Arial Narrow" panose="020B0606020202030204" pitchFamily="34" charset="0"/>
                <a:ea typeface="+mn-ea"/>
                <a:cs typeface="+mn-cs"/>
              </a:defRPr>
            </a:pPr>
            <a:endParaRPr lang="it-IT"/>
          </a:p>
        </c:txPr>
        <c:crossAx val="2082724224"/>
        <c:crosses val="autoZero"/>
        <c:auto val="1"/>
        <c:lblAlgn val="ctr"/>
        <c:lblOffset val="100"/>
        <c:noMultiLvlLbl val="0"/>
      </c:catAx>
      <c:valAx>
        <c:axId val="2082724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crossAx val="2082725056"/>
        <c:crosses val="autoZero"/>
        <c:crossBetween val="between"/>
      </c:valAx>
      <c:spPr>
        <a:noFill/>
        <a:ln>
          <a:noFill/>
        </a:ln>
        <a:effectLst/>
      </c:spPr>
    </c:plotArea>
    <c:legend>
      <c:legendPos val="b"/>
      <c:layout>
        <c:manualLayout>
          <c:xMode val="edge"/>
          <c:yMode val="edge"/>
          <c:x val="0.31708298611111113"/>
          <c:y val="0.91856296296296291"/>
          <c:w val="0.36583402777777779"/>
          <c:h val="8.1437037037037044E-2"/>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bg2">
                  <a:lumMod val="2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bg2">
              <a:lumMod val="25000"/>
            </a:schemeClr>
          </a:solidFill>
          <a:latin typeface="Arial Narrow" panose="020B0606020202030204" pitchFamily="34" charset="0"/>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ricoveri ripetuti per violenza</c:v>
          </c:tx>
          <c:spPr>
            <a:solidFill>
              <a:schemeClr val="accent4">
                <a:lumMod val="50000"/>
              </a:schemeClr>
            </a:solidFill>
            <a:ln>
              <a:noFill/>
            </a:ln>
            <a:effectLst/>
          </c:spPr>
          <c:invertIfNegative val="0"/>
          <c:cat>
            <c:multiLvlStrRef>
              <c:f>'Figura 13'!$A$7:$B$18</c:f>
              <c:multiLvlStrCache>
                <c:ptCount val="12"/>
                <c:lvl>
                  <c:pt idx="0">
                    <c:v>violenza</c:v>
                  </c:pt>
                  <c:pt idx="1">
                    <c:v>senza violenza</c:v>
                  </c:pt>
                  <c:pt idx="2">
                    <c:v>violenza</c:v>
                  </c:pt>
                  <c:pt idx="3">
                    <c:v>senza violenza</c:v>
                  </c:pt>
                  <c:pt idx="4">
                    <c:v>violenza</c:v>
                  </c:pt>
                  <c:pt idx="5">
                    <c:v>senza violenza</c:v>
                  </c:pt>
                  <c:pt idx="6">
                    <c:v>violenza</c:v>
                  </c:pt>
                  <c:pt idx="7">
                    <c:v>senza violenza</c:v>
                  </c:pt>
                  <c:pt idx="8">
                    <c:v>violenza</c:v>
                  </c:pt>
                  <c:pt idx="9">
                    <c:v>senza violenza</c:v>
                  </c:pt>
                  <c:pt idx="10">
                    <c:v>violenza</c:v>
                  </c:pt>
                  <c:pt idx="11">
                    <c:v>senza violenza</c:v>
                  </c:pt>
                </c:lvl>
                <c:lvl>
                  <c:pt idx="0">
                    <c:v>0-17</c:v>
                  </c:pt>
                  <c:pt idx="2">
                    <c:v>18-34</c:v>
                  </c:pt>
                  <c:pt idx="4">
                    <c:v>35-49</c:v>
                  </c:pt>
                  <c:pt idx="6">
                    <c:v>50-64</c:v>
                  </c:pt>
                  <c:pt idx="8">
                    <c:v>65+</c:v>
                  </c:pt>
                  <c:pt idx="10">
                    <c:v>Totale</c:v>
                  </c:pt>
                </c:lvl>
              </c:multiLvlStrCache>
            </c:multiLvlStrRef>
          </c:cat>
          <c:val>
            <c:numRef>
              <c:f>'Figura 13'!$C$7:$C$18</c:f>
              <c:numCache>
                <c:formatCode>#,##0.00</c:formatCode>
                <c:ptCount val="12"/>
                <c:pt idx="0">
                  <c:v>0.26836581709145424</c:v>
                </c:pt>
                <c:pt idx="1">
                  <c:v>0</c:v>
                </c:pt>
                <c:pt idx="2">
                  <c:v>0.33401221995926678</c:v>
                </c:pt>
                <c:pt idx="3">
                  <c:v>0</c:v>
                </c:pt>
                <c:pt idx="4">
                  <c:v>0.30456852791878175</c:v>
                </c:pt>
                <c:pt idx="5">
                  <c:v>0</c:v>
                </c:pt>
                <c:pt idx="6">
                  <c:v>0.36434977578475336</c:v>
                </c:pt>
                <c:pt idx="7">
                  <c:v>0</c:v>
                </c:pt>
                <c:pt idx="8">
                  <c:v>0.58958517210944406</c:v>
                </c:pt>
                <c:pt idx="9">
                  <c:v>0</c:v>
                </c:pt>
                <c:pt idx="10">
                  <c:v>0.36435356625342141</c:v>
                </c:pt>
                <c:pt idx="11">
                  <c:v>0</c:v>
                </c:pt>
              </c:numCache>
            </c:numRef>
          </c:val>
          <c:extLst>
            <c:ext xmlns:c16="http://schemas.microsoft.com/office/drawing/2014/chart" uri="{C3380CC4-5D6E-409C-BE32-E72D297353CC}">
              <c16:uniqueId val="{00000000-3421-40D2-AE6A-63C23191BA1E}"/>
            </c:ext>
          </c:extLst>
        </c:ser>
        <c:ser>
          <c:idx val="1"/>
          <c:order val="1"/>
          <c:tx>
            <c:v>ricoveri ripetuti per altre cause</c:v>
          </c:tx>
          <c:spPr>
            <a:solidFill>
              <a:schemeClr val="accent2"/>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2-3421-40D2-AE6A-63C23191BA1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4-3421-40D2-AE6A-63C23191BA1E}"/>
              </c:ext>
            </c:extLst>
          </c:dPt>
          <c:dPt>
            <c:idx val="5"/>
            <c:invertIfNegative val="0"/>
            <c:bubble3D val="0"/>
            <c:spPr>
              <a:solidFill>
                <a:schemeClr val="accent4"/>
              </a:solidFill>
              <a:ln>
                <a:noFill/>
              </a:ln>
              <a:effectLst/>
            </c:spPr>
            <c:extLst>
              <c:ext xmlns:c16="http://schemas.microsoft.com/office/drawing/2014/chart" uri="{C3380CC4-5D6E-409C-BE32-E72D297353CC}">
                <c16:uniqueId val="{00000006-3421-40D2-AE6A-63C23191BA1E}"/>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8-3421-40D2-AE6A-63C23191BA1E}"/>
              </c:ext>
            </c:extLst>
          </c:dPt>
          <c:dPt>
            <c:idx val="9"/>
            <c:invertIfNegative val="0"/>
            <c:bubble3D val="0"/>
            <c:spPr>
              <a:solidFill>
                <a:schemeClr val="accent4"/>
              </a:solidFill>
              <a:ln>
                <a:noFill/>
              </a:ln>
              <a:effectLst/>
            </c:spPr>
            <c:extLst>
              <c:ext xmlns:c16="http://schemas.microsoft.com/office/drawing/2014/chart" uri="{C3380CC4-5D6E-409C-BE32-E72D297353CC}">
                <c16:uniqueId val="{0000000A-3421-40D2-AE6A-63C23191BA1E}"/>
              </c:ext>
            </c:extLst>
          </c:dPt>
          <c:dPt>
            <c:idx val="11"/>
            <c:invertIfNegative val="0"/>
            <c:bubble3D val="0"/>
            <c:spPr>
              <a:solidFill>
                <a:schemeClr val="accent4"/>
              </a:solidFill>
              <a:ln>
                <a:noFill/>
              </a:ln>
              <a:effectLst/>
            </c:spPr>
            <c:extLst>
              <c:ext xmlns:c16="http://schemas.microsoft.com/office/drawing/2014/chart" uri="{C3380CC4-5D6E-409C-BE32-E72D297353CC}">
                <c16:uniqueId val="{0000000C-3421-40D2-AE6A-63C23191BA1E}"/>
              </c:ext>
            </c:extLst>
          </c:dPt>
          <c:cat>
            <c:multiLvlStrRef>
              <c:f>'Figura 13'!$A$7:$B$18</c:f>
              <c:multiLvlStrCache>
                <c:ptCount val="12"/>
                <c:lvl>
                  <c:pt idx="0">
                    <c:v>violenza</c:v>
                  </c:pt>
                  <c:pt idx="1">
                    <c:v>senza violenza</c:v>
                  </c:pt>
                  <c:pt idx="2">
                    <c:v>violenza</c:v>
                  </c:pt>
                  <c:pt idx="3">
                    <c:v>senza violenza</c:v>
                  </c:pt>
                  <c:pt idx="4">
                    <c:v>violenza</c:v>
                  </c:pt>
                  <c:pt idx="5">
                    <c:v>senza violenza</c:v>
                  </c:pt>
                  <c:pt idx="6">
                    <c:v>violenza</c:v>
                  </c:pt>
                  <c:pt idx="7">
                    <c:v>senza violenza</c:v>
                  </c:pt>
                  <c:pt idx="8">
                    <c:v>violenza</c:v>
                  </c:pt>
                  <c:pt idx="9">
                    <c:v>senza violenza</c:v>
                  </c:pt>
                  <c:pt idx="10">
                    <c:v>violenza</c:v>
                  </c:pt>
                  <c:pt idx="11">
                    <c:v>senza violenza</c:v>
                  </c:pt>
                </c:lvl>
                <c:lvl>
                  <c:pt idx="0">
                    <c:v>0-17</c:v>
                  </c:pt>
                  <c:pt idx="2">
                    <c:v>18-34</c:v>
                  </c:pt>
                  <c:pt idx="4">
                    <c:v>35-49</c:v>
                  </c:pt>
                  <c:pt idx="6">
                    <c:v>50-64</c:v>
                  </c:pt>
                  <c:pt idx="8">
                    <c:v>65+</c:v>
                  </c:pt>
                  <c:pt idx="10">
                    <c:v>Totale</c:v>
                  </c:pt>
                </c:lvl>
              </c:multiLvlStrCache>
            </c:multiLvlStrRef>
          </c:cat>
          <c:val>
            <c:numRef>
              <c:f>'Figura 13'!$D$7:$D$18</c:f>
              <c:numCache>
                <c:formatCode>#,##0.00</c:formatCode>
                <c:ptCount val="12"/>
                <c:pt idx="0">
                  <c:v>1.0292353823088456</c:v>
                </c:pt>
                <c:pt idx="1">
                  <c:v>1.18</c:v>
                </c:pt>
                <c:pt idx="2">
                  <c:v>1.0244399185336048</c:v>
                </c:pt>
                <c:pt idx="3">
                  <c:v>1.1970074133913031</c:v>
                </c:pt>
                <c:pt idx="4">
                  <c:v>1.0290065264684554</c:v>
                </c:pt>
                <c:pt idx="5">
                  <c:v>1.2156519731530615</c:v>
                </c:pt>
                <c:pt idx="6">
                  <c:v>1.0437219730941705</c:v>
                </c:pt>
                <c:pt idx="7">
                  <c:v>1.3039959873280742</c:v>
                </c:pt>
                <c:pt idx="8">
                  <c:v>1.0150044130626654</c:v>
                </c:pt>
                <c:pt idx="9">
                  <c:v>1.44381790669868</c:v>
                </c:pt>
                <c:pt idx="10">
                  <c:v>1.0275317984221541</c:v>
                </c:pt>
                <c:pt idx="11">
                  <c:v>1.3369152509416986</c:v>
                </c:pt>
              </c:numCache>
            </c:numRef>
          </c:val>
          <c:extLst>
            <c:ext xmlns:c16="http://schemas.microsoft.com/office/drawing/2014/chart" uri="{C3380CC4-5D6E-409C-BE32-E72D297353CC}">
              <c16:uniqueId val="{0000000D-3421-40D2-AE6A-63C23191BA1E}"/>
            </c:ext>
          </c:extLst>
        </c:ser>
        <c:dLbls>
          <c:showLegendKey val="0"/>
          <c:showVal val="0"/>
          <c:showCatName val="0"/>
          <c:showSerName val="0"/>
          <c:showPercent val="0"/>
          <c:showBubbleSize val="0"/>
        </c:dLbls>
        <c:gapWidth val="75"/>
        <c:overlap val="100"/>
        <c:axId val="743417247"/>
        <c:axId val="743428895"/>
      </c:barChart>
      <c:catAx>
        <c:axId val="743417247"/>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743428895"/>
        <c:crosses val="autoZero"/>
        <c:auto val="1"/>
        <c:lblAlgn val="ctr"/>
        <c:lblOffset val="100"/>
        <c:noMultiLvlLbl val="0"/>
      </c:catAx>
      <c:valAx>
        <c:axId val="743428895"/>
        <c:scaling>
          <c:orientation val="minMax"/>
        </c:scaling>
        <c:delete val="0"/>
        <c:axPos val="l"/>
        <c:majorGridlines>
          <c:spPr>
            <a:ln w="3175" cap="flat" cmpd="sng" algn="ctr">
              <a:solidFill>
                <a:schemeClr val="bg1">
                  <a:lumMod val="95000"/>
                </a:schemeClr>
              </a:solidFill>
              <a:round/>
            </a:ln>
            <a:effectLst/>
          </c:spPr>
        </c:majorGridlines>
        <c:numFmt formatCode="#,##0.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chemeClr val="tx1">
                    <a:lumMod val="85000"/>
                    <a:lumOff val="15000"/>
                  </a:schemeClr>
                </a:solidFill>
                <a:latin typeface="Arial Narrow" panose="020B0606020202030204" pitchFamily="34" charset="0"/>
                <a:ea typeface="+mn-ea"/>
                <a:cs typeface="+mn-cs"/>
              </a:defRPr>
            </a:pPr>
            <a:endParaRPr lang="it-IT"/>
          </a:p>
        </c:txPr>
        <c:crossAx val="7434172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85000"/>
                  <a:lumOff val="1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3175" cap="flat" cmpd="sng" algn="ctr">
      <a:solidFill>
        <a:schemeClr val="bg1">
          <a:lumMod val="85000"/>
        </a:schemeClr>
      </a:solidFill>
      <a:round/>
    </a:ln>
    <a:effectLst/>
  </c:spPr>
  <c:txPr>
    <a:bodyPr/>
    <a:lstStyle/>
    <a:p>
      <a:pPr>
        <a:defRPr sz="800">
          <a:solidFill>
            <a:schemeClr val="tx1">
              <a:lumMod val="85000"/>
              <a:lumOff val="15000"/>
            </a:schemeClr>
          </a:solidFill>
          <a:latin typeface="Arial Narrow" panose="020B0606020202030204" pitchFamily="34"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r>
              <a:rPr lang="it-IT" b="1"/>
              <a:t>Femmine</a:t>
            </a:r>
          </a:p>
        </c:rich>
      </c:tx>
      <c:layout>
        <c:manualLayout>
          <c:xMode val="edge"/>
          <c:yMode val="edge"/>
          <c:x val="0.42504444444444445"/>
          <c:y val="2.0618556701030927E-2"/>
        </c:manualLayout>
      </c:layout>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7.4462345679012346E-2"/>
          <c:y val="0.12810996563573884"/>
          <c:w val="0.87700762708463875"/>
          <c:h val="0.674577481938469"/>
        </c:manualLayout>
      </c:layout>
      <c:scatterChart>
        <c:scatterStyle val="smoothMarker"/>
        <c:varyColors val="0"/>
        <c:ser>
          <c:idx val="0"/>
          <c:order val="0"/>
          <c:tx>
            <c:strRef>
              <c:f>'Figura 2'!$H$5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2'!$I$5:$M$5</c:f>
              <c:numCache>
                <c:formatCode>0.00</c:formatCode>
                <c:ptCount val="5"/>
                <c:pt idx="0">
                  <c:v>3.92</c:v>
                </c:pt>
                <c:pt idx="1">
                  <c:v>5.16</c:v>
                </c:pt>
                <c:pt idx="2">
                  <c:v>4.3899999999999997</c:v>
                </c:pt>
                <c:pt idx="3">
                  <c:v>2.97</c:v>
                </c:pt>
                <c:pt idx="4">
                  <c:v>3.47</c:v>
                </c:pt>
              </c:numCache>
            </c:numRef>
          </c:yVal>
          <c:smooth val="1"/>
          <c:extLst>
            <c:ext xmlns:c16="http://schemas.microsoft.com/office/drawing/2014/chart" uri="{C3380CC4-5D6E-409C-BE32-E72D297353CC}">
              <c16:uniqueId val="{00000000-9685-4318-8E06-43A2ABC92FE7}"/>
            </c:ext>
          </c:extLst>
        </c:ser>
        <c:ser>
          <c:idx val="1"/>
          <c:order val="1"/>
          <c:tx>
            <c:strRef>
              <c:f>'Figura 2'!$H$6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2'!$I$6:$M$6</c:f>
              <c:numCache>
                <c:formatCode>0.00</c:formatCode>
                <c:ptCount val="5"/>
                <c:pt idx="0">
                  <c:v>9.92</c:v>
                </c:pt>
                <c:pt idx="1">
                  <c:v>10.31</c:v>
                </c:pt>
                <c:pt idx="2">
                  <c:v>10.11</c:v>
                </c:pt>
                <c:pt idx="3">
                  <c:v>7.73</c:v>
                </c:pt>
                <c:pt idx="4">
                  <c:v>8.84</c:v>
                </c:pt>
              </c:numCache>
            </c:numRef>
          </c:yVal>
          <c:smooth val="1"/>
          <c:extLst>
            <c:ext xmlns:c16="http://schemas.microsoft.com/office/drawing/2014/chart" uri="{C3380CC4-5D6E-409C-BE32-E72D297353CC}">
              <c16:uniqueId val="{00000001-9685-4318-8E06-43A2ABC92FE7}"/>
            </c:ext>
          </c:extLst>
        </c:ser>
        <c:ser>
          <c:idx val="2"/>
          <c:order val="2"/>
          <c:tx>
            <c:strRef>
              <c:f>'Figura 2'!$H$7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2'!$I$7:$M$7</c:f>
              <c:numCache>
                <c:formatCode>0.00</c:formatCode>
                <c:ptCount val="5"/>
                <c:pt idx="0">
                  <c:v>7.91</c:v>
                </c:pt>
                <c:pt idx="1">
                  <c:v>8.32</c:v>
                </c:pt>
                <c:pt idx="2">
                  <c:v>8.68</c:v>
                </c:pt>
                <c:pt idx="3">
                  <c:v>6.7</c:v>
                </c:pt>
                <c:pt idx="4">
                  <c:v>7.16</c:v>
                </c:pt>
              </c:numCache>
            </c:numRef>
          </c:yVal>
          <c:smooth val="1"/>
          <c:extLst>
            <c:ext xmlns:c16="http://schemas.microsoft.com/office/drawing/2014/chart" uri="{C3380CC4-5D6E-409C-BE32-E72D297353CC}">
              <c16:uniqueId val="{00000002-9685-4318-8E06-43A2ABC92FE7}"/>
            </c:ext>
          </c:extLst>
        </c:ser>
        <c:ser>
          <c:idx val="3"/>
          <c:order val="3"/>
          <c:tx>
            <c:strRef>
              <c:f>'Figura 2'!$H$8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2'!$I$8:$M$8</c:f>
              <c:numCache>
                <c:formatCode>0.00</c:formatCode>
                <c:ptCount val="5"/>
                <c:pt idx="0">
                  <c:v>3.42</c:v>
                </c:pt>
                <c:pt idx="1">
                  <c:v>3.77</c:v>
                </c:pt>
                <c:pt idx="2">
                  <c:v>4</c:v>
                </c:pt>
                <c:pt idx="3">
                  <c:v>3.06</c:v>
                </c:pt>
                <c:pt idx="4">
                  <c:v>3.22</c:v>
                </c:pt>
              </c:numCache>
            </c:numRef>
          </c:yVal>
          <c:smooth val="1"/>
          <c:extLst>
            <c:ext xmlns:c16="http://schemas.microsoft.com/office/drawing/2014/chart" uri="{C3380CC4-5D6E-409C-BE32-E72D297353CC}">
              <c16:uniqueId val="{00000003-9685-4318-8E06-43A2ABC92FE7}"/>
            </c:ext>
          </c:extLst>
        </c:ser>
        <c:ser>
          <c:idx val="4"/>
          <c:order val="4"/>
          <c:tx>
            <c:strRef>
              <c:f>'Figura 2'!$H$9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2'!$I$9:$M$9</c:f>
              <c:numCache>
                <c:formatCode>0.00</c:formatCode>
                <c:ptCount val="5"/>
                <c:pt idx="0">
                  <c:v>1.06</c:v>
                </c:pt>
                <c:pt idx="1">
                  <c:v>1.33</c:v>
                </c:pt>
                <c:pt idx="2">
                  <c:v>1.1299999999999999</c:v>
                </c:pt>
                <c:pt idx="3">
                  <c:v>0.91</c:v>
                </c:pt>
                <c:pt idx="4">
                  <c:v>0.88</c:v>
                </c:pt>
              </c:numCache>
            </c:numRef>
          </c:yVal>
          <c:smooth val="1"/>
          <c:extLst>
            <c:ext xmlns:c16="http://schemas.microsoft.com/office/drawing/2014/chart" uri="{C3380CC4-5D6E-409C-BE32-E72D297353CC}">
              <c16:uniqueId val="{00000004-9685-4318-8E06-43A2ABC92FE7}"/>
            </c:ext>
          </c:extLst>
        </c:ser>
        <c:ser>
          <c:idx val="5"/>
          <c:order val="5"/>
          <c:tx>
            <c:strRef>
              <c:f>'Figura 2'!$H$10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2'!$I$4:$M$4</c:f>
              <c:numCache>
                <c:formatCode>General</c:formatCode>
                <c:ptCount val="5"/>
                <c:pt idx="0">
                  <c:v>2017</c:v>
                </c:pt>
                <c:pt idx="1">
                  <c:v>2018</c:v>
                </c:pt>
                <c:pt idx="2">
                  <c:v>2019</c:v>
                </c:pt>
                <c:pt idx="3">
                  <c:v>2020</c:v>
                </c:pt>
                <c:pt idx="4">
                  <c:v>2021</c:v>
                </c:pt>
              </c:numCache>
            </c:numRef>
          </c:xVal>
          <c:yVal>
            <c:numRef>
              <c:f>'Figura 2'!$I$10:$M$10</c:f>
              <c:numCache>
                <c:formatCode>0.00</c:formatCode>
                <c:ptCount val="5"/>
                <c:pt idx="0">
                  <c:v>4.9400000000000004</c:v>
                </c:pt>
                <c:pt idx="1">
                  <c:v>5.43</c:v>
                </c:pt>
                <c:pt idx="2">
                  <c:v>5.32</c:v>
                </c:pt>
                <c:pt idx="3">
                  <c:v>4.01</c:v>
                </c:pt>
                <c:pt idx="4">
                  <c:v>4.3600000000000003</c:v>
                </c:pt>
              </c:numCache>
            </c:numRef>
          </c:yVal>
          <c:smooth val="1"/>
          <c:extLst>
            <c:ext xmlns:c16="http://schemas.microsoft.com/office/drawing/2014/chart" uri="{C3380CC4-5D6E-409C-BE32-E72D297353CC}">
              <c16:uniqueId val="{00000005-9685-4318-8E06-43A2ABC92FE7}"/>
            </c:ext>
          </c:extLst>
        </c:ser>
        <c:dLbls>
          <c:showLegendKey val="0"/>
          <c:showVal val="0"/>
          <c:showCatName val="0"/>
          <c:showSerName val="0"/>
          <c:showPercent val="0"/>
          <c:showBubbleSize val="0"/>
        </c:dLbls>
        <c:axId val="1640788864"/>
        <c:axId val="1640797184"/>
      </c:scatterChart>
      <c:valAx>
        <c:axId val="1640788864"/>
        <c:scaling>
          <c:orientation val="minMax"/>
          <c:max val="2021"/>
          <c:min val="2017"/>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97184"/>
        <c:crosses val="autoZero"/>
        <c:crossBetween val="midCat"/>
        <c:majorUnit val="1"/>
      </c:valAx>
      <c:valAx>
        <c:axId val="1640797184"/>
        <c:scaling>
          <c:orientation val="minMax"/>
          <c:max val="12"/>
        </c:scaling>
        <c:delete val="0"/>
        <c:axPos val="l"/>
        <c:majorGridlines>
          <c:spPr>
            <a:ln w="3175" cap="flat" cmpd="sng" algn="ctr">
              <a:solidFill>
                <a:schemeClr val="tx1">
                  <a:lumMod val="15000"/>
                  <a:lumOff val="85000"/>
                </a:schemeClr>
              </a:solidFill>
              <a:round/>
            </a:ln>
            <a:effectLst/>
          </c:spPr>
        </c:majorGridlines>
        <c:numFmt formatCode="0"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88864"/>
        <c:crosses val="autoZero"/>
        <c:crossBetween val="midCat"/>
      </c:valAx>
      <c:spPr>
        <a:noFill/>
        <a:ln>
          <a:noFill/>
        </a:ln>
        <a:effectLst/>
      </c:spPr>
    </c:plotArea>
    <c:legend>
      <c:legendPos val="b"/>
      <c:layout>
        <c:manualLayout>
          <c:xMode val="edge"/>
          <c:yMode val="edge"/>
          <c:x val="1.8282474927113178E-3"/>
          <c:y val="0.91709350681962021"/>
          <c:w val="0.98758502023244465"/>
          <c:h val="6.916066015666039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r>
              <a:rPr lang="it-IT" b="1"/>
              <a:t>Maschi</a:t>
            </a:r>
          </a:p>
        </c:rich>
      </c:tx>
      <c:layout>
        <c:manualLayout>
          <c:xMode val="edge"/>
          <c:yMode val="edge"/>
          <c:x val="0.44246759259259261"/>
          <c:y val="2.3518518518518518E-2"/>
        </c:manualLayout>
      </c:layout>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7.4462345679012346E-2"/>
          <c:y val="0.12135555555555555"/>
          <c:w val="0.85741234567901237"/>
          <c:h val="0.68044814814814814"/>
        </c:manualLayout>
      </c:layout>
      <c:scatterChart>
        <c:scatterStyle val="smoothMarker"/>
        <c:varyColors val="0"/>
        <c:ser>
          <c:idx val="0"/>
          <c:order val="0"/>
          <c:tx>
            <c:strRef>
              <c:f>'Figura 2'!$A$5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2'!$B$5:$F$5</c:f>
              <c:numCache>
                <c:formatCode>0.00</c:formatCode>
                <c:ptCount val="5"/>
                <c:pt idx="0">
                  <c:v>3.83</c:v>
                </c:pt>
                <c:pt idx="1">
                  <c:v>4.9800000000000004</c:v>
                </c:pt>
                <c:pt idx="2">
                  <c:v>3.84</c:v>
                </c:pt>
                <c:pt idx="3">
                  <c:v>2.68</c:v>
                </c:pt>
                <c:pt idx="4">
                  <c:v>3.3</c:v>
                </c:pt>
              </c:numCache>
            </c:numRef>
          </c:yVal>
          <c:smooth val="1"/>
          <c:extLst>
            <c:ext xmlns:c16="http://schemas.microsoft.com/office/drawing/2014/chart" uri="{C3380CC4-5D6E-409C-BE32-E72D297353CC}">
              <c16:uniqueId val="{00000000-771E-4C85-8D8B-8FB4208A7436}"/>
            </c:ext>
          </c:extLst>
        </c:ser>
        <c:ser>
          <c:idx val="1"/>
          <c:order val="1"/>
          <c:tx>
            <c:strRef>
              <c:f>'Figura 2'!$A$6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2'!$B$6:$F$6</c:f>
              <c:numCache>
                <c:formatCode>0.00</c:formatCode>
                <c:ptCount val="5"/>
                <c:pt idx="0">
                  <c:v>8.5399999999999991</c:v>
                </c:pt>
                <c:pt idx="1">
                  <c:v>8.3800000000000008</c:v>
                </c:pt>
                <c:pt idx="2">
                  <c:v>7.82</c:v>
                </c:pt>
                <c:pt idx="3">
                  <c:v>5.87</c:v>
                </c:pt>
                <c:pt idx="4">
                  <c:v>7.27</c:v>
                </c:pt>
              </c:numCache>
            </c:numRef>
          </c:yVal>
          <c:smooth val="1"/>
          <c:extLst>
            <c:ext xmlns:c16="http://schemas.microsoft.com/office/drawing/2014/chart" uri="{C3380CC4-5D6E-409C-BE32-E72D297353CC}">
              <c16:uniqueId val="{00000001-771E-4C85-8D8B-8FB4208A7436}"/>
            </c:ext>
          </c:extLst>
        </c:ser>
        <c:ser>
          <c:idx val="2"/>
          <c:order val="2"/>
          <c:tx>
            <c:strRef>
              <c:f>'Figura 2'!$A$7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2'!$B$7:$F$7</c:f>
              <c:numCache>
                <c:formatCode>0.00</c:formatCode>
                <c:ptCount val="5"/>
                <c:pt idx="0">
                  <c:v>6.12</c:v>
                </c:pt>
                <c:pt idx="1">
                  <c:v>6.19</c:v>
                </c:pt>
                <c:pt idx="2">
                  <c:v>5.59</c:v>
                </c:pt>
                <c:pt idx="3">
                  <c:v>4.67</c:v>
                </c:pt>
                <c:pt idx="4">
                  <c:v>4.9000000000000004</c:v>
                </c:pt>
              </c:numCache>
            </c:numRef>
          </c:yVal>
          <c:smooth val="1"/>
          <c:extLst>
            <c:ext xmlns:c16="http://schemas.microsoft.com/office/drawing/2014/chart" uri="{C3380CC4-5D6E-409C-BE32-E72D297353CC}">
              <c16:uniqueId val="{00000002-771E-4C85-8D8B-8FB4208A7436}"/>
            </c:ext>
          </c:extLst>
        </c:ser>
        <c:ser>
          <c:idx val="3"/>
          <c:order val="3"/>
          <c:tx>
            <c:strRef>
              <c:f>'Figura 2'!$A$8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2'!$B$8:$F$8</c:f>
              <c:numCache>
                <c:formatCode>0.00</c:formatCode>
                <c:ptCount val="5"/>
                <c:pt idx="0">
                  <c:v>3.69</c:v>
                </c:pt>
                <c:pt idx="1">
                  <c:v>3.92</c:v>
                </c:pt>
                <c:pt idx="2">
                  <c:v>3.48</c:v>
                </c:pt>
                <c:pt idx="3">
                  <c:v>2.99</c:v>
                </c:pt>
                <c:pt idx="4">
                  <c:v>3.15</c:v>
                </c:pt>
              </c:numCache>
            </c:numRef>
          </c:yVal>
          <c:smooth val="1"/>
          <c:extLst>
            <c:ext xmlns:c16="http://schemas.microsoft.com/office/drawing/2014/chart" uri="{C3380CC4-5D6E-409C-BE32-E72D297353CC}">
              <c16:uniqueId val="{00000003-771E-4C85-8D8B-8FB4208A7436}"/>
            </c:ext>
          </c:extLst>
        </c:ser>
        <c:ser>
          <c:idx val="4"/>
          <c:order val="4"/>
          <c:tx>
            <c:strRef>
              <c:f>'Figura 2'!$A$9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2'!$B$9:$F$9</c:f>
              <c:numCache>
                <c:formatCode>0.00</c:formatCode>
                <c:ptCount val="5"/>
                <c:pt idx="0">
                  <c:v>1.48</c:v>
                </c:pt>
                <c:pt idx="1">
                  <c:v>1.6</c:v>
                </c:pt>
                <c:pt idx="2">
                  <c:v>1.47</c:v>
                </c:pt>
                <c:pt idx="3">
                  <c:v>1.07</c:v>
                </c:pt>
                <c:pt idx="4">
                  <c:v>1.18</c:v>
                </c:pt>
              </c:numCache>
            </c:numRef>
          </c:yVal>
          <c:smooth val="1"/>
          <c:extLst>
            <c:ext xmlns:c16="http://schemas.microsoft.com/office/drawing/2014/chart" uri="{C3380CC4-5D6E-409C-BE32-E72D297353CC}">
              <c16:uniqueId val="{00000004-771E-4C85-8D8B-8FB4208A7436}"/>
            </c:ext>
          </c:extLst>
        </c:ser>
        <c:ser>
          <c:idx val="5"/>
          <c:order val="5"/>
          <c:tx>
            <c:strRef>
              <c:f>'Figura 2'!$A$10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2'!$B$4:$F$4</c:f>
              <c:numCache>
                <c:formatCode>General</c:formatCode>
                <c:ptCount val="5"/>
                <c:pt idx="0">
                  <c:v>2017</c:v>
                </c:pt>
                <c:pt idx="1">
                  <c:v>2018</c:v>
                </c:pt>
                <c:pt idx="2">
                  <c:v>2019</c:v>
                </c:pt>
                <c:pt idx="3">
                  <c:v>2020</c:v>
                </c:pt>
                <c:pt idx="4">
                  <c:v>2021</c:v>
                </c:pt>
              </c:numCache>
            </c:numRef>
          </c:xVal>
          <c:yVal>
            <c:numRef>
              <c:f>'Figura 2'!$B$10:$F$10</c:f>
              <c:numCache>
                <c:formatCode>0.00</c:formatCode>
                <c:ptCount val="5"/>
                <c:pt idx="0">
                  <c:v>4.7</c:v>
                </c:pt>
                <c:pt idx="1">
                  <c:v>4.97</c:v>
                </c:pt>
                <c:pt idx="2">
                  <c:v>4.3899999999999997</c:v>
                </c:pt>
                <c:pt idx="3">
                  <c:v>3.43</c:v>
                </c:pt>
                <c:pt idx="4">
                  <c:v>3.88</c:v>
                </c:pt>
              </c:numCache>
            </c:numRef>
          </c:yVal>
          <c:smooth val="1"/>
          <c:extLst>
            <c:ext xmlns:c16="http://schemas.microsoft.com/office/drawing/2014/chart" uri="{C3380CC4-5D6E-409C-BE32-E72D297353CC}">
              <c16:uniqueId val="{00000005-771E-4C85-8D8B-8FB4208A7436}"/>
            </c:ext>
          </c:extLst>
        </c:ser>
        <c:dLbls>
          <c:showLegendKey val="0"/>
          <c:showVal val="0"/>
          <c:showCatName val="0"/>
          <c:showSerName val="0"/>
          <c:showPercent val="0"/>
          <c:showBubbleSize val="0"/>
        </c:dLbls>
        <c:axId val="1710473040"/>
        <c:axId val="1710469296"/>
      </c:scatterChart>
      <c:valAx>
        <c:axId val="1710473040"/>
        <c:scaling>
          <c:orientation val="minMax"/>
          <c:max val="2021"/>
          <c:min val="2017"/>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69296"/>
        <c:crosses val="autoZero"/>
        <c:crossBetween val="midCat"/>
        <c:majorUnit val="1"/>
      </c:valAx>
      <c:valAx>
        <c:axId val="1710469296"/>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73040"/>
        <c:crosses val="autoZero"/>
        <c:crossBetween val="midCat"/>
      </c:valAx>
      <c:spPr>
        <a:noFill/>
        <a:ln>
          <a:noFill/>
        </a:ln>
        <a:effectLst/>
      </c:spPr>
    </c:plotArea>
    <c:legend>
      <c:legendPos val="b"/>
      <c:layout>
        <c:manualLayout>
          <c:xMode val="edge"/>
          <c:yMode val="edge"/>
          <c:x val="3.7025386942158033E-3"/>
          <c:y val="0.90757294290377699"/>
          <c:w val="0.97963875763640107"/>
          <c:h val="9.242705709622289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r>
              <a:rPr lang="it-IT" b="1"/>
              <a:t>Femmine</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8.1776551499723751E-2"/>
          <c:y val="0.14429572976418101"/>
          <c:w val="0.84340640157819269"/>
          <c:h val="0.65137230695111481"/>
        </c:manualLayout>
      </c:layout>
      <c:scatterChart>
        <c:scatterStyle val="smoothMarker"/>
        <c:varyColors val="0"/>
        <c:ser>
          <c:idx val="0"/>
          <c:order val="0"/>
          <c:tx>
            <c:strRef>
              <c:f>'Figura 3'!$H$5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3'!$I$5:$M$5</c:f>
              <c:numCache>
                <c:formatCode>0.0</c:formatCode>
                <c:ptCount val="5"/>
                <c:pt idx="0">
                  <c:v>10.3</c:v>
                </c:pt>
                <c:pt idx="1">
                  <c:v>13.98</c:v>
                </c:pt>
                <c:pt idx="2">
                  <c:v>11.61</c:v>
                </c:pt>
                <c:pt idx="3">
                  <c:v>16.27</c:v>
                </c:pt>
                <c:pt idx="4">
                  <c:v>16.440000000000001</c:v>
                </c:pt>
              </c:numCache>
            </c:numRef>
          </c:yVal>
          <c:smooth val="1"/>
          <c:extLst>
            <c:ext xmlns:c16="http://schemas.microsoft.com/office/drawing/2014/chart" uri="{C3380CC4-5D6E-409C-BE32-E72D297353CC}">
              <c16:uniqueId val="{00000000-D35E-461C-830E-4A0E209C302E}"/>
            </c:ext>
          </c:extLst>
        </c:ser>
        <c:ser>
          <c:idx val="1"/>
          <c:order val="1"/>
          <c:tx>
            <c:strRef>
              <c:f>'Figura 3'!$H$6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3'!$I$6:$M$6</c:f>
              <c:numCache>
                <c:formatCode>0.0</c:formatCode>
                <c:ptCount val="5"/>
                <c:pt idx="0">
                  <c:v>23.84</c:v>
                </c:pt>
                <c:pt idx="1">
                  <c:v>25.61</c:v>
                </c:pt>
                <c:pt idx="2">
                  <c:v>24.77</c:v>
                </c:pt>
                <c:pt idx="3">
                  <c:v>29.5</c:v>
                </c:pt>
                <c:pt idx="4">
                  <c:v>30.17</c:v>
                </c:pt>
              </c:numCache>
            </c:numRef>
          </c:yVal>
          <c:smooth val="1"/>
          <c:extLst>
            <c:ext xmlns:c16="http://schemas.microsoft.com/office/drawing/2014/chart" uri="{C3380CC4-5D6E-409C-BE32-E72D297353CC}">
              <c16:uniqueId val="{00000001-D35E-461C-830E-4A0E209C302E}"/>
            </c:ext>
          </c:extLst>
        </c:ser>
        <c:ser>
          <c:idx val="2"/>
          <c:order val="2"/>
          <c:tx>
            <c:strRef>
              <c:f>'Figura 3'!$H$7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3'!$I$7:$M$7</c:f>
              <c:numCache>
                <c:formatCode>0.0</c:formatCode>
                <c:ptCount val="5"/>
                <c:pt idx="0">
                  <c:v>26.88</c:v>
                </c:pt>
                <c:pt idx="1">
                  <c:v>28.52</c:v>
                </c:pt>
                <c:pt idx="2">
                  <c:v>29.36</c:v>
                </c:pt>
                <c:pt idx="3">
                  <c:v>34.549999999999997</c:v>
                </c:pt>
                <c:pt idx="4">
                  <c:v>33.26</c:v>
                </c:pt>
              </c:numCache>
            </c:numRef>
          </c:yVal>
          <c:smooth val="1"/>
          <c:extLst>
            <c:ext xmlns:c16="http://schemas.microsoft.com/office/drawing/2014/chart" uri="{C3380CC4-5D6E-409C-BE32-E72D297353CC}">
              <c16:uniqueId val="{00000002-D35E-461C-830E-4A0E209C302E}"/>
            </c:ext>
          </c:extLst>
        </c:ser>
        <c:ser>
          <c:idx val="3"/>
          <c:order val="3"/>
          <c:tx>
            <c:strRef>
              <c:f>'Figura 3'!$H$8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3'!$I$8:$M$8</c:f>
              <c:numCache>
                <c:formatCode>0.0</c:formatCode>
                <c:ptCount val="5"/>
                <c:pt idx="0">
                  <c:v>13.51</c:v>
                </c:pt>
                <c:pt idx="1">
                  <c:v>14.91</c:v>
                </c:pt>
                <c:pt idx="2">
                  <c:v>15.67</c:v>
                </c:pt>
                <c:pt idx="3">
                  <c:v>18.53</c:v>
                </c:pt>
                <c:pt idx="4">
                  <c:v>18.09</c:v>
                </c:pt>
              </c:numCache>
            </c:numRef>
          </c:yVal>
          <c:smooth val="1"/>
          <c:extLst>
            <c:ext xmlns:c16="http://schemas.microsoft.com/office/drawing/2014/chart" uri="{C3380CC4-5D6E-409C-BE32-E72D297353CC}">
              <c16:uniqueId val="{00000003-D35E-461C-830E-4A0E209C302E}"/>
            </c:ext>
          </c:extLst>
        </c:ser>
        <c:ser>
          <c:idx val="4"/>
          <c:order val="4"/>
          <c:tx>
            <c:strRef>
              <c:f>'Figura 3'!$H$9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3'!$I$9:$M$9</c:f>
              <c:numCache>
                <c:formatCode>0.0</c:formatCode>
                <c:ptCount val="5"/>
                <c:pt idx="0">
                  <c:v>2.5499999999999998</c:v>
                </c:pt>
                <c:pt idx="1">
                  <c:v>3.27</c:v>
                </c:pt>
                <c:pt idx="2">
                  <c:v>2.72</c:v>
                </c:pt>
                <c:pt idx="3">
                  <c:v>3.4</c:v>
                </c:pt>
                <c:pt idx="4">
                  <c:v>3.1</c:v>
                </c:pt>
              </c:numCache>
            </c:numRef>
          </c:yVal>
          <c:smooth val="1"/>
          <c:extLst>
            <c:ext xmlns:c16="http://schemas.microsoft.com/office/drawing/2014/chart" uri="{C3380CC4-5D6E-409C-BE32-E72D297353CC}">
              <c16:uniqueId val="{00000004-D35E-461C-830E-4A0E209C302E}"/>
            </c:ext>
          </c:extLst>
        </c:ser>
        <c:ser>
          <c:idx val="5"/>
          <c:order val="5"/>
          <c:tx>
            <c:strRef>
              <c:f>'Figura 3'!$H$10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3'!$I$4:$M$4</c:f>
              <c:numCache>
                <c:formatCode>General</c:formatCode>
                <c:ptCount val="5"/>
                <c:pt idx="0">
                  <c:v>2017</c:v>
                </c:pt>
                <c:pt idx="1">
                  <c:v>2018</c:v>
                </c:pt>
                <c:pt idx="2">
                  <c:v>2019</c:v>
                </c:pt>
                <c:pt idx="3">
                  <c:v>2020</c:v>
                </c:pt>
                <c:pt idx="4">
                  <c:v>2021</c:v>
                </c:pt>
              </c:numCache>
            </c:numRef>
          </c:xVal>
          <c:yVal>
            <c:numRef>
              <c:f>'Figura 3'!$I$10:$M$10</c:f>
              <c:numCache>
                <c:formatCode>0.0</c:formatCode>
                <c:ptCount val="5"/>
                <c:pt idx="0">
                  <c:v>14.12</c:v>
                </c:pt>
                <c:pt idx="1">
                  <c:v>15.84</c:v>
                </c:pt>
                <c:pt idx="2">
                  <c:v>15.28</c:v>
                </c:pt>
                <c:pt idx="3">
                  <c:v>18.54</c:v>
                </c:pt>
                <c:pt idx="4">
                  <c:v>18.420000000000002</c:v>
                </c:pt>
              </c:numCache>
            </c:numRef>
          </c:yVal>
          <c:smooth val="1"/>
          <c:extLst>
            <c:ext xmlns:c16="http://schemas.microsoft.com/office/drawing/2014/chart" uri="{C3380CC4-5D6E-409C-BE32-E72D297353CC}">
              <c16:uniqueId val="{00000005-D35E-461C-830E-4A0E209C302E}"/>
            </c:ext>
          </c:extLst>
        </c:ser>
        <c:dLbls>
          <c:showLegendKey val="0"/>
          <c:showVal val="0"/>
          <c:showCatName val="0"/>
          <c:showSerName val="0"/>
          <c:showPercent val="0"/>
          <c:showBubbleSize val="0"/>
        </c:dLbls>
        <c:axId val="1640788864"/>
        <c:axId val="1640797184"/>
      </c:scatterChart>
      <c:valAx>
        <c:axId val="1640788864"/>
        <c:scaling>
          <c:orientation val="minMax"/>
          <c:max val="2021"/>
          <c:min val="2017"/>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97184"/>
        <c:crosses val="autoZero"/>
        <c:crossBetween val="midCat"/>
        <c:majorUnit val="1"/>
      </c:valAx>
      <c:valAx>
        <c:axId val="1640797184"/>
        <c:scaling>
          <c:orientation val="minMax"/>
          <c:max val="35"/>
        </c:scaling>
        <c:delete val="0"/>
        <c:axPos val="l"/>
        <c:majorGridlines>
          <c:spPr>
            <a:ln w="3175" cap="flat" cmpd="sng" algn="ctr">
              <a:solidFill>
                <a:schemeClr val="tx1">
                  <a:lumMod val="15000"/>
                  <a:lumOff val="85000"/>
                </a:schemeClr>
              </a:solidFill>
              <a:round/>
            </a:ln>
            <a:effectLst/>
          </c:spPr>
        </c:majorGridlines>
        <c:numFmt formatCode="0"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40788864"/>
        <c:crosses val="autoZero"/>
        <c:crossBetween val="midCat"/>
      </c:valAx>
      <c:spPr>
        <a:noFill/>
        <a:ln>
          <a:noFill/>
        </a:ln>
        <a:effectLst/>
      </c:spPr>
    </c:plotArea>
    <c:legend>
      <c:legendPos val="b"/>
      <c:layout>
        <c:manualLayout>
          <c:xMode val="edge"/>
          <c:yMode val="edge"/>
          <c:x val="1.5188410316553739E-2"/>
          <c:y val="0.91264359163517561"/>
          <c:w val="0.9782322916666667"/>
          <c:h val="8.3946342271269625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r>
              <a:rPr lang="it-IT" b="1"/>
              <a:t>Maschi</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endParaRPr lang="it-IT"/>
        </a:p>
      </c:txPr>
    </c:title>
    <c:autoTitleDeleted val="0"/>
    <c:plotArea>
      <c:layout>
        <c:manualLayout>
          <c:layoutTarget val="inner"/>
          <c:xMode val="edge"/>
          <c:yMode val="edge"/>
          <c:x val="8.8332742588918059E-2"/>
          <c:y val="0.15704270235818993"/>
          <c:w val="0.84696384975437178"/>
          <c:h val="0.64499882065411041"/>
        </c:manualLayout>
      </c:layout>
      <c:scatterChart>
        <c:scatterStyle val="smoothMarker"/>
        <c:varyColors val="0"/>
        <c:ser>
          <c:idx val="0"/>
          <c:order val="0"/>
          <c:tx>
            <c:strRef>
              <c:f>'Figura 3'!$A$5</c:f>
              <c:strCache>
                <c:ptCount val="1"/>
                <c:pt idx="0">
                  <c:v>0-17</c:v>
                </c:pt>
              </c:strCache>
            </c:strRef>
          </c:tx>
          <c:spPr>
            <a:ln w="19050" cap="rnd">
              <a:noFill/>
              <a:round/>
            </a:ln>
            <a:effectLst/>
          </c:spPr>
          <c:marker>
            <c:symbol val="circle"/>
            <c:size val="5"/>
            <c:spPr>
              <a:solidFill>
                <a:schemeClr val="accent1"/>
              </a:solidFill>
              <a:ln w="9525">
                <a:solidFill>
                  <a:schemeClr val="accent1"/>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3'!$B$5:$F$5</c:f>
              <c:numCache>
                <c:formatCode>0.0</c:formatCode>
                <c:ptCount val="5"/>
                <c:pt idx="0">
                  <c:v>8.4600000000000009</c:v>
                </c:pt>
                <c:pt idx="1">
                  <c:v>11.44</c:v>
                </c:pt>
                <c:pt idx="2">
                  <c:v>8.6300000000000008</c:v>
                </c:pt>
                <c:pt idx="3">
                  <c:v>12.24</c:v>
                </c:pt>
                <c:pt idx="4">
                  <c:v>12.5</c:v>
                </c:pt>
              </c:numCache>
            </c:numRef>
          </c:yVal>
          <c:smooth val="1"/>
          <c:extLst>
            <c:ext xmlns:c16="http://schemas.microsoft.com/office/drawing/2014/chart" uri="{C3380CC4-5D6E-409C-BE32-E72D297353CC}">
              <c16:uniqueId val="{00000000-63A5-43DD-8009-78C42C67607B}"/>
            </c:ext>
          </c:extLst>
        </c:ser>
        <c:ser>
          <c:idx val="1"/>
          <c:order val="1"/>
          <c:tx>
            <c:strRef>
              <c:f>'Figura 3'!$A$6</c:f>
              <c:strCache>
                <c:ptCount val="1"/>
                <c:pt idx="0">
                  <c:v>18-34</c:v>
                </c:pt>
              </c:strCache>
            </c:strRef>
          </c:tx>
          <c:spPr>
            <a:ln w="19050" cap="rnd">
              <a:noFill/>
              <a:round/>
            </a:ln>
            <a:effectLst/>
          </c:spPr>
          <c:marker>
            <c:symbol val="circle"/>
            <c:size val="5"/>
            <c:spPr>
              <a:solidFill>
                <a:schemeClr val="accent2"/>
              </a:solidFill>
              <a:ln w="9525">
                <a:solidFill>
                  <a:schemeClr val="accent2"/>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3'!$B$6:$F$6</c:f>
              <c:numCache>
                <c:formatCode>0.0</c:formatCode>
                <c:ptCount val="5"/>
                <c:pt idx="0">
                  <c:v>26.41</c:v>
                </c:pt>
                <c:pt idx="1">
                  <c:v>26.5</c:v>
                </c:pt>
                <c:pt idx="2">
                  <c:v>24.86</c:v>
                </c:pt>
                <c:pt idx="3">
                  <c:v>29.29</c:v>
                </c:pt>
                <c:pt idx="4">
                  <c:v>30.92</c:v>
                </c:pt>
              </c:numCache>
            </c:numRef>
          </c:yVal>
          <c:smooth val="1"/>
          <c:extLst>
            <c:ext xmlns:c16="http://schemas.microsoft.com/office/drawing/2014/chart" uri="{C3380CC4-5D6E-409C-BE32-E72D297353CC}">
              <c16:uniqueId val="{00000001-63A5-43DD-8009-78C42C67607B}"/>
            </c:ext>
          </c:extLst>
        </c:ser>
        <c:ser>
          <c:idx val="2"/>
          <c:order val="2"/>
          <c:tx>
            <c:strRef>
              <c:f>'Figura 3'!$A$7</c:f>
              <c:strCache>
                <c:ptCount val="1"/>
                <c:pt idx="0">
                  <c:v>35-49</c:v>
                </c:pt>
              </c:strCache>
            </c:strRef>
          </c:tx>
          <c:spPr>
            <a:ln w="19050" cap="rnd">
              <a:noFill/>
              <a:round/>
            </a:ln>
            <a:effectLst/>
          </c:spPr>
          <c:marker>
            <c:symbol val="circle"/>
            <c:size val="5"/>
            <c:spPr>
              <a:solidFill>
                <a:schemeClr val="accent3"/>
              </a:solidFill>
              <a:ln w="9525">
                <a:solidFill>
                  <a:schemeClr val="accent3"/>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3'!$B$7:$F$7</c:f>
              <c:numCache>
                <c:formatCode>0.0</c:formatCode>
                <c:ptCount val="5"/>
                <c:pt idx="0">
                  <c:v>20.57</c:v>
                </c:pt>
                <c:pt idx="1">
                  <c:v>20.85</c:v>
                </c:pt>
                <c:pt idx="2">
                  <c:v>18.829999999999998</c:v>
                </c:pt>
                <c:pt idx="3">
                  <c:v>23.3</c:v>
                </c:pt>
                <c:pt idx="4">
                  <c:v>22.32</c:v>
                </c:pt>
              </c:numCache>
            </c:numRef>
          </c:yVal>
          <c:smooth val="1"/>
          <c:extLst>
            <c:ext xmlns:c16="http://schemas.microsoft.com/office/drawing/2014/chart" uri="{C3380CC4-5D6E-409C-BE32-E72D297353CC}">
              <c16:uniqueId val="{00000002-63A5-43DD-8009-78C42C67607B}"/>
            </c:ext>
          </c:extLst>
        </c:ser>
        <c:ser>
          <c:idx val="3"/>
          <c:order val="3"/>
          <c:tx>
            <c:strRef>
              <c:f>'Figura 3'!$A$8</c:f>
              <c:strCache>
                <c:ptCount val="1"/>
                <c:pt idx="0">
                  <c:v>50-64</c:v>
                </c:pt>
              </c:strCache>
            </c:strRef>
          </c:tx>
          <c:spPr>
            <a:ln w="19050" cap="rnd">
              <a:noFill/>
              <a:round/>
            </a:ln>
            <a:effectLst/>
          </c:spPr>
          <c:marker>
            <c:symbol val="circle"/>
            <c:size val="5"/>
            <c:spPr>
              <a:solidFill>
                <a:schemeClr val="accent4"/>
              </a:solidFill>
              <a:ln w="9525">
                <a:solidFill>
                  <a:schemeClr val="accent4"/>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3'!$B$8:$F$8</c:f>
              <c:numCache>
                <c:formatCode>0.0</c:formatCode>
                <c:ptCount val="5"/>
                <c:pt idx="0">
                  <c:v>12.38</c:v>
                </c:pt>
                <c:pt idx="1">
                  <c:v>13.12</c:v>
                </c:pt>
                <c:pt idx="2">
                  <c:v>11.59</c:v>
                </c:pt>
                <c:pt idx="3">
                  <c:v>13.96</c:v>
                </c:pt>
                <c:pt idx="4">
                  <c:v>13.88</c:v>
                </c:pt>
              </c:numCache>
            </c:numRef>
          </c:yVal>
          <c:smooth val="1"/>
          <c:extLst>
            <c:ext xmlns:c16="http://schemas.microsoft.com/office/drawing/2014/chart" uri="{C3380CC4-5D6E-409C-BE32-E72D297353CC}">
              <c16:uniqueId val="{00000003-63A5-43DD-8009-78C42C67607B}"/>
            </c:ext>
          </c:extLst>
        </c:ser>
        <c:ser>
          <c:idx val="4"/>
          <c:order val="4"/>
          <c:tx>
            <c:strRef>
              <c:f>'Figura 3'!$A$9</c:f>
              <c:strCache>
                <c:ptCount val="1"/>
                <c:pt idx="0">
                  <c:v>65+</c:v>
                </c:pt>
              </c:strCache>
            </c:strRef>
          </c:tx>
          <c:spPr>
            <a:ln w="19050" cap="rnd">
              <a:noFill/>
              <a:round/>
            </a:ln>
            <a:effectLst/>
          </c:spPr>
          <c:marker>
            <c:symbol val="circle"/>
            <c:size val="5"/>
            <c:spPr>
              <a:solidFill>
                <a:srgbClr val="FF0000"/>
              </a:solidFill>
              <a:ln w="9525">
                <a:solidFill>
                  <a:srgbClr val="FF0000"/>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3'!$B$9:$F$9</c:f>
              <c:numCache>
                <c:formatCode>0.0</c:formatCode>
                <c:ptCount val="5"/>
                <c:pt idx="0">
                  <c:v>3.11</c:v>
                </c:pt>
                <c:pt idx="1">
                  <c:v>3.44</c:v>
                </c:pt>
                <c:pt idx="2">
                  <c:v>3.1</c:v>
                </c:pt>
                <c:pt idx="3">
                  <c:v>3.28</c:v>
                </c:pt>
                <c:pt idx="4">
                  <c:v>3.47</c:v>
                </c:pt>
              </c:numCache>
            </c:numRef>
          </c:yVal>
          <c:smooth val="1"/>
          <c:extLst>
            <c:ext xmlns:c16="http://schemas.microsoft.com/office/drawing/2014/chart" uri="{C3380CC4-5D6E-409C-BE32-E72D297353CC}">
              <c16:uniqueId val="{00000004-63A5-43DD-8009-78C42C67607B}"/>
            </c:ext>
          </c:extLst>
        </c:ser>
        <c:ser>
          <c:idx val="5"/>
          <c:order val="5"/>
          <c:tx>
            <c:strRef>
              <c:f>'Figura 3'!$A$10</c:f>
              <c:strCache>
                <c:ptCount val="1"/>
                <c:pt idx="0">
                  <c:v>Totale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'Figura 3'!$B$4:$F$4</c:f>
              <c:numCache>
                <c:formatCode>General</c:formatCode>
                <c:ptCount val="5"/>
                <c:pt idx="0">
                  <c:v>2017</c:v>
                </c:pt>
                <c:pt idx="1">
                  <c:v>2018</c:v>
                </c:pt>
                <c:pt idx="2">
                  <c:v>2019</c:v>
                </c:pt>
                <c:pt idx="3">
                  <c:v>2020</c:v>
                </c:pt>
                <c:pt idx="4">
                  <c:v>2021</c:v>
                </c:pt>
              </c:numCache>
            </c:numRef>
          </c:xVal>
          <c:yVal>
            <c:numRef>
              <c:f>'Figura 3'!$B$10:$F$10</c:f>
              <c:numCache>
                <c:formatCode>0.0</c:formatCode>
                <c:ptCount val="5"/>
                <c:pt idx="0">
                  <c:v>12.87</c:v>
                </c:pt>
                <c:pt idx="1">
                  <c:v>13.84</c:v>
                </c:pt>
                <c:pt idx="2">
                  <c:v>12.12</c:v>
                </c:pt>
                <c:pt idx="3">
                  <c:v>14.69</c:v>
                </c:pt>
                <c:pt idx="4">
                  <c:v>15.1</c:v>
                </c:pt>
              </c:numCache>
            </c:numRef>
          </c:yVal>
          <c:smooth val="1"/>
          <c:extLst>
            <c:ext xmlns:c16="http://schemas.microsoft.com/office/drawing/2014/chart" uri="{C3380CC4-5D6E-409C-BE32-E72D297353CC}">
              <c16:uniqueId val="{00000005-63A5-43DD-8009-78C42C67607B}"/>
            </c:ext>
          </c:extLst>
        </c:ser>
        <c:dLbls>
          <c:showLegendKey val="0"/>
          <c:showVal val="0"/>
          <c:showCatName val="0"/>
          <c:showSerName val="0"/>
          <c:showPercent val="0"/>
          <c:showBubbleSize val="0"/>
        </c:dLbls>
        <c:axId val="1710473040"/>
        <c:axId val="1710469296"/>
      </c:scatterChart>
      <c:valAx>
        <c:axId val="1710473040"/>
        <c:scaling>
          <c:orientation val="minMax"/>
          <c:max val="2021"/>
          <c:min val="2017"/>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69296"/>
        <c:crosses val="autoZero"/>
        <c:crossBetween val="midCat"/>
        <c:majorUnit val="1"/>
      </c:valAx>
      <c:valAx>
        <c:axId val="1710469296"/>
        <c:scaling>
          <c:orientation val="minMax"/>
          <c:max val="35"/>
        </c:scaling>
        <c:delete val="0"/>
        <c:axPos val="l"/>
        <c:majorGridlines>
          <c:spPr>
            <a:ln w="3175" cap="flat" cmpd="sng" algn="ctr">
              <a:solidFill>
                <a:schemeClr val="tx1">
                  <a:lumMod val="15000"/>
                  <a:lumOff val="85000"/>
                </a:schemeClr>
              </a:solidFill>
              <a:round/>
            </a:ln>
            <a:effectLst/>
          </c:spPr>
        </c:majorGridlines>
        <c:numFmt formatCode="0"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0473040"/>
        <c:crosses val="autoZero"/>
        <c:crossBetween val="midCat"/>
      </c:valAx>
      <c:spPr>
        <a:noFill/>
        <a:ln>
          <a:noFill/>
        </a:ln>
        <a:effectLst/>
      </c:spPr>
    </c:plotArea>
    <c:legend>
      <c:legendPos val="b"/>
      <c:layout>
        <c:manualLayout>
          <c:xMode val="edge"/>
          <c:yMode val="edge"/>
          <c:x val="6.4741171131479829E-3"/>
          <c:y val="0.91655249594756671"/>
          <c:w val="0.99146145833333332"/>
          <c:h val="8.00374379588784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245237948959654E-2"/>
          <c:y val="0.11366887139107612"/>
          <c:w val="0.93013463860862744"/>
          <c:h val="0.79280534047393902"/>
        </c:manualLayout>
      </c:layout>
      <c:barChart>
        <c:barDir val="col"/>
        <c:grouping val="clustered"/>
        <c:varyColors val="0"/>
        <c:ser>
          <c:idx val="5"/>
          <c:order val="5"/>
          <c:tx>
            <c:strRef>
              <c:f>'Figura 4'!$A$10</c:f>
              <c:strCache>
                <c:ptCount val="1"/>
                <c:pt idx="0">
                  <c:v>Totale</c:v>
                </c:pt>
              </c:strCache>
            </c:strRef>
          </c:tx>
          <c:spPr>
            <a:solidFill>
              <a:schemeClr val="accent2">
                <a:lumMod val="75000"/>
              </a:schemeClr>
            </a:solidFill>
            <a:ln>
              <a:noFill/>
            </a:ln>
            <a:effectLst/>
          </c:spPr>
          <c:invertIfNegative val="0"/>
          <c:cat>
            <c:strRef>
              <c:f>'Figura 4'!$B$4:$E$4</c:f>
              <c:strCache>
                <c:ptCount val="4"/>
                <c:pt idx="0">
                  <c:v>Italiane_2017-2019</c:v>
                </c:pt>
                <c:pt idx="1">
                  <c:v>Straniere_2017-2019</c:v>
                </c:pt>
                <c:pt idx="2">
                  <c:v>Italiane_2020-2021</c:v>
                </c:pt>
                <c:pt idx="3">
                  <c:v>Straniere_2020-2021</c:v>
                </c:pt>
              </c:strCache>
            </c:strRef>
          </c:cat>
          <c:val>
            <c:numRef>
              <c:f>'Figura 4'!$B$10:$E$10</c:f>
              <c:numCache>
                <c:formatCode>0.0</c:formatCode>
                <c:ptCount val="4"/>
                <c:pt idx="0">
                  <c:v>4.7</c:v>
                </c:pt>
                <c:pt idx="1">
                  <c:v>11.82</c:v>
                </c:pt>
                <c:pt idx="2">
                  <c:v>3.79</c:v>
                </c:pt>
                <c:pt idx="3">
                  <c:v>9.99</c:v>
                </c:pt>
              </c:numCache>
            </c:numRef>
          </c:val>
          <c:extLst>
            <c:ext xmlns:c16="http://schemas.microsoft.com/office/drawing/2014/chart" uri="{C3380CC4-5D6E-409C-BE32-E72D297353CC}">
              <c16:uniqueId val="{00000000-EB72-41D0-9173-37E17AE1483A}"/>
            </c:ext>
          </c:extLst>
        </c:ser>
        <c:dLbls>
          <c:showLegendKey val="0"/>
          <c:showVal val="0"/>
          <c:showCatName val="0"/>
          <c:showSerName val="0"/>
          <c:showPercent val="0"/>
          <c:showBubbleSize val="0"/>
        </c:dLbls>
        <c:gapWidth val="90"/>
        <c:axId val="1798544160"/>
        <c:axId val="1798528768"/>
      </c:barChart>
      <c:lineChart>
        <c:grouping val="standard"/>
        <c:varyColors val="0"/>
        <c:ser>
          <c:idx val="0"/>
          <c:order val="0"/>
          <c:tx>
            <c:strRef>
              <c:f>'Figura 4'!$A$5</c:f>
              <c:strCache>
                <c:ptCount val="1"/>
                <c:pt idx="0">
                  <c:v>0-17</c:v>
                </c:pt>
              </c:strCache>
            </c:strRef>
          </c:tx>
          <c:spPr>
            <a:ln w="28575" cap="rnd">
              <a:noFill/>
              <a:round/>
            </a:ln>
            <a:effectLst/>
          </c:spPr>
          <c:marker>
            <c:symbol val="dash"/>
            <c:size val="22"/>
            <c:spPr>
              <a:solidFill>
                <a:schemeClr val="accent1"/>
              </a:solidFill>
              <a:ln w="9525">
                <a:solidFill>
                  <a:schemeClr val="accent1"/>
                </a:solidFill>
              </a:ln>
              <a:effectLst/>
            </c:spPr>
          </c:marker>
          <c:cat>
            <c:strRef>
              <c:f>'Figura 4'!$B$4:$E$4</c:f>
              <c:strCache>
                <c:ptCount val="4"/>
                <c:pt idx="0">
                  <c:v>Italiane_2017-2019</c:v>
                </c:pt>
                <c:pt idx="1">
                  <c:v>Straniere_2017-2019</c:v>
                </c:pt>
                <c:pt idx="2">
                  <c:v>Italiane_2020-2021</c:v>
                </c:pt>
                <c:pt idx="3">
                  <c:v>Straniere_2020-2021</c:v>
                </c:pt>
              </c:strCache>
            </c:strRef>
          </c:cat>
          <c:val>
            <c:numRef>
              <c:f>'Figura 4'!$B$5:$E$5</c:f>
              <c:numCache>
                <c:formatCode>0.0</c:formatCode>
                <c:ptCount val="4"/>
                <c:pt idx="0">
                  <c:v>4.24</c:v>
                </c:pt>
                <c:pt idx="1">
                  <c:v>5.8</c:v>
                </c:pt>
                <c:pt idx="2">
                  <c:v>3.08</c:v>
                </c:pt>
                <c:pt idx="3">
                  <c:v>4.13</c:v>
                </c:pt>
              </c:numCache>
            </c:numRef>
          </c:val>
          <c:smooth val="0"/>
          <c:extLst>
            <c:ext xmlns:c16="http://schemas.microsoft.com/office/drawing/2014/chart" uri="{C3380CC4-5D6E-409C-BE32-E72D297353CC}">
              <c16:uniqueId val="{00000001-EB72-41D0-9173-37E17AE1483A}"/>
            </c:ext>
          </c:extLst>
        </c:ser>
        <c:ser>
          <c:idx val="1"/>
          <c:order val="1"/>
          <c:tx>
            <c:strRef>
              <c:f>'Figura 4'!$A$6</c:f>
              <c:strCache>
                <c:ptCount val="1"/>
                <c:pt idx="0">
                  <c:v>18-34</c:v>
                </c:pt>
              </c:strCache>
            </c:strRef>
          </c:tx>
          <c:spPr>
            <a:ln w="28575" cap="rnd">
              <a:noFill/>
              <a:round/>
            </a:ln>
            <a:effectLst/>
          </c:spPr>
          <c:marker>
            <c:symbol val="dash"/>
            <c:size val="22"/>
            <c:spPr>
              <a:solidFill>
                <a:schemeClr val="tx2"/>
              </a:solidFill>
              <a:ln w="9525">
                <a:solidFill>
                  <a:schemeClr val="accent1">
                    <a:lumMod val="50000"/>
                  </a:schemeClr>
                </a:solidFill>
              </a:ln>
              <a:effectLst/>
            </c:spPr>
          </c:marker>
          <c:cat>
            <c:strRef>
              <c:f>'Figura 4'!$B$4:$E$4</c:f>
              <c:strCache>
                <c:ptCount val="4"/>
                <c:pt idx="0">
                  <c:v>Italiane_2017-2019</c:v>
                </c:pt>
                <c:pt idx="1">
                  <c:v>Straniere_2017-2019</c:v>
                </c:pt>
                <c:pt idx="2">
                  <c:v>Italiane_2020-2021</c:v>
                </c:pt>
                <c:pt idx="3">
                  <c:v>Straniere_2020-2021</c:v>
                </c:pt>
              </c:strCache>
            </c:strRef>
          </c:cat>
          <c:val>
            <c:numRef>
              <c:f>'Figura 4'!$B$6:$E$6</c:f>
              <c:numCache>
                <c:formatCode>0.0</c:formatCode>
                <c:ptCount val="4"/>
                <c:pt idx="0">
                  <c:v>8.82</c:v>
                </c:pt>
                <c:pt idx="1">
                  <c:v>21.23</c:v>
                </c:pt>
                <c:pt idx="2">
                  <c:v>7.47</c:v>
                </c:pt>
                <c:pt idx="3">
                  <c:v>18.239999999999998</c:v>
                </c:pt>
              </c:numCache>
            </c:numRef>
          </c:val>
          <c:smooth val="0"/>
          <c:extLst>
            <c:ext xmlns:c16="http://schemas.microsoft.com/office/drawing/2014/chart" uri="{C3380CC4-5D6E-409C-BE32-E72D297353CC}">
              <c16:uniqueId val="{00000002-EB72-41D0-9173-37E17AE1483A}"/>
            </c:ext>
          </c:extLst>
        </c:ser>
        <c:ser>
          <c:idx val="2"/>
          <c:order val="2"/>
          <c:tx>
            <c:strRef>
              <c:f>'Figura 4'!$A$7</c:f>
              <c:strCache>
                <c:ptCount val="1"/>
                <c:pt idx="0">
                  <c:v>35-49</c:v>
                </c:pt>
              </c:strCache>
            </c:strRef>
          </c:tx>
          <c:spPr>
            <a:ln w="28575" cap="rnd">
              <a:noFill/>
              <a:round/>
            </a:ln>
            <a:effectLst/>
          </c:spPr>
          <c:marker>
            <c:symbol val="dash"/>
            <c:size val="22"/>
            <c:spPr>
              <a:solidFill>
                <a:schemeClr val="accent3"/>
              </a:solidFill>
              <a:ln w="9525">
                <a:solidFill>
                  <a:schemeClr val="accent3"/>
                </a:solidFill>
              </a:ln>
              <a:effectLst/>
            </c:spPr>
          </c:marker>
          <c:cat>
            <c:strRef>
              <c:f>'Figura 4'!$B$4:$E$4</c:f>
              <c:strCache>
                <c:ptCount val="4"/>
                <c:pt idx="0">
                  <c:v>Italiane_2017-2019</c:v>
                </c:pt>
                <c:pt idx="1">
                  <c:v>Straniere_2017-2019</c:v>
                </c:pt>
                <c:pt idx="2">
                  <c:v>Italiane_2020-2021</c:v>
                </c:pt>
                <c:pt idx="3">
                  <c:v>Straniere_2020-2021</c:v>
                </c:pt>
              </c:strCache>
            </c:strRef>
          </c:cat>
          <c:val>
            <c:numRef>
              <c:f>'Figura 4'!$B$7:$E$7</c:f>
              <c:numCache>
                <c:formatCode>0.0</c:formatCode>
                <c:ptCount val="4"/>
                <c:pt idx="0">
                  <c:v>7.8</c:v>
                </c:pt>
                <c:pt idx="1">
                  <c:v>13.42</c:v>
                </c:pt>
                <c:pt idx="2">
                  <c:v>6.39</c:v>
                </c:pt>
                <c:pt idx="3">
                  <c:v>12.72</c:v>
                </c:pt>
              </c:numCache>
            </c:numRef>
          </c:val>
          <c:smooth val="0"/>
          <c:extLst>
            <c:ext xmlns:c16="http://schemas.microsoft.com/office/drawing/2014/chart" uri="{C3380CC4-5D6E-409C-BE32-E72D297353CC}">
              <c16:uniqueId val="{00000003-EB72-41D0-9173-37E17AE1483A}"/>
            </c:ext>
          </c:extLst>
        </c:ser>
        <c:ser>
          <c:idx val="3"/>
          <c:order val="3"/>
          <c:tx>
            <c:strRef>
              <c:f>'Figura 4'!$A$8</c:f>
              <c:strCache>
                <c:ptCount val="1"/>
                <c:pt idx="0">
                  <c:v>50-64</c:v>
                </c:pt>
              </c:strCache>
            </c:strRef>
          </c:tx>
          <c:spPr>
            <a:ln w="28575" cap="rnd">
              <a:noFill/>
              <a:round/>
            </a:ln>
            <a:effectLst/>
          </c:spPr>
          <c:marker>
            <c:symbol val="dash"/>
            <c:size val="22"/>
            <c:spPr>
              <a:solidFill>
                <a:schemeClr val="accent4"/>
              </a:solidFill>
              <a:ln w="9525">
                <a:solidFill>
                  <a:schemeClr val="accent4"/>
                </a:solidFill>
              </a:ln>
              <a:effectLst/>
            </c:spPr>
          </c:marker>
          <c:cat>
            <c:strRef>
              <c:f>'Figura 4'!$B$4:$E$4</c:f>
              <c:strCache>
                <c:ptCount val="4"/>
                <c:pt idx="0">
                  <c:v>Italiane_2017-2019</c:v>
                </c:pt>
                <c:pt idx="1">
                  <c:v>Straniere_2017-2019</c:v>
                </c:pt>
                <c:pt idx="2">
                  <c:v>Italiane_2020-2021</c:v>
                </c:pt>
                <c:pt idx="3">
                  <c:v>Straniere_2020-2021</c:v>
                </c:pt>
              </c:strCache>
            </c:strRef>
          </c:cat>
          <c:val>
            <c:numRef>
              <c:f>'Figura 4'!$B$8:$E$8</c:f>
              <c:numCache>
                <c:formatCode>0.0</c:formatCode>
                <c:ptCount val="4"/>
                <c:pt idx="0">
                  <c:v>3.71</c:v>
                </c:pt>
                <c:pt idx="1">
                  <c:v>4.9800000000000004</c:v>
                </c:pt>
                <c:pt idx="2">
                  <c:v>3.14</c:v>
                </c:pt>
                <c:pt idx="3">
                  <c:v>4.55</c:v>
                </c:pt>
              </c:numCache>
            </c:numRef>
          </c:val>
          <c:smooth val="0"/>
          <c:extLst>
            <c:ext xmlns:c16="http://schemas.microsoft.com/office/drawing/2014/chart" uri="{C3380CC4-5D6E-409C-BE32-E72D297353CC}">
              <c16:uniqueId val="{00000004-EB72-41D0-9173-37E17AE1483A}"/>
            </c:ext>
          </c:extLst>
        </c:ser>
        <c:ser>
          <c:idx val="4"/>
          <c:order val="4"/>
          <c:tx>
            <c:strRef>
              <c:f>'Figura 4'!$A$9</c:f>
              <c:strCache>
                <c:ptCount val="1"/>
                <c:pt idx="0">
                  <c:v>65+</c:v>
                </c:pt>
              </c:strCache>
            </c:strRef>
          </c:tx>
          <c:spPr>
            <a:ln w="28575" cap="rnd">
              <a:noFill/>
              <a:round/>
            </a:ln>
            <a:effectLst/>
          </c:spPr>
          <c:marker>
            <c:symbol val="dash"/>
            <c:size val="22"/>
            <c:spPr>
              <a:solidFill>
                <a:schemeClr val="accent5"/>
              </a:solidFill>
              <a:ln w="9525">
                <a:solidFill>
                  <a:schemeClr val="accent5"/>
                </a:solidFill>
              </a:ln>
              <a:effectLst/>
            </c:spPr>
          </c:marker>
          <c:cat>
            <c:strRef>
              <c:f>'Figura 4'!$B$4:$E$4</c:f>
              <c:strCache>
                <c:ptCount val="4"/>
                <c:pt idx="0">
                  <c:v>Italiane_2017-2019</c:v>
                </c:pt>
                <c:pt idx="1">
                  <c:v>Straniere_2017-2019</c:v>
                </c:pt>
                <c:pt idx="2">
                  <c:v>Italiane_2020-2021</c:v>
                </c:pt>
                <c:pt idx="3">
                  <c:v>Straniere_2020-2021</c:v>
                </c:pt>
              </c:strCache>
            </c:strRef>
          </c:cat>
          <c:val>
            <c:numRef>
              <c:f>'Figura 4'!$B$9:$E$9</c:f>
              <c:numCache>
                <c:formatCode>0.0</c:formatCode>
                <c:ptCount val="4"/>
                <c:pt idx="0">
                  <c:v>1.17</c:v>
                </c:pt>
                <c:pt idx="1">
                  <c:v>1.93</c:v>
                </c:pt>
                <c:pt idx="2">
                  <c:v>0.91</c:v>
                </c:pt>
                <c:pt idx="3">
                  <c:v>1.36</c:v>
                </c:pt>
              </c:numCache>
            </c:numRef>
          </c:val>
          <c:smooth val="0"/>
          <c:extLst>
            <c:ext xmlns:c16="http://schemas.microsoft.com/office/drawing/2014/chart" uri="{C3380CC4-5D6E-409C-BE32-E72D297353CC}">
              <c16:uniqueId val="{00000005-EB72-41D0-9173-37E17AE1483A}"/>
            </c:ext>
          </c:extLst>
        </c:ser>
        <c:dLbls>
          <c:showLegendKey val="0"/>
          <c:showVal val="0"/>
          <c:showCatName val="0"/>
          <c:showSerName val="0"/>
          <c:showPercent val="0"/>
          <c:showBubbleSize val="0"/>
        </c:dLbls>
        <c:marker val="1"/>
        <c:smooth val="0"/>
        <c:axId val="1798544160"/>
        <c:axId val="1798528768"/>
      </c:lineChart>
      <c:catAx>
        <c:axId val="179854416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700" b="1" i="0" u="none" strike="noStrike" kern="1200" baseline="0">
                <a:solidFill>
                  <a:schemeClr val="bg2">
                    <a:lumMod val="25000"/>
                  </a:schemeClr>
                </a:solidFill>
                <a:latin typeface="Arial Narrow" panose="020B0606020202030204" pitchFamily="34" charset="0"/>
                <a:ea typeface="+mn-ea"/>
                <a:cs typeface="+mn-cs"/>
              </a:defRPr>
            </a:pPr>
            <a:endParaRPr lang="it-IT"/>
          </a:p>
        </c:txPr>
        <c:crossAx val="1798528768"/>
        <c:crosses val="autoZero"/>
        <c:auto val="1"/>
        <c:lblAlgn val="ctr"/>
        <c:lblOffset val="100"/>
        <c:noMultiLvlLbl val="0"/>
      </c:catAx>
      <c:valAx>
        <c:axId val="1798528768"/>
        <c:scaling>
          <c:orientation val="minMax"/>
          <c:max val="24"/>
          <c:min val="0"/>
        </c:scaling>
        <c:delete val="0"/>
        <c:axPos val="l"/>
        <c:majorGridlines>
          <c:spPr>
            <a:ln w="3175" cap="flat" cmpd="sng" algn="ctr">
              <a:solidFill>
                <a:schemeClr val="tx1">
                  <a:lumMod val="15000"/>
                  <a:lumOff val="85000"/>
                </a:schemeClr>
              </a:solidFill>
              <a:round/>
            </a:ln>
            <a:effectLst/>
          </c:spPr>
        </c:majorGridlines>
        <c:numFmt formatCode="0" sourceLinked="0"/>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98544160"/>
        <c:crosses val="autoZero"/>
        <c:crossBetween val="between"/>
        <c:majorUnit val="2"/>
      </c:valAx>
      <c:spPr>
        <a:noFill/>
        <a:ln>
          <a:noFill/>
        </a:ln>
        <a:effectLst/>
      </c:spPr>
    </c:plotArea>
    <c:legend>
      <c:legendPos val="t"/>
      <c:layout>
        <c:manualLayout>
          <c:xMode val="edge"/>
          <c:yMode val="edge"/>
          <c:x val="0.31922943068155579"/>
          <c:y val="2.115842369743454E-2"/>
          <c:w val="0.3615409713182367"/>
          <c:h val="7.918206865242083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88425925925925E-2"/>
          <c:y val="0.2191253086419753"/>
          <c:w val="0.92495293209876539"/>
          <c:h val="0.60807702240881212"/>
        </c:manualLayout>
      </c:layout>
      <c:barChart>
        <c:barDir val="col"/>
        <c:grouping val="percentStacked"/>
        <c:varyColors val="0"/>
        <c:ser>
          <c:idx val="0"/>
          <c:order val="0"/>
          <c:tx>
            <c:strRef>
              <c:f>'Figura 5'!$A$4</c:f>
              <c:strCache>
                <c:ptCount val="1"/>
                <c:pt idx="0">
                  <c:v>Ambulanza 118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85000"/>
                        <a:lumOff val="1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5'!$B$4:$O$4</c:f>
              <c:numCache>
                <c:formatCode>0.0</c:formatCode>
                <c:ptCount val="14"/>
                <c:pt idx="0">
                  <c:v>21.81</c:v>
                </c:pt>
                <c:pt idx="1">
                  <c:v>15.28</c:v>
                </c:pt>
                <c:pt idx="3">
                  <c:v>22.17</c:v>
                </c:pt>
                <c:pt idx="4">
                  <c:v>14.73</c:v>
                </c:pt>
                <c:pt idx="6">
                  <c:v>25.18</c:v>
                </c:pt>
                <c:pt idx="7">
                  <c:v>15.75</c:v>
                </c:pt>
                <c:pt idx="9">
                  <c:v>29.86</c:v>
                </c:pt>
                <c:pt idx="10">
                  <c:v>20.7</c:v>
                </c:pt>
                <c:pt idx="12">
                  <c:v>31.36</c:v>
                </c:pt>
                <c:pt idx="13">
                  <c:v>20.51</c:v>
                </c:pt>
              </c:numCache>
            </c:numRef>
          </c:val>
          <c:extLst>
            <c:ext xmlns:c16="http://schemas.microsoft.com/office/drawing/2014/chart" uri="{C3380CC4-5D6E-409C-BE32-E72D297353CC}">
              <c16:uniqueId val="{00000000-C957-4C68-87A0-F3CE304FDBA1}"/>
            </c:ext>
          </c:extLst>
        </c:ser>
        <c:ser>
          <c:idx val="1"/>
          <c:order val="1"/>
          <c:tx>
            <c:strRef>
              <c:f>'Figura 5'!$A$5</c:f>
              <c:strCache>
                <c:ptCount val="1"/>
                <c:pt idx="0">
                  <c:v>Altra Ambulanza</c:v>
                </c:pt>
              </c:strCache>
            </c:strRef>
          </c:tx>
          <c:spPr>
            <a:solidFill>
              <a:schemeClr val="accent2"/>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5'!$B$5:$O$5</c:f>
              <c:numCache>
                <c:formatCode>0.0</c:formatCode>
                <c:ptCount val="14"/>
                <c:pt idx="0">
                  <c:v>2.35</c:v>
                </c:pt>
                <c:pt idx="1">
                  <c:v>2.19</c:v>
                </c:pt>
                <c:pt idx="3">
                  <c:v>2.5499999999999998</c:v>
                </c:pt>
                <c:pt idx="4">
                  <c:v>1.86</c:v>
                </c:pt>
                <c:pt idx="6">
                  <c:v>2.08</c:v>
                </c:pt>
                <c:pt idx="7">
                  <c:v>1.81</c:v>
                </c:pt>
                <c:pt idx="9">
                  <c:v>2.25</c:v>
                </c:pt>
                <c:pt idx="10">
                  <c:v>2.2999999999999998</c:v>
                </c:pt>
                <c:pt idx="12">
                  <c:v>2.27</c:v>
                </c:pt>
                <c:pt idx="13">
                  <c:v>2.16</c:v>
                </c:pt>
              </c:numCache>
            </c:numRef>
          </c:val>
          <c:extLst>
            <c:ext xmlns:c16="http://schemas.microsoft.com/office/drawing/2014/chart" uri="{C3380CC4-5D6E-409C-BE32-E72D297353CC}">
              <c16:uniqueId val="{00000001-C957-4C68-87A0-F3CE304FDBA1}"/>
            </c:ext>
          </c:extLst>
        </c:ser>
        <c:ser>
          <c:idx val="2"/>
          <c:order val="2"/>
          <c:tx>
            <c:strRef>
              <c:f>'Figura 5'!$A$6</c:f>
              <c:strCache>
                <c:ptCount val="1"/>
                <c:pt idx="0">
                  <c:v>Autonomo (arrivato con mezzi propri)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85000"/>
                        <a:lumOff val="1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5'!$B$6:$O$6</c:f>
              <c:numCache>
                <c:formatCode>0.0</c:formatCode>
                <c:ptCount val="14"/>
                <c:pt idx="0">
                  <c:v>71.44</c:v>
                </c:pt>
                <c:pt idx="1">
                  <c:v>78.22</c:v>
                </c:pt>
                <c:pt idx="3">
                  <c:v>65.959999999999994</c:v>
                </c:pt>
                <c:pt idx="4">
                  <c:v>73.099999999999994</c:v>
                </c:pt>
                <c:pt idx="6">
                  <c:v>66.67</c:v>
                </c:pt>
                <c:pt idx="7">
                  <c:v>75.87</c:v>
                </c:pt>
                <c:pt idx="9">
                  <c:v>63.41</c:v>
                </c:pt>
                <c:pt idx="10">
                  <c:v>73.349999999999994</c:v>
                </c:pt>
                <c:pt idx="12">
                  <c:v>61.29</c:v>
                </c:pt>
                <c:pt idx="13">
                  <c:v>73.41</c:v>
                </c:pt>
              </c:numCache>
            </c:numRef>
          </c:val>
          <c:extLst>
            <c:ext xmlns:c16="http://schemas.microsoft.com/office/drawing/2014/chart" uri="{C3380CC4-5D6E-409C-BE32-E72D297353CC}">
              <c16:uniqueId val="{00000002-C957-4C68-87A0-F3CE304FDBA1}"/>
            </c:ext>
          </c:extLst>
        </c:ser>
        <c:ser>
          <c:idx val="3"/>
          <c:order val="3"/>
          <c:tx>
            <c:strRef>
              <c:f>'Figura 5'!$A$7</c:f>
              <c:strCache>
                <c:ptCount val="1"/>
                <c:pt idx="0">
                  <c:v>Elicottero 118</c:v>
                </c:pt>
              </c:strCache>
            </c:strRef>
          </c:tx>
          <c:spPr>
            <a:solidFill>
              <a:schemeClr val="accent4"/>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5'!$B$7:$O$7</c:f>
              <c:numCache>
                <c:formatCode>0.0</c:formatCode>
                <c:ptCount val="14"/>
                <c:pt idx="0">
                  <c:v>0.09</c:v>
                </c:pt>
                <c:pt idx="1">
                  <c:v>0.13</c:v>
                </c:pt>
                <c:pt idx="3">
                  <c:v>3.78</c:v>
                </c:pt>
                <c:pt idx="4">
                  <c:v>1.21</c:v>
                </c:pt>
                <c:pt idx="6">
                  <c:v>0.1</c:v>
                </c:pt>
                <c:pt idx="7">
                  <c:v>0.15</c:v>
                </c:pt>
                <c:pt idx="9">
                  <c:v>0.15</c:v>
                </c:pt>
                <c:pt idx="10">
                  <c:v>0.2</c:v>
                </c:pt>
                <c:pt idx="12">
                  <c:v>0.05</c:v>
                </c:pt>
                <c:pt idx="13">
                  <c:v>7.0000000000000007E-2</c:v>
                </c:pt>
              </c:numCache>
            </c:numRef>
          </c:val>
          <c:extLst>
            <c:ext xmlns:c16="http://schemas.microsoft.com/office/drawing/2014/chart" uri="{C3380CC4-5D6E-409C-BE32-E72D297353CC}">
              <c16:uniqueId val="{00000003-C957-4C68-87A0-F3CE304FDBA1}"/>
            </c:ext>
          </c:extLst>
        </c:ser>
        <c:ser>
          <c:idx val="4"/>
          <c:order val="4"/>
          <c:tx>
            <c:strRef>
              <c:f>'Figura 5'!$A$8</c:f>
              <c:strCache>
                <c:ptCount val="1"/>
                <c:pt idx="0">
                  <c:v>Altro Elicottero</c:v>
                </c:pt>
              </c:strCache>
            </c:strRef>
          </c:tx>
          <c:spPr>
            <a:solidFill>
              <a:schemeClr val="accent5"/>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5'!$B$8:$O$8</c:f>
              <c:numCache>
                <c:formatCode>0.0</c:formatCode>
                <c:ptCount val="14"/>
                <c:pt idx="0">
                  <c:v>0.03</c:v>
                </c:pt>
                <c:pt idx="1">
                  <c:v>0.05</c:v>
                </c:pt>
                <c:pt idx="3">
                  <c:v>0.04</c:v>
                </c:pt>
                <c:pt idx="4">
                  <c:v>0.05</c:v>
                </c:pt>
                <c:pt idx="6">
                  <c:v>7.0000000000000007E-2</c:v>
                </c:pt>
                <c:pt idx="7">
                  <c:v>0.03</c:v>
                </c:pt>
                <c:pt idx="9">
                  <c:v>0.01</c:v>
                </c:pt>
                <c:pt idx="10">
                  <c:v>0.02</c:v>
                </c:pt>
                <c:pt idx="12">
                  <c:v>0.03</c:v>
                </c:pt>
                <c:pt idx="13">
                  <c:v>0.02</c:v>
                </c:pt>
              </c:numCache>
            </c:numRef>
          </c:val>
          <c:extLst>
            <c:ext xmlns:c16="http://schemas.microsoft.com/office/drawing/2014/chart" uri="{C3380CC4-5D6E-409C-BE32-E72D297353CC}">
              <c16:uniqueId val="{00000004-C957-4C68-87A0-F3CE304FDBA1}"/>
            </c:ext>
          </c:extLst>
        </c:ser>
        <c:ser>
          <c:idx val="5"/>
          <c:order val="5"/>
          <c:tx>
            <c:strRef>
              <c:f>'Figura 5'!$A$9</c:f>
              <c:strCache>
                <c:ptCount val="1"/>
                <c:pt idx="0">
                  <c:v>Mezzo di soccorso 118 di altre regioni</c:v>
                </c:pt>
              </c:strCache>
            </c:strRef>
          </c:tx>
          <c:spPr>
            <a:solidFill>
              <a:schemeClr val="accent6"/>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5'!$B$9:$O$9</c:f>
              <c:numCache>
                <c:formatCode>0.0</c:formatCode>
                <c:ptCount val="14"/>
                <c:pt idx="0">
                  <c:v>0.03</c:v>
                </c:pt>
                <c:pt idx="1">
                  <c:v>0.02</c:v>
                </c:pt>
                <c:pt idx="3">
                  <c:v>0.02</c:v>
                </c:pt>
                <c:pt idx="4">
                  <c:v>0.02</c:v>
                </c:pt>
                <c:pt idx="6">
                  <c:v>0</c:v>
                </c:pt>
                <c:pt idx="7">
                  <c:v>0.01</c:v>
                </c:pt>
                <c:pt idx="9">
                  <c:v>0</c:v>
                </c:pt>
                <c:pt idx="10">
                  <c:v>0.01</c:v>
                </c:pt>
                <c:pt idx="12">
                  <c:v>0.01</c:v>
                </c:pt>
                <c:pt idx="13">
                  <c:v>0.01</c:v>
                </c:pt>
              </c:numCache>
            </c:numRef>
          </c:val>
          <c:extLst>
            <c:ext xmlns:c16="http://schemas.microsoft.com/office/drawing/2014/chart" uri="{C3380CC4-5D6E-409C-BE32-E72D297353CC}">
              <c16:uniqueId val="{00000005-C957-4C68-87A0-F3CE304FDBA1}"/>
            </c:ext>
          </c:extLst>
        </c:ser>
        <c:ser>
          <c:idx val="6"/>
          <c:order val="6"/>
          <c:tx>
            <c:strRef>
              <c:f>'Figura 5'!$A$10</c:f>
              <c:strCache>
                <c:ptCount val="1"/>
                <c:pt idx="0">
                  <c:v>Altro (in caso ambulanze di Esercito, Vigili del Fuoco, Polizia, ecc.)</c:v>
                </c:pt>
              </c:strCache>
            </c:strRef>
          </c:tx>
          <c:spPr>
            <a:solidFill>
              <a:schemeClr val="accent1">
                <a:lumMod val="60000"/>
              </a:schemeClr>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5'!$B$10:$O$10</c:f>
              <c:numCache>
                <c:formatCode>0.0</c:formatCode>
                <c:ptCount val="14"/>
                <c:pt idx="0">
                  <c:v>1.67</c:v>
                </c:pt>
                <c:pt idx="1">
                  <c:v>1.51</c:v>
                </c:pt>
                <c:pt idx="3">
                  <c:v>1.7</c:v>
                </c:pt>
                <c:pt idx="4">
                  <c:v>1.61</c:v>
                </c:pt>
                <c:pt idx="6">
                  <c:v>2.27</c:v>
                </c:pt>
                <c:pt idx="7">
                  <c:v>1.45</c:v>
                </c:pt>
                <c:pt idx="9">
                  <c:v>2.27</c:v>
                </c:pt>
                <c:pt idx="10">
                  <c:v>1.24</c:v>
                </c:pt>
                <c:pt idx="12">
                  <c:v>2.63</c:v>
                </c:pt>
                <c:pt idx="13">
                  <c:v>1.23</c:v>
                </c:pt>
              </c:numCache>
            </c:numRef>
          </c:val>
          <c:extLst>
            <c:ext xmlns:c16="http://schemas.microsoft.com/office/drawing/2014/chart" uri="{C3380CC4-5D6E-409C-BE32-E72D297353CC}">
              <c16:uniqueId val="{00000006-C957-4C68-87A0-F3CE304FDBA1}"/>
            </c:ext>
          </c:extLst>
        </c:ser>
        <c:ser>
          <c:idx val="7"/>
          <c:order val="7"/>
          <c:tx>
            <c:strRef>
              <c:f>'Figura 5'!$A$11</c:f>
              <c:strCache>
                <c:ptCount val="1"/>
                <c:pt idx="0">
                  <c:v>Non rilevato</c:v>
                </c:pt>
              </c:strCache>
            </c:strRef>
          </c:tx>
          <c:spPr>
            <a:solidFill>
              <a:schemeClr val="accent2">
                <a:lumMod val="60000"/>
              </a:schemeClr>
            </a:solidFill>
            <a:ln>
              <a:noFill/>
            </a:ln>
            <a:effectLst/>
          </c:spPr>
          <c:invertIfNegative val="0"/>
          <c:cat>
            <c:strRef>
              <c:f>'Figura 5'!$B$3:$O$3</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5'!$B$11:$O$11</c:f>
              <c:numCache>
                <c:formatCode>0.0</c:formatCode>
                <c:ptCount val="14"/>
                <c:pt idx="0">
                  <c:v>2.57</c:v>
                </c:pt>
                <c:pt idx="1">
                  <c:v>2.59</c:v>
                </c:pt>
                <c:pt idx="3">
                  <c:v>3.78</c:v>
                </c:pt>
                <c:pt idx="4">
                  <c:v>7.42</c:v>
                </c:pt>
                <c:pt idx="6">
                  <c:v>3.62</c:v>
                </c:pt>
                <c:pt idx="7">
                  <c:v>4.92</c:v>
                </c:pt>
                <c:pt idx="9">
                  <c:v>2.06</c:v>
                </c:pt>
                <c:pt idx="10">
                  <c:v>2.1800000000000002</c:v>
                </c:pt>
                <c:pt idx="12">
                  <c:v>2.37</c:v>
                </c:pt>
                <c:pt idx="13">
                  <c:v>2.58</c:v>
                </c:pt>
              </c:numCache>
            </c:numRef>
          </c:val>
          <c:extLst>
            <c:ext xmlns:c16="http://schemas.microsoft.com/office/drawing/2014/chart" uri="{C3380CC4-5D6E-409C-BE32-E72D297353CC}">
              <c16:uniqueId val="{00000007-C957-4C68-87A0-F3CE304FDBA1}"/>
            </c:ext>
          </c:extLst>
        </c:ser>
        <c:dLbls>
          <c:showLegendKey val="0"/>
          <c:showVal val="0"/>
          <c:showCatName val="0"/>
          <c:showSerName val="0"/>
          <c:showPercent val="0"/>
          <c:showBubbleSize val="0"/>
        </c:dLbls>
        <c:gapWidth val="60"/>
        <c:overlap val="100"/>
        <c:axId val="1706900608"/>
        <c:axId val="1712242256"/>
      </c:barChart>
      <c:catAx>
        <c:axId val="1706900608"/>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2242256"/>
        <c:crosses val="autoZero"/>
        <c:auto val="1"/>
        <c:lblAlgn val="ctr"/>
        <c:lblOffset val="100"/>
        <c:noMultiLvlLbl val="0"/>
      </c:catAx>
      <c:valAx>
        <c:axId val="171224225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06900608"/>
        <c:crosses val="autoZero"/>
        <c:crossBetween val="between"/>
      </c:valAx>
      <c:spPr>
        <a:noFill/>
        <a:ln>
          <a:noFill/>
        </a:ln>
        <a:effectLst/>
      </c:spPr>
    </c:plotArea>
    <c:legend>
      <c:legendPos val="t"/>
      <c:layout>
        <c:manualLayout>
          <c:xMode val="edge"/>
          <c:yMode val="edge"/>
          <c:x val="0"/>
          <c:y val="1.6844347545801625E-2"/>
          <c:w val="0.9990206790123457"/>
          <c:h val="0.1638251740271596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lumMod val="65000"/>
              <a:lumOff val="35000"/>
            </a:schemeClr>
          </a:solidFill>
          <a:latin typeface="Arial Narrow" panose="020B0606020202030204" pitchFamily="34" charset="0"/>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'Figura 6'!$A$6</c:f>
              <c:strCache>
                <c:ptCount val="1"/>
                <c:pt idx="0">
                  <c:v>Emergenza (R o 1)</c:v>
                </c:pt>
              </c:strCache>
            </c:strRef>
          </c:tx>
          <c:spPr>
            <a:solidFill>
              <a:srgbClr val="FF0000"/>
            </a:solidFill>
            <a:ln>
              <a:noFill/>
            </a:ln>
            <a:effectLst/>
          </c:spPr>
          <c:invertIfNegative val="0"/>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6'!$B$6:$O$6</c:f>
              <c:numCache>
                <c:formatCode>0.0</c:formatCode>
                <c:ptCount val="14"/>
                <c:pt idx="0">
                  <c:v>0.48</c:v>
                </c:pt>
                <c:pt idx="1">
                  <c:v>1.36</c:v>
                </c:pt>
                <c:pt idx="3">
                  <c:v>0.52</c:v>
                </c:pt>
                <c:pt idx="4">
                  <c:v>1.37</c:v>
                </c:pt>
                <c:pt idx="6">
                  <c:v>0.71</c:v>
                </c:pt>
                <c:pt idx="7">
                  <c:v>1.39</c:v>
                </c:pt>
                <c:pt idx="9">
                  <c:v>0.63</c:v>
                </c:pt>
                <c:pt idx="10">
                  <c:v>1.79</c:v>
                </c:pt>
                <c:pt idx="12">
                  <c:v>0.89</c:v>
                </c:pt>
                <c:pt idx="13">
                  <c:v>1.57</c:v>
                </c:pt>
              </c:numCache>
            </c:numRef>
          </c:val>
          <c:extLst>
            <c:ext xmlns:c16="http://schemas.microsoft.com/office/drawing/2014/chart" uri="{C3380CC4-5D6E-409C-BE32-E72D297353CC}">
              <c16:uniqueId val="{00000000-7219-4CC4-8461-37B3B5EBBFAB}"/>
            </c:ext>
          </c:extLst>
        </c:ser>
        <c:ser>
          <c:idx val="1"/>
          <c:order val="1"/>
          <c:tx>
            <c:strRef>
              <c:f>'Figura 6'!$A$7</c:f>
              <c:strCache>
                <c:ptCount val="1"/>
                <c:pt idx="0">
                  <c:v>Urgenza e Urgenza Differibile (G o 2 o 3)</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6'!$B$7:$O$7</c:f>
              <c:numCache>
                <c:formatCode>0.0</c:formatCode>
                <c:ptCount val="14"/>
                <c:pt idx="0">
                  <c:v>12.79</c:v>
                </c:pt>
                <c:pt idx="1">
                  <c:v>13.9</c:v>
                </c:pt>
                <c:pt idx="3">
                  <c:v>14.24</c:v>
                </c:pt>
                <c:pt idx="4">
                  <c:v>14.39</c:v>
                </c:pt>
                <c:pt idx="6">
                  <c:v>19</c:v>
                </c:pt>
                <c:pt idx="7">
                  <c:v>14.4</c:v>
                </c:pt>
                <c:pt idx="9">
                  <c:v>25.08</c:v>
                </c:pt>
                <c:pt idx="10">
                  <c:v>21.97</c:v>
                </c:pt>
                <c:pt idx="12">
                  <c:v>27.67</c:v>
                </c:pt>
                <c:pt idx="13">
                  <c:v>24.89</c:v>
                </c:pt>
              </c:numCache>
            </c:numRef>
          </c:val>
          <c:extLst>
            <c:ext xmlns:c16="http://schemas.microsoft.com/office/drawing/2014/chart" uri="{C3380CC4-5D6E-409C-BE32-E72D297353CC}">
              <c16:uniqueId val="{00000001-7219-4CC4-8461-37B3B5EBBFAB}"/>
            </c:ext>
          </c:extLst>
        </c:ser>
        <c:ser>
          <c:idx val="2"/>
          <c:order val="2"/>
          <c:tx>
            <c:strRef>
              <c:f>'Figura 6'!$A$8</c:f>
              <c:strCache>
                <c:ptCount val="1"/>
                <c:pt idx="0">
                  <c:v>Urgenza Minore (V o 4)</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bg1"/>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6'!$B$8:$O$8</c:f>
              <c:numCache>
                <c:formatCode>0.0</c:formatCode>
                <c:ptCount val="14"/>
                <c:pt idx="0">
                  <c:v>76.180000000000007</c:v>
                </c:pt>
                <c:pt idx="1">
                  <c:v>63.67</c:v>
                </c:pt>
                <c:pt idx="3">
                  <c:v>72.790000000000006</c:v>
                </c:pt>
                <c:pt idx="4">
                  <c:v>64.39</c:v>
                </c:pt>
                <c:pt idx="6">
                  <c:v>72.37</c:v>
                </c:pt>
                <c:pt idx="7">
                  <c:v>64.209999999999994</c:v>
                </c:pt>
                <c:pt idx="9">
                  <c:v>65.92</c:v>
                </c:pt>
                <c:pt idx="10">
                  <c:v>59.78</c:v>
                </c:pt>
                <c:pt idx="12">
                  <c:v>60.25</c:v>
                </c:pt>
                <c:pt idx="13">
                  <c:v>55.55</c:v>
                </c:pt>
              </c:numCache>
            </c:numRef>
          </c:val>
          <c:extLst>
            <c:ext xmlns:c16="http://schemas.microsoft.com/office/drawing/2014/chart" uri="{C3380CC4-5D6E-409C-BE32-E72D297353CC}">
              <c16:uniqueId val="{00000002-7219-4CC4-8461-37B3B5EBBFAB}"/>
            </c:ext>
          </c:extLst>
        </c:ser>
        <c:ser>
          <c:idx val="3"/>
          <c:order val="3"/>
          <c:tx>
            <c:strRef>
              <c:f>'Figura 6'!$A$9</c:f>
              <c:strCache>
                <c:ptCount val="1"/>
                <c:pt idx="0">
                  <c:v>Non Urgenza (B o 5)</c:v>
                </c:pt>
              </c:strCache>
            </c:strRef>
          </c:tx>
          <c:spPr>
            <a:solidFill>
              <a:schemeClr val="bg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6'!$B$9:$O$9</c:f>
              <c:numCache>
                <c:formatCode>0.0</c:formatCode>
                <c:ptCount val="14"/>
                <c:pt idx="0">
                  <c:v>6.54</c:v>
                </c:pt>
                <c:pt idx="1">
                  <c:v>16.03</c:v>
                </c:pt>
                <c:pt idx="3">
                  <c:v>8.23</c:v>
                </c:pt>
                <c:pt idx="4">
                  <c:v>14.29</c:v>
                </c:pt>
                <c:pt idx="6">
                  <c:v>4.07</c:v>
                </c:pt>
                <c:pt idx="7">
                  <c:v>14.25</c:v>
                </c:pt>
                <c:pt idx="9">
                  <c:v>4.25</c:v>
                </c:pt>
                <c:pt idx="10">
                  <c:v>11.57</c:v>
                </c:pt>
                <c:pt idx="12">
                  <c:v>7.14</c:v>
                </c:pt>
                <c:pt idx="13">
                  <c:v>12.75</c:v>
                </c:pt>
              </c:numCache>
            </c:numRef>
          </c:val>
          <c:extLst>
            <c:ext xmlns:c16="http://schemas.microsoft.com/office/drawing/2014/chart" uri="{C3380CC4-5D6E-409C-BE32-E72D297353CC}">
              <c16:uniqueId val="{00000003-7219-4CC4-8461-37B3B5EBBFAB}"/>
            </c:ext>
          </c:extLst>
        </c:ser>
        <c:ser>
          <c:idx val="4"/>
          <c:order val="4"/>
          <c:tx>
            <c:strRef>
              <c:f>'Figura 6'!$A$10</c:f>
              <c:strCache>
                <c:ptCount val="1"/>
                <c:pt idx="0">
                  <c:v>Non indicato</c:v>
                </c:pt>
              </c:strCache>
            </c:strRef>
          </c:tx>
          <c:spPr>
            <a:solidFill>
              <a:schemeClr val="tx1"/>
            </a:solidFill>
            <a:ln>
              <a:noFill/>
            </a:ln>
            <a:effectLst/>
          </c:spPr>
          <c:invertIfNegative val="0"/>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6'!$B$10:$O$10</c:f>
              <c:numCache>
                <c:formatCode>0.0</c:formatCode>
                <c:ptCount val="14"/>
                <c:pt idx="0">
                  <c:v>0.04</c:v>
                </c:pt>
                <c:pt idx="1">
                  <c:v>0.16</c:v>
                </c:pt>
                <c:pt idx="3">
                  <c:v>0.06</c:v>
                </c:pt>
                <c:pt idx="4">
                  <c:v>0.16</c:v>
                </c:pt>
                <c:pt idx="6">
                  <c:v>0.08</c:v>
                </c:pt>
                <c:pt idx="7">
                  <c:v>0.2</c:v>
                </c:pt>
                <c:pt idx="9">
                  <c:v>0.08</c:v>
                </c:pt>
                <c:pt idx="10">
                  <c:v>0.27</c:v>
                </c:pt>
                <c:pt idx="12">
                  <c:v>0.13</c:v>
                </c:pt>
                <c:pt idx="13">
                  <c:v>0.28999999999999998</c:v>
                </c:pt>
              </c:numCache>
            </c:numRef>
          </c:val>
          <c:extLst>
            <c:ext xmlns:c16="http://schemas.microsoft.com/office/drawing/2014/chart" uri="{C3380CC4-5D6E-409C-BE32-E72D297353CC}">
              <c16:uniqueId val="{00000004-7219-4CC4-8461-37B3B5EBBFAB}"/>
            </c:ext>
          </c:extLst>
        </c:ser>
        <c:ser>
          <c:idx val="5"/>
          <c:order val="5"/>
          <c:tx>
            <c:strRef>
              <c:f>'Figura 6'!$A$11</c:f>
              <c:strCache>
                <c:ptCount val="1"/>
                <c:pt idx="0">
                  <c:v>Non eseguito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6'!$B$5:$O$5</c:f>
              <c:strCache>
                <c:ptCount val="14"/>
                <c:pt idx="0">
                  <c:v>Accessi violenza (2017)</c:v>
                </c:pt>
                <c:pt idx="1">
                  <c:v>Accessi totali (2017)</c:v>
                </c:pt>
                <c:pt idx="3">
                  <c:v>Accessi violenza (2018)</c:v>
                </c:pt>
                <c:pt idx="4">
                  <c:v>Accessi totali (2018)</c:v>
                </c:pt>
                <c:pt idx="6">
                  <c:v>Accessi violenza (2019)</c:v>
                </c:pt>
                <c:pt idx="7">
                  <c:v>Accessi totali (2019)</c:v>
                </c:pt>
                <c:pt idx="9">
                  <c:v>Accessi violenza (2020)</c:v>
                </c:pt>
                <c:pt idx="10">
                  <c:v>Accessi totali (2020)</c:v>
                </c:pt>
                <c:pt idx="12">
                  <c:v>Accessi violenza (2021)</c:v>
                </c:pt>
                <c:pt idx="13">
                  <c:v>Accessi totali (2021)</c:v>
                </c:pt>
              </c:strCache>
            </c:strRef>
          </c:cat>
          <c:val>
            <c:numRef>
              <c:f>'Figura 6'!$B$11:$O$11</c:f>
              <c:numCache>
                <c:formatCode>0.0</c:formatCode>
                <c:ptCount val="14"/>
                <c:pt idx="0">
                  <c:v>3.97</c:v>
                </c:pt>
                <c:pt idx="1">
                  <c:v>4.8899999999999997</c:v>
                </c:pt>
                <c:pt idx="3">
                  <c:v>4.16</c:v>
                </c:pt>
                <c:pt idx="4">
                  <c:v>5.39</c:v>
                </c:pt>
                <c:pt idx="6">
                  <c:v>3.77</c:v>
                </c:pt>
                <c:pt idx="7">
                  <c:v>5.55</c:v>
                </c:pt>
                <c:pt idx="9">
                  <c:v>4.04</c:v>
                </c:pt>
                <c:pt idx="10">
                  <c:v>4.62</c:v>
                </c:pt>
                <c:pt idx="12">
                  <c:v>3.92</c:v>
                </c:pt>
                <c:pt idx="13">
                  <c:v>4.95</c:v>
                </c:pt>
              </c:numCache>
            </c:numRef>
          </c:val>
          <c:extLst>
            <c:ext xmlns:c16="http://schemas.microsoft.com/office/drawing/2014/chart" uri="{C3380CC4-5D6E-409C-BE32-E72D297353CC}">
              <c16:uniqueId val="{00000005-7219-4CC4-8461-37B3B5EBBFAB}"/>
            </c:ext>
          </c:extLst>
        </c:ser>
        <c:dLbls>
          <c:showLegendKey val="0"/>
          <c:showVal val="0"/>
          <c:showCatName val="0"/>
          <c:showSerName val="0"/>
          <c:showPercent val="0"/>
          <c:showBubbleSize val="0"/>
        </c:dLbls>
        <c:gapWidth val="60"/>
        <c:overlap val="100"/>
        <c:axId val="873797200"/>
        <c:axId val="1023412112"/>
      </c:barChart>
      <c:catAx>
        <c:axId val="87379720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1" i="0" u="none" strike="noStrike" kern="1200" baseline="0">
                <a:solidFill>
                  <a:schemeClr val="bg2">
                    <a:lumMod val="25000"/>
                  </a:schemeClr>
                </a:solidFill>
                <a:latin typeface="Arial Narrow" panose="020B0606020202030204" pitchFamily="34" charset="0"/>
                <a:ea typeface="+mn-ea"/>
                <a:cs typeface="+mn-cs"/>
              </a:defRPr>
            </a:pPr>
            <a:endParaRPr lang="it-IT"/>
          </a:p>
        </c:txPr>
        <c:crossAx val="1023412112"/>
        <c:crosses val="autoZero"/>
        <c:auto val="1"/>
        <c:lblAlgn val="ctr"/>
        <c:lblOffset val="100"/>
        <c:noMultiLvlLbl val="0"/>
      </c:catAx>
      <c:valAx>
        <c:axId val="1023412112"/>
        <c:scaling>
          <c:orientation val="minMax"/>
          <c:max val="100"/>
        </c:scaling>
        <c:delete val="0"/>
        <c:axPos val="l"/>
        <c:majorGridlines>
          <c:spPr>
            <a:ln w="317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crossAx val="873797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bg2">
                  <a:lumMod val="2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bg2">
              <a:lumMod val="25000"/>
            </a:schemeClr>
          </a:solidFill>
          <a:latin typeface="Arial Narrow" panose="020B0606020202030204" pitchFamily="34" charset="0"/>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1697530864196"/>
          <c:y val="0.24456265432098762"/>
          <c:w val="0.84618040123456795"/>
          <c:h val="0.65947129629629619"/>
        </c:manualLayout>
      </c:layout>
      <c:barChart>
        <c:barDir val="bar"/>
        <c:grouping val="percentStacked"/>
        <c:varyColors val="0"/>
        <c:ser>
          <c:idx val="0"/>
          <c:order val="0"/>
          <c:tx>
            <c:strRef>
              <c:f>'Figura 7'!$A$5</c:f>
              <c:strCache>
                <c:ptCount val="1"/>
                <c:pt idx="0">
                  <c:v>Dimissione a domicilio</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7'!$B$5:$C$5</c:f>
              <c:numCache>
                <c:formatCode>0.0</c:formatCode>
                <c:ptCount val="2"/>
                <c:pt idx="0">
                  <c:v>83.76</c:v>
                </c:pt>
                <c:pt idx="1">
                  <c:v>68.739999999999995</c:v>
                </c:pt>
              </c:numCache>
            </c:numRef>
          </c:val>
          <c:extLst>
            <c:ext xmlns:c16="http://schemas.microsoft.com/office/drawing/2014/chart" uri="{C3380CC4-5D6E-409C-BE32-E72D297353CC}">
              <c16:uniqueId val="{00000000-B844-44B0-8444-79D052BC73B8}"/>
            </c:ext>
          </c:extLst>
        </c:ser>
        <c:ser>
          <c:idx val="1"/>
          <c:order val="1"/>
          <c:tx>
            <c:strRef>
              <c:f>'Figura 7'!$A$6</c:f>
              <c:strCache>
                <c:ptCount val="1"/>
                <c:pt idx="0">
                  <c:v>Dimissione a strutture ambulatoriali</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7'!$B$6:$C$6</c:f>
              <c:numCache>
                <c:formatCode>0.0</c:formatCode>
                <c:ptCount val="2"/>
                <c:pt idx="0">
                  <c:v>3.66</c:v>
                </c:pt>
                <c:pt idx="1">
                  <c:v>4.9000000000000004</c:v>
                </c:pt>
              </c:numCache>
            </c:numRef>
          </c:val>
          <c:extLst>
            <c:ext xmlns:c16="http://schemas.microsoft.com/office/drawing/2014/chart" uri="{C3380CC4-5D6E-409C-BE32-E72D297353CC}">
              <c16:uniqueId val="{00000001-B844-44B0-8444-79D052BC73B8}"/>
            </c:ext>
          </c:extLst>
        </c:ser>
        <c:ser>
          <c:idx val="2"/>
          <c:order val="2"/>
          <c:tx>
            <c:strRef>
              <c:f>'Figura 7'!$A$7</c:f>
              <c:strCache>
                <c:ptCount val="1"/>
                <c:pt idx="0">
                  <c:v>Rifiuta ricovero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7'!$B$7:$C$7</c:f>
              <c:numCache>
                <c:formatCode>0.0</c:formatCode>
                <c:ptCount val="2"/>
                <c:pt idx="0">
                  <c:v>2.95</c:v>
                </c:pt>
                <c:pt idx="1">
                  <c:v>2.27</c:v>
                </c:pt>
              </c:numCache>
            </c:numRef>
          </c:val>
          <c:extLst>
            <c:ext xmlns:c16="http://schemas.microsoft.com/office/drawing/2014/chart" uri="{C3380CC4-5D6E-409C-BE32-E72D297353CC}">
              <c16:uniqueId val="{00000002-B844-44B0-8444-79D052BC73B8}"/>
            </c:ext>
          </c:extLst>
        </c:ser>
        <c:ser>
          <c:idx val="3"/>
          <c:order val="3"/>
          <c:tx>
            <c:strRef>
              <c:f>'Figura 7'!$A$8</c:f>
              <c:strCache>
                <c:ptCount val="1"/>
                <c:pt idx="0">
                  <c:v>Ricovero in reparto di degenza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7'!$B$8:$C$8</c:f>
              <c:numCache>
                <c:formatCode>0.0</c:formatCode>
                <c:ptCount val="2"/>
                <c:pt idx="0">
                  <c:v>2.92</c:v>
                </c:pt>
                <c:pt idx="1">
                  <c:v>14.36</c:v>
                </c:pt>
              </c:numCache>
            </c:numRef>
          </c:val>
          <c:extLst>
            <c:ext xmlns:c16="http://schemas.microsoft.com/office/drawing/2014/chart" uri="{C3380CC4-5D6E-409C-BE32-E72D297353CC}">
              <c16:uniqueId val="{00000003-B844-44B0-8444-79D052BC73B8}"/>
            </c:ext>
          </c:extLst>
        </c:ser>
        <c:ser>
          <c:idx val="4"/>
          <c:order val="4"/>
          <c:tx>
            <c:strRef>
              <c:f>'Figura 7'!$A$9</c:f>
              <c:strCache>
                <c:ptCount val="1"/>
                <c:pt idx="0">
                  <c:v>Abbandona il PS prima della visita medica</c:v>
                </c:pt>
              </c:strCache>
            </c:strRef>
          </c:tx>
          <c:spPr>
            <a:solidFill>
              <a:schemeClr val="accent4">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7'!$B$9:$C$9</c:f>
              <c:numCache>
                <c:formatCode>0.0</c:formatCode>
                <c:ptCount val="2"/>
                <c:pt idx="0">
                  <c:v>2.5499999999999998</c:v>
                </c:pt>
                <c:pt idx="1">
                  <c:v>3.32</c:v>
                </c:pt>
              </c:numCache>
            </c:numRef>
          </c:val>
          <c:extLst>
            <c:ext xmlns:c16="http://schemas.microsoft.com/office/drawing/2014/chart" uri="{C3380CC4-5D6E-409C-BE32-E72D297353CC}">
              <c16:uniqueId val="{00000004-B844-44B0-8444-79D052BC73B8}"/>
            </c:ext>
          </c:extLst>
        </c:ser>
        <c:ser>
          <c:idx val="5"/>
          <c:order val="5"/>
          <c:tx>
            <c:strRef>
              <c:f>'Figura 7'!$A$10</c:f>
              <c:strCache>
                <c:ptCount val="1"/>
                <c:pt idx="0">
                  <c:v>Accesso in OBI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7'!$B$10:$C$10</c:f>
              <c:numCache>
                <c:formatCode>0.0</c:formatCode>
                <c:ptCount val="2"/>
                <c:pt idx="0">
                  <c:v>1.77</c:v>
                </c:pt>
                <c:pt idx="1">
                  <c:v>3.08</c:v>
                </c:pt>
              </c:numCache>
            </c:numRef>
          </c:val>
          <c:extLst>
            <c:ext xmlns:c16="http://schemas.microsoft.com/office/drawing/2014/chart" uri="{C3380CC4-5D6E-409C-BE32-E72D297353CC}">
              <c16:uniqueId val="{00000005-B844-44B0-8444-79D052BC73B8}"/>
            </c:ext>
          </c:extLst>
        </c:ser>
        <c:ser>
          <c:idx val="6"/>
          <c:order val="6"/>
          <c:tx>
            <c:strRef>
              <c:f>'Figura 7'!$A$11</c:f>
              <c:strCache>
                <c:ptCount val="1"/>
                <c:pt idx="0">
                  <c:v>Abbandona il PS in corso di accertamenti e/o prima della chiusura della cartella clinica</c:v>
                </c:pt>
              </c:strCache>
            </c:strRef>
          </c:tx>
          <c:spPr>
            <a:solidFill>
              <a:schemeClr val="bg1">
                <a:lumMod val="95000"/>
              </a:schemeClr>
            </a:solidFill>
            <a:ln>
              <a:noFill/>
            </a:ln>
            <a:effectLst/>
          </c:spPr>
          <c:invertIfNegative val="0"/>
          <c:dLbls>
            <c:dLbl>
              <c:idx val="0"/>
              <c:layout>
                <c:manualLayout>
                  <c:x val="0"/>
                  <c:y val="-0.143554817408066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44-44B0-8444-79D052BC73B8}"/>
                </c:ext>
              </c:extLst>
            </c:dLbl>
            <c:dLbl>
              <c:idx val="1"/>
              <c:layout>
                <c:manualLayout>
                  <c:x val="1.2359828799555601E-3"/>
                  <c:y val="-0.138539264534270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44-44B0-8444-79D052BC73B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7'!$B$11:$C$11</c:f>
              <c:numCache>
                <c:formatCode>0.0</c:formatCode>
                <c:ptCount val="2"/>
                <c:pt idx="0">
                  <c:v>1.36</c:v>
                </c:pt>
                <c:pt idx="1">
                  <c:v>1.62</c:v>
                </c:pt>
              </c:numCache>
            </c:numRef>
          </c:val>
          <c:extLst>
            <c:ext xmlns:c16="http://schemas.microsoft.com/office/drawing/2014/chart" uri="{C3380CC4-5D6E-409C-BE32-E72D297353CC}">
              <c16:uniqueId val="{00000008-B844-44B0-8444-79D052BC73B8}"/>
            </c:ext>
          </c:extLst>
        </c:ser>
        <c:ser>
          <c:idx val="7"/>
          <c:order val="7"/>
          <c:tx>
            <c:strRef>
              <c:f>'Figura 7'!$A$12</c:f>
              <c:strCache>
                <c:ptCount val="1"/>
                <c:pt idx="0">
                  <c:v>Altro (b)</c:v>
                </c:pt>
              </c:strCache>
            </c:strRef>
          </c:tx>
          <c:spPr>
            <a:solidFill>
              <a:schemeClr val="accent2">
                <a:lumMod val="60000"/>
              </a:schemeClr>
            </a:solidFill>
            <a:ln>
              <a:noFill/>
            </a:ln>
            <a:effectLst/>
          </c:spPr>
          <c:invertIfNegative val="0"/>
          <c:dLbls>
            <c:spPr>
              <a:solidFill>
                <a:schemeClr val="bg1">
                  <a:lumMod val="95000"/>
                </a:schemeClr>
              </a:solid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7'!$B$4:$C$4</c:f>
              <c:strCache>
                <c:ptCount val="2"/>
                <c:pt idx="0">
                  <c:v>Accessi violenza</c:v>
                </c:pt>
                <c:pt idx="1">
                  <c:v>Accessi totali</c:v>
                </c:pt>
              </c:strCache>
            </c:strRef>
          </c:cat>
          <c:val>
            <c:numRef>
              <c:f>'Figura 7'!$B$12:$C$12</c:f>
              <c:numCache>
                <c:formatCode>0.0</c:formatCode>
                <c:ptCount val="2"/>
                <c:pt idx="0">
                  <c:v>1.0300000000000011</c:v>
                </c:pt>
                <c:pt idx="1">
                  <c:v>1.710000000000008</c:v>
                </c:pt>
              </c:numCache>
            </c:numRef>
          </c:val>
          <c:extLst>
            <c:ext xmlns:c16="http://schemas.microsoft.com/office/drawing/2014/chart" uri="{C3380CC4-5D6E-409C-BE32-E72D297353CC}">
              <c16:uniqueId val="{00000009-B844-44B0-8444-79D052BC73B8}"/>
            </c:ext>
          </c:extLst>
        </c:ser>
        <c:dLbls>
          <c:showLegendKey val="0"/>
          <c:showVal val="0"/>
          <c:showCatName val="0"/>
          <c:showSerName val="0"/>
          <c:showPercent val="0"/>
          <c:showBubbleSize val="0"/>
        </c:dLbls>
        <c:gapWidth val="90"/>
        <c:overlap val="100"/>
        <c:axId val="1389335631"/>
        <c:axId val="1389337711"/>
      </c:barChart>
      <c:catAx>
        <c:axId val="1389335631"/>
        <c:scaling>
          <c:orientation val="minMax"/>
        </c:scaling>
        <c:delete val="0"/>
        <c:axPos val="l"/>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389337711"/>
        <c:crosses val="autoZero"/>
        <c:auto val="1"/>
        <c:lblAlgn val="ctr"/>
        <c:lblOffset val="100"/>
        <c:noMultiLvlLbl val="0"/>
      </c:catAx>
      <c:valAx>
        <c:axId val="1389337711"/>
        <c:scaling>
          <c:orientation val="minMax"/>
        </c:scaling>
        <c:delete val="0"/>
        <c:axPos val="b"/>
        <c:majorGridlines>
          <c:spPr>
            <a:ln w="3175" cap="flat" cmpd="sng" algn="ctr">
              <a:solidFill>
                <a:schemeClr val="tx1">
                  <a:lumMod val="15000"/>
                  <a:lumOff val="85000"/>
                </a:schemeClr>
              </a:solidFill>
              <a:round/>
            </a:ln>
            <a:effectLst/>
          </c:spPr>
        </c:majorGridlines>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389335631"/>
        <c:crosses val="autoZero"/>
        <c:crossBetween val="between"/>
      </c:valAx>
      <c:spPr>
        <a:noFill/>
        <a:ln>
          <a:noFill/>
        </a:ln>
        <a:effectLst/>
      </c:spPr>
    </c:plotArea>
    <c:legend>
      <c:legendPos val="t"/>
      <c:layout>
        <c:manualLayout>
          <c:xMode val="edge"/>
          <c:yMode val="edge"/>
          <c:x val="4.2753086419753126E-3"/>
          <c:y val="2.3518518518518518E-2"/>
          <c:w val="0.9934091049382715"/>
          <c:h val="0.2018709876543209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0.27905</cdr:x>
      <cdr:y>0.02284</cdr:y>
    </cdr:from>
    <cdr:to>
      <cdr:x>0.42351</cdr:x>
      <cdr:y>0.08523</cdr:y>
    </cdr:to>
    <cdr:sp macro="" textlink="">
      <cdr:nvSpPr>
        <cdr:cNvPr id="4" name="CasellaDiTesto 3"/>
        <cdr:cNvSpPr txBox="1"/>
      </cdr:nvSpPr>
      <cdr:spPr>
        <a:xfrm xmlns:a="http://schemas.openxmlformats.org/drawingml/2006/main">
          <a:off x="1707795" y="66381"/>
          <a:ext cx="884114" cy="1812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1000" b="1">
              <a:solidFill>
                <a:schemeClr val="bg2">
                  <a:lumMod val="25000"/>
                </a:schemeClr>
              </a:solidFill>
              <a:latin typeface="Arial Narrow" panose="020B0606020202030204" pitchFamily="34" charset="0"/>
            </a:rPr>
            <a:t>Maschi</a:t>
          </a:r>
        </a:p>
      </cdr:txBody>
    </cdr:sp>
  </cdr:relSizeAnchor>
  <cdr:relSizeAnchor xmlns:cdr="http://schemas.openxmlformats.org/drawingml/2006/chartDrawing">
    <cdr:from>
      <cdr:x>0.72267</cdr:x>
      <cdr:y>0.02025</cdr:y>
    </cdr:from>
    <cdr:to>
      <cdr:x>0.86114</cdr:x>
      <cdr:y>0.10061</cdr:y>
    </cdr:to>
    <cdr:sp macro="" textlink="">
      <cdr:nvSpPr>
        <cdr:cNvPr id="5" name="CasellaDiTesto 1"/>
        <cdr:cNvSpPr txBox="1"/>
      </cdr:nvSpPr>
      <cdr:spPr>
        <a:xfrm xmlns:a="http://schemas.openxmlformats.org/drawingml/2006/main">
          <a:off x="4422834" y="58831"/>
          <a:ext cx="847455" cy="2335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t-IT" sz="1000" b="1">
              <a:solidFill>
                <a:schemeClr val="bg2">
                  <a:lumMod val="25000"/>
                </a:schemeClr>
              </a:solidFill>
              <a:latin typeface="Arial Narrow" panose="020B0606020202030204" pitchFamily="34" charset="0"/>
              <a:ea typeface="+mn-ea"/>
              <a:cs typeface="+mn-cs"/>
            </a:rPr>
            <a:t>Femmine</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6727-57F6-47E0-AEAA-28EA7C0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6819</Words>
  <Characters>38872</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Grippo</dc:creator>
  <cp:keywords/>
  <dc:description/>
  <cp:lastModifiedBy>Novazzi Alessandra</cp:lastModifiedBy>
  <cp:revision>2</cp:revision>
  <cp:lastPrinted>2023-04-05T14:41:00Z</cp:lastPrinted>
  <dcterms:created xsi:type="dcterms:W3CDTF">2023-05-05T09:26:00Z</dcterms:created>
  <dcterms:modified xsi:type="dcterms:W3CDTF">2023-05-05T09:26:00Z</dcterms:modified>
</cp:coreProperties>
</file>