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E97C" w14:textId="653AA6B5" w:rsidR="00812B6C" w:rsidRPr="00F76C64" w:rsidRDefault="00670012" w:rsidP="00F76C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 xml:space="preserve">Corte di </w:t>
      </w:r>
      <w:r w:rsidR="002153D2" w:rsidRPr="00670012">
        <w:rPr>
          <w:rFonts w:ascii="Arial" w:hAnsi="Arial" w:cs="Arial"/>
          <w:b/>
          <w:bCs/>
          <w:kern w:val="0"/>
          <w:sz w:val="24"/>
          <w:szCs w:val="24"/>
        </w:rPr>
        <w:t xml:space="preserve">Cassazione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Ord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. </w:t>
      </w:r>
      <w:r w:rsidR="002153D2" w:rsidRPr="00670012">
        <w:rPr>
          <w:rFonts w:ascii="Arial" w:hAnsi="Arial" w:cs="Arial"/>
          <w:b/>
          <w:bCs/>
          <w:kern w:val="0"/>
          <w:sz w:val="24"/>
          <w:szCs w:val="24"/>
        </w:rPr>
        <w:t>31/03/2023, n.9114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670012">
        <w:rPr>
          <w:rFonts w:ascii="Arial" w:hAnsi="Arial" w:cs="Arial"/>
          <w:b/>
          <w:bCs/>
          <w:kern w:val="0"/>
          <w:sz w:val="24"/>
          <w:szCs w:val="24"/>
        </w:rPr>
        <w:t>- Odontoiatri e procedimenti disciplinari-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ORDINANZA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sul ricorso 01781-2020 proposto da: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C.G., elettivamente domiciliato in Roma, Via Belluzzo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1, presso l'Associazione Codici, rappresentato e difeso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dall'avvocato Fausto Pucillo;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- ricorrente -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contro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ORDINE DEI MEDICI CHIRURGHI E DEGLI ODONTOIATRI DELLA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PROVINCIA DI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RIMINI, in persona del suo presidente pro-tempore, elettivamente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domiciliato in Roma, Via Teulada 52, presso lo studio dell'avvocato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Maurizio Gabrielli, rappresentato e difeso dagli avvocati Saverio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Bartolomei, e Maurizio Gabrielli;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- controricorrente -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2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avverso la decisione n. 37/2019 della Commissione centrale per gli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esercenti le professioni sanitarie, depositata il 29/10/2019;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udita la relazione della causa svolta nella camera di consiglio del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18 ottobre 2022 dal Consigliere Dott.ssa Chiara Besso </w:t>
      </w:r>
      <w:proofErr w:type="spellStart"/>
      <w:r w:rsidR="002153D2" w:rsidRPr="00F76C64">
        <w:rPr>
          <w:rFonts w:ascii="Arial" w:hAnsi="Arial" w:cs="Arial"/>
          <w:kern w:val="0"/>
          <w:sz w:val="24"/>
          <w:szCs w:val="24"/>
        </w:rPr>
        <w:t>Marcheis</w:t>
      </w:r>
      <w:proofErr w:type="spellEnd"/>
      <w:r w:rsidR="002153D2" w:rsidRPr="00F76C64">
        <w:rPr>
          <w:rFonts w:ascii="Arial" w:hAnsi="Arial" w:cs="Arial"/>
          <w:kern w:val="0"/>
          <w:sz w:val="24"/>
          <w:szCs w:val="24"/>
        </w:rPr>
        <w:t>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PREMESSO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CHE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>: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1. La vicenda trae origine dal ricorso per accertamento tecnico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preventivo ex art. 696-bis c.p.c., proposto da M.A. nei confronti del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dottor C.G., avente ad oggetto la prova di asseriti danni derivanti da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responsabilità professionale medica in relazione a un intervento di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implantologia eseguito da un terzo specialista implantologo; il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consulente tecnico nominato dal giudice segnalava con un esposto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all'Ordine dei medici e odontoiatri di Rimini che il dottor C. aveva, dal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(Omissis) all'(Omissis), consentito all'odontotecnico Ca. e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all'assistente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di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poltrona A. "di operare nella bocca di M., così come sulla bocca di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altri pazienti, il tutto in sua presenza e con la sua approvazione" (in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particolare, aveva permesso all'odontotecnico "di preparare monconi in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bocca, di prendere impronte e provare manufatti protesici" e aveva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permesso all'assistente "di effettuare la pulizia dei denti, montare ponti,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cementare provvisori e sbiancare denti senza la necessaria idoneità").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L'Ordine, ricevuto l'esposto, convocava C., che veniva sentito, e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Commissione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medica avviava un procedimento disciplinare a suo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carico. Nella seduta del 15 febbraio 2016 la Commissione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medica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riteneva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fondati gli addebiti relativi alla violazione degli artt. 67 codice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deontologico e della L. n. 175 del 1992, art. 8 per avere C. agevolato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l'esercizio abusivo della professione odontoiatrica da parte di Ca. e di A.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e infliggeva a C. la sanzione dell'interdizione dall'esercizio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della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professione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per un anno.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2. C. chiedeva la revoca della sanzione alla Commissione centrale per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gli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esercenti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le professioni sanitarie. La Commissione ha respinto il ricorso con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decisione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n. 37/2019.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3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3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>. Avverso la decisione della Commissione centrale C. ricorre per cassazione.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Resiste con controricorso l'Ordine dei medici chirurghi e odontoiatri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della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provincia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di Rimini.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Memoria è stata depositata dal controricorrente.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CONSIDERATO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CHE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>: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I. Il ricorso è articolato in sei motivi.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1) Il primo motivo contesta "violazione di legge costituzionalmente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rilevante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(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>art. 111 Cost., comma 6) sotto il profilo della falsa motivazione (art. 360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c.p.c., n. 3)": il provvedimento impugnato attribuisce credibilità al testimone M.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con affermazione in contrasto con le risultanze fattuali e "soprattutto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in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contrasto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con la Legge".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Il motivo è inammissibile. Dopo avere correttamente premesso che,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secondo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quanto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affermato dalle sezioni unite di questa Corte (Cass., sez. un., n.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8053/2014), il sindacato di legittimità sulla motivazione è limitato alla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violazione di legge costituzionalmente rilevante in quanto attinente alla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all'esistenza della motivazione in sé, il ricorrente contesta poi non l'esistenza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della motivazione, ma la correttezza della medesima, attaccando in modo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generico gli argomenti della Commissione (tali argomenti sarebbero infatti,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"oltre che in contrasto con risultanze fattuali, soprattutto in contrasto con 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Legge" e addirittura, secondo il non chiaro riferimento della rubrica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dell'articolo, falsi), senza peraltro confrontarsi con quanto affermato dalla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Commissione. Si vedano le pagg. 4 e 5 della decisione impugnata, ove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si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dimostra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come le dichiarazioni del testimone M. avrebbero potuto, sotto più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profili, essere ostative o comunque pregiudicare l'accoglimento della sua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4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richiesta risarcitoria nella causa di responsabilità professionale.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2) Il secondo motivo fa valere "violazione di legge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costituzionalmente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rilevante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(art. 111 </w:t>
      </w:r>
      <w:r w:rsidR="002153D2" w:rsidRPr="00F76C64">
        <w:rPr>
          <w:rFonts w:ascii="Arial" w:hAnsi="Arial" w:cs="Arial"/>
          <w:kern w:val="0"/>
          <w:sz w:val="24"/>
          <w:szCs w:val="24"/>
        </w:rPr>
        <w:lastRenderedPageBreak/>
        <w:t>Cost., comma 6) sotto il profilo della falsa motivazione (art.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360 c.p.c., n. 3)": la "falsa" motivazione del provvedimento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impugnato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sarebbe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poi, "postulando le premesse teoriche esposte" nel primo motivo,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contraddittoria per avere la Commissione ritenuto irrilevante il fatto che le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prestazioni denunciate da M. potessero essere imputate ad altro dentista 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non ai presunti interventi abusivi, affermando, così, implicitamente 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potenziale colpevolezza di altri professionisti.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La censura non può essere accolta. La motivazione della Commissione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-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ancora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definita falsa senza alcuna specificazione al riguardo - non è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contraddittoria (vizio, peraltro, non più denunciabile dopo la modifica dell'art.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360 c.p.c., n. 5): la Commissione ha infatti correttamente puntualizzato che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le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circostanze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addotte dal ricorrente per dimostrare in sede civile la mancanza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di una sua responsabilità di carattere professionale non rilevano ai fini del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presente giudizio disciplinare (cfr. la pag. 5 della decisione impugnata).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3) Il terzo motivo denuncia "violazione degli artt. 3,24,111 Cost. e art.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112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c.p.c.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in relazione all'omesso esame di valutazioni tecniche anche in punto di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malpractice quale presupposto dell'irrogazione della sanzione disciplinare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(art. 360 c.p.c., n. 3)": la Commissione ha arbitrariamente sostenuto che in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sede disciplinare non rileva l'accertamento di condotte che possano implicare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malpractice.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Il motivo non può essere accolto. Come si è detto </w:t>
      </w:r>
      <w:proofErr w:type="spellStart"/>
      <w:r w:rsidR="002153D2" w:rsidRPr="00F76C64">
        <w:rPr>
          <w:rFonts w:ascii="Arial" w:hAnsi="Arial" w:cs="Arial"/>
          <w:kern w:val="0"/>
          <w:sz w:val="24"/>
          <w:szCs w:val="24"/>
        </w:rPr>
        <w:t>supra</w:t>
      </w:r>
      <w:proofErr w:type="spell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, la Commissione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ha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correttamente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specificato che nel processo disciplinare in esame ciò che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rileva non è l'accertamento di condotte che possano comportare 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responsabilità professionale del ricorrente, bensì la verifica di condotte che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abbiano consentito l'esercizio della professione di odontoiatria a soggetti non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abilitati.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4) Il quarto motivo denuncia "violazione degli artt. 3,24,102 Cost., comma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2,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art.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111 Cost., art. 6, comma 3, lett. d) CEDU in relazione alle disposizioni di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cui al </w:t>
      </w:r>
      <w:proofErr w:type="spellStart"/>
      <w:r w:rsidR="002153D2" w:rsidRPr="00F76C64">
        <w:rPr>
          <w:rFonts w:ascii="Arial" w:hAnsi="Arial" w:cs="Arial"/>
          <w:kern w:val="0"/>
          <w:sz w:val="24"/>
          <w:szCs w:val="24"/>
        </w:rPr>
        <w:t>D.Lgs.</w:t>
      </w:r>
      <w:proofErr w:type="spell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13 settembre 1946, n. 233 nonché del D.P.R. 5 aprile 1950, n.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221, con riguardo al pieno espletamento del diritto di difesa e ai principi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5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regolatori del giusto processo (art. 360 c.p.c., n. 3)": il procedimento si è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svolto, in entrambe le fasi, in violazione dei principi del diritto di difesa e del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giusto processo garantiti dalla Costituzione e dalla Convenzione Europea dei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diritti dell'uomo; è infatti stato del tutto omesso, da parte della Commissione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centrale, l'esame delle prove testimoniali indicate dal ricorrente, avendo 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Commissione esaminato le sole dichiarazioni rese </w:t>
      </w:r>
      <w:proofErr w:type="spellStart"/>
      <w:r w:rsidR="002153D2" w:rsidRPr="00F76C64">
        <w:rPr>
          <w:rFonts w:ascii="Arial" w:hAnsi="Arial" w:cs="Arial"/>
          <w:kern w:val="0"/>
          <w:sz w:val="24"/>
          <w:szCs w:val="24"/>
        </w:rPr>
        <w:t>illo</w:t>
      </w:r>
      <w:proofErr w:type="spell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tempore dai soggetti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convocati davanti all'Ordine dei medici di Rimini.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Il motivo non può essere accolto. Il ricorrente contesta che l'istruttoria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si sia svolta violando le garanzie procedimentali previste dall'art. 6,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comma 3, lett. d) della Convenzione Europea dei diritti dell'uomo, in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base al quale ogni accusato ha diritto di esaminare o far esaminare 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testimoni a carico e ottenere la convocazione e l'esame dei testimoni 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discarico nelle stesse condizioni dei testimoni a carico, norma che ha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esteso il proprio ambito di applicazione oltre l'originario perimetro,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trovando applicabilità a tutte le misure di carattere punitivo-afflittivo,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quale quella irrogata al ricorrente.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La tesi del ricorrente è quindi che al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giudizio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disciplinare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in esame vadano tout court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applicate le garanzie proprie del processo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penale, e in particolare quelle dettate per tale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processo dall'art. 6 della Convenzionale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Europea dei diritti dell'uomo. Tale tesi non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è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condivisibile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>. Secondo la giurisprudenza di questa Corte, "in tema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di giudizio disciplinare nei confronti dei professionisti, la sanzione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disciplinare ha come destinatari gli appartenenti a un ordine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professionale ed è preordinata all'effettivo adempimento dei doveri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inerenti al corretto esercizio dei compiti loro assegnati, sicché ad essa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non può attribuirsi - secondo le statuizioni della sentenza della Corte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EDU 4 marzo 2014, Grande Stevens ed altri c/o Italia - natura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sostanzialmente penale" (così Cass. n. 2927/2017; si veda anche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pronuncia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delle sezioni unite n. 9558/2018, per cui "le sanzioni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disciplinari contenute nel codice deontologico forense hanno natura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amministrativa"; cfr. anche Cass. 7270/2000, che sottolinea la "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diversità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di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natura tra il procedimento penale e quello disciplinare" degli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6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esercenti le professioni sanitarie).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5) </w:t>
      </w:r>
      <w:r w:rsidR="002153D2" w:rsidRPr="00F76C64">
        <w:rPr>
          <w:rFonts w:ascii="Arial" w:hAnsi="Arial" w:cs="Arial"/>
          <w:kern w:val="0"/>
          <w:sz w:val="24"/>
          <w:szCs w:val="24"/>
        </w:rPr>
        <w:lastRenderedPageBreak/>
        <w:t xml:space="preserve">Con il quinto motivo - rubricato "omesso esame di un fatto decisivo per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il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giudizio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che è stato oggetto di discussione tra le parti (art. 360 c.p.c., n. 5)" - il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ricorrente lamenta che la Commissione non si sia espressa in relazione al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settimo motivo di ricorso.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Il motivo non può essere accolto, in quanto la Commissione ha esaminato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il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settimo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motivo (v. la pag. 7 della decisione), come riconosce lo stesso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ricorrente. A fronte della contestazione di avere "strenuamente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contestato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quei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fatti che il provvedimento impugnato dà per pacifici", la Commissione ha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affermato che il convincimento dell'organo di disciplina si è basato sui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documenti e sulle prove testimoniali e che risultava sufficientemente 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congruamente motivato.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6) Con il sesto motivo - rubricato "omesso esame di un fatto decisivo per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il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giudizio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che è stato oggetto di discussione tra le parti (art. 360 c.p.c., n. 5)" - il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ricorrente infine lamenta che la Commissione abbia ritenuto attendibile 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testimone Rizzitiello nonostante la duplice falsa affermazione circa l'utilizzo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dell'autoclave e gli orari di lavoro.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Il motivo non può essere accolto. La Commissione ha considerato i profili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evidenziati dal ricorrente (v. la pag. 3 della decisione) e ha, anzitutto,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sottolineato che non si trattava di persona incapace a testimoniare ai sensi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dell'art. 246 c.p.c., non essendo persona avente nella causa un interesse che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poteva legittimare la sua partecipazione al giudizio, e che il giudizio circa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l'attendibilità delle sue dichiarazioni (e va puntualizzato che non sono oggetto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di questo processo né l'utilizzo dell'autoclave, né gli orari di lavoro della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testimone) spettava al proprio prudente apprezzamento, rilevando ai fini del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diritto di difesa che la parte avesse potuto contestare le dichiarazioni rese (v.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le pagg. 5 e 6 della decisione impugnata), il che il ricorrente non deduce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di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non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avere potuto fare.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II. Il rigetto del ricorso comporta l'assorbimento dell'eccezione preliminare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del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controricorrente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di non integrità del contraddittorio, per non essere stato il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ricorso proposto anche nei confronti del Ministero della salute e del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Procuratore della Repubblica. Secondo la giurisprudenza di questa Corte,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7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infatti, "il rispetto del diritto fondamentale a una ragionevole durata del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processo impone al giudice (ai sensi degli artt. 175 e 127 c.p.c.) di evitare 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impedire comportamenti che siano di ostacolo ad una sollecita definizione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dello stesso, tra i quali rientrano quelli che si traducono in un inutile dispendio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di attività processuali e formalità superflue perché non giustificate dalla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struttura dialettica del processo e, in particolare, dal rispetto effettivo del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principio del contraddittorio, da effettive garanzie di difesa e dal diritto alla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partecipazione al processo in condizioni di parità dei soggetti nella cui sfera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giuridica l'atto finale è destinato a produrre i suoi effetti" (così, ex </w:t>
      </w:r>
      <w:proofErr w:type="spellStart"/>
      <w:r w:rsidR="002153D2" w:rsidRPr="00F76C64">
        <w:rPr>
          <w:rFonts w:ascii="Arial" w:hAnsi="Arial" w:cs="Arial"/>
          <w:kern w:val="0"/>
          <w:sz w:val="24"/>
          <w:szCs w:val="24"/>
        </w:rPr>
        <w:t>multis</w:t>
      </w:r>
      <w:proofErr w:type="spellEnd"/>
      <w:r w:rsidR="002153D2" w:rsidRPr="00F76C64">
        <w:rPr>
          <w:rFonts w:ascii="Arial" w:hAnsi="Arial" w:cs="Arial"/>
          <w:kern w:val="0"/>
          <w:sz w:val="24"/>
          <w:szCs w:val="24"/>
        </w:rPr>
        <w:t>,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Cass. 23901/2017). E' poi da respingere l'eccezione, sempre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del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controricorrente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>, di nullità della notificazione del ricorso nei suoi confronti,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trattandosi di vizio - come lo stesso riconosce - sanato a seguito della sua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costituzione nel giudizio.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III. Il ricorso va pertanto rigettato.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Le spese, liquidate in dispositivo, seguono la soccombenza.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Ai sensi del D.P.R. n. 115 del 2002, art. 13, comma 1 quater, si dà atto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della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sussistenza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dei presupposti processuali per il versamento, da parte del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ricorrente, di un ulteriore importo a titolo di contributo unificato, pari a quello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previsto per il ricorso a norma dello stesso art. 13, comma 1 bis se dovuto.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P.Q.M.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La Corte rigetta il ricorso e condanna il ricorrente al pagamento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delle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spese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del giudizio in favore del controricorrente, che liquida in Euro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4.200, di cui Euro 200 per esborsi, oltre spese generali (15%) e accessori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di legge.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Sussistono, D.P.R. n. 115 del 2002, ex art. 13, comma 1-quater, i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presupposti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processuali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per il versamento, da parte del ricorrente, di un ulteriore importo a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titolo di contributo unificato, pari a quello previsto per il ricorso a norma dello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stesso art. 13, comma 1 bis se dovuto.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8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Così</w:t>
      </w:r>
      <w:proofErr w:type="gramEnd"/>
      <w:r w:rsidR="002153D2" w:rsidRPr="00F76C64">
        <w:rPr>
          <w:rFonts w:ascii="Arial" w:hAnsi="Arial" w:cs="Arial"/>
          <w:kern w:val="0"/>
          <w:sz w:val="24"/>
          <w:szCs w:val="24"/>
        </w:rPr>
        <w:t xml:space="preserve"> deciso in Roma, nella adunanza camerale della sezione seconda civile,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il 18 ottobre 2022.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 xml:space="preserve">Depositato in Cancelleria il 31 marzo </w:t>
      </w:r>
      <w:proofErr w:type="gramStart"/>
      <w:r w:rsidR="002153D2" w:rsidRPr="00F76C64">
        <w:rPr>
          <w:rFonts w:ascii="Arial" w:hAnsi="Arial" w:cs="Arial"/>
          <w:kern w:val="0"/>
          <w:sz w:val="24"/>
          <w:szCs w:val="24"/>
        </w:rPr>
        <w:t>2023</w:t>
      </w:r>
      <w:r w:rsidR="00F76C64">
        <w:rPr>
          <w:rFonts w:ascii="Arial" w:hAnsi="Arial" w:cs="Arial"/>
          <w:kern w:val="0"/>
          <w:sz w:val="24"/>
          <w:szCs w:val="24"/>
        </w:rPr>
        <w:t xml:space="preserve">  </w:t>
      </w:r>
      <w:r w:rsidR="002153D2" w:rsidRPr="00F76C64">
        <w:rPr>
          <w:rFonts w:ascii="Arial" w:hAnsi="Arial" w:cs="Arial"/>
          <w:kern w:val="0"/>
          <w:sz w:val="24"/>
          <w:szCs w:val="24"/>
        </w:rPr>
        <w:t>9</w:t>
      </w:r>
      <w:proofErr w:type="gramEnd"/>
      <w:r w:rsidR="00F76C64">
        <w:rPr>
          <w:rFonts w:ascii="Arial" w:hAnsi="Arial" w:cs="Arial"/>
          <w:sz w:val="24"/>
          <w:szCs w:val="24"/>
        </w:rPr>
        <w:t xml:space="preserve">  </w:t>
      </w:r>
    </w:p>
    <w:sectPr w:rsidR="00812B6C" w:rsidRPr="00F76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6C"/>
    <w:rsid w:val="002153D2"/>
    <w:rsid w:val="00670012"/>
    <w:rsid w:val="00812B6C"/>
    <w:rsid w:val="00F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59A9"/>
  <w15:chartTrackingRefBased/>
  <w15:docId w15:val="{448FF538-FE33-4C80-9CF9-24259D11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1960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5</cp:revision>
  <dcterms:created xsi:type="dcterms:W3CDTF">2023-07-04T06:55:00Z</dcterms:created>
  <dcterms:modified xsi:type="dcterms:W3CDTF">2023-07-04T06:58:00Z</dcterms:modified>
</cp:coreProperties>
</file>