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F08C" w14:textId="77777777" w:rsidR="00F83410" w:rsidRPr="00F83410" w:rsidRDefault="00F83410" w:rsidP="00F83410">
      <w:pPr>
        <w:shd w:val="clear" w:color="auto" w:fill="FFFFFF"/>
        <w:spacing w:after="0" w:line="240" w:lineRule="auto"/>
        <w:rPr>
          <w:rFonts w:ascii="Verdana" w:eastAsia="Times New Roman" w:hAnsi="Verdana" w:cs="Times New Roman"/>
          <w:color w:val="000000"/>
          <w:kern w:val="0"/>
          <w:sz w:val="18"/>
          <w:szCs w:val="18"/>
          <w:lang w:eastAsia="it-IT"/>
          <w14:ligatures w14:val="none"/>
        </w:rPr>
      </w:pPr>
      <w:r w:rsidRPr="00F83410">
        <w:rPr>
          <w:rFonts w:ascii="Verdana" w:eastAsia="Times New Roman" w:hAnsi="Verdana" w:cs="Times New Roman"/>
          <w:color w:val="000000"/>
          <w:kern w:val="0"/>
          <w:sz w:val="18"/>
          <w:szCs w:val="18"/>
          <w:lang w:eastAsia="it-IT"/>
          <w14:ligatures w14:val="none"/>
        </w:rPr>
        <w:br/>
      </w:r>
      <w:r w:rsidRPr="00F83410">
        <w:rPr>
          <w:rFonts w:ascii="Verdana" w:eastAsia="Times New Roman" w:hAnsi="Verdana" w:cs="Times New Roman"/>
          <w:noProof/>
          <w:color w:val="000000"/>
          <w:kern w:val="0"/>
          <w:sz w:val="18"/>
          <w:szCs w:val="18"/>
          <w:lang w:eastAsia="it-IT"/>
          <w14:ligatures w14:val="none"/>
        </w:rPr>
        <mc:AlternateContent>
          <mc:Choice Requires="wps">
            <w:drawing>
              <wp:inline distT="0" distB="0" distL="0" distR="0" wp14:anchorId="52A3F7D9" wp14:editId="77682103">
                <wp:extent cx="304800" cy="304800"/>
                <wp:effectExtent l="0" t="0" r="0" b="0"/>
                <wp:docPr id="1512723078" name="AutoShape 3" descr="stam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83571" id="AutoShape 3" o:spid="_x0000_s1026" alt="stam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FA0287" w14:textId="77777777" w:rsidR="00F83410" w:rsidRPr="00F83410" w:rsidRDefault="00F83410" w:rsidP="00F83410">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F83410">
        <w:rPr>
          <w:rFonts w:ascii="Arial" w:eastAsia="Times New Roman" w:hAnsi="Arial" w:cs="Arial"/>
          <w:b/>
          <w:bCs/>
          <w:color w:val="000000"/>
          <w:kern w:val="36"/>
          <w:sz w:val="24"/>
          <w:szCs w:val="24"/>
          <w:lang w:eastAsia="it-IT"/>
          <w14:ligatures w14:val="none"/>
        </w:rPr>
        <w:t>Legislatura 19ª - 10ª Commissione permanente - Resoconto sommario n. 151 del 18/01/2024</w:t>
      </w:r>
    </w:p>
    <w:p w14:paraId="3C3FBC73" w14:textId="77777777" w:rsidR="00F83410" w:rsidRPr="00F83410" w:rsidRDefault="00F83410" w:rsidP="00F83410">
      <w:pPr>
        <w:shd w:val="clear" w:color="auto" w:fill="FFFFFF"/>
        <w:spacing w:after="0" w:line="240" w:lineRule="auto"/>
        <w:rPr>
          <w:rFonts w:ascii="Arial" w:eastAsia="Times New Roman" w:hAnsi="Arial" w:cs="Arial"/>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IN SEDE REDIGENTE</w:t>
      </w:r>
    </w:p>
    <w:p w14:paraId="742D6596"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hyperlink r:id="rId4" w:tooltip="Il link apre una nuova finestra" w:history="1">
        <w:r w:rsidRPr="00F83410">
          <w:rPr>
            <w:rFonts w:ascii="Arial" w:eastAsia="Times New Roman" w:hAnsi="Arial" w:cs="Arial"/>
            <w:b/>
            <w:bCs/>
            <w:color w:val="0000FF"/>
            <w:kern w:val="0"/>
            <w:sz w:val="24"/>
            <w:szCs w:val="24"/>
            <w:u w:val="single"/>
            <w:lang w:eastAsia="it-IT"/>
            <w14:ligatures w14:val="none"/>
          </w:rPr>
          <w:t>(599)</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b/>
          <w:bCs/>
          <w:i/>
          <w:iCs/>
          <w:color w:val="000000"/>
          <w:kern w:val="0"/>
          <w:sz w:val="24"/>
          <w:szCs w:val="24"/>
          <w:lang w:eastAsia="it-IT"/>
          <w14:ligatures w14:val="none"/>
        </w:rPr>
        <w:t>BALBONI e altri.</w:t>
      </w:r>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b/>
          <w:bCs/>
          <w:i/>
          <w:iCs/>
          <w:color w:val="000000"/>
          <w:kern w:val="0"/>
          <w:sz w:val="24"/>
          <w:szCs w:val="24"/>
          <w:lang w:eastAsia="it-IT"/>
          <w14:ligatures w14:val="none"/>
        </w:rPr>
        <w:t>-</w:t>
      </w:r>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b/>
          <w:bCs/>
          <w:i/>
          <w:iCs/>
          <w:color w:val="000000"/>
          <w:kern w:val="0"/>
          <w:sz w:val="24"/>
          <w:szCs w:val="24"/>
          <w:lang w:eastAsia="it-IT"/>
          <w14:ligatures w14:val="none"/>
        </w:rPr>
        <w:t>Disposizioni in materia di disturbi del comportamento alimentare</w:t>
      </w:r>
    </w:p>
    <w:p w14:paraId="0C9F1538"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(Discussione e rinvio)</w:t>
      </w:r>
    </w:p>
    <w:p w14:paraId="4DFDC435"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highlight w:val="cyan"/>
          <w:lang w:eastAsia="it-IT"/>
          <w14:ligatures w14:val="none"/>
        </w:rPr>
        <w:t xml:space="preserve">Intervenendo in luogo della senatrice </w:t>
      </w:r>
      <w:proofErr w:type="spellStart"/>
      <w:r w:rsidRPr="00F83410">
        <w:rPr>
          <w:rFonts w:ascii="Arial" w:eastAsia="Times New Roman" w:hAnsi="Arial" w:cs="Arial"/>
          <w:b/>
          <w:bCs/>
          <w:color w:val="000000"/>
          <w:kern w:val="0"/>
          <w:sz w:val="24"/>
          <w:szCs w:val="24"/>
          <w:highlight w:val="cyan"/>
          <w:lang w:eastAsia="it-IT"/>
          <w14:ligatures w14:val="none"/>
        </w:rPr>
        <w:t>Ternullo</w:t>
      </w:r>
      <w:proofErr w:type="spellEnd"/>
      <w:r w:rsidRPr="00F83410">
        <w:rPr>
          <w:rFonts w:ascii="Arial" w:eastAsia="Times New Roman" w:hAnsi="Arial" w:cs="Arial"/>
          <w:b/>
          <w:bCs/>
          <w:color w:val="000000"/>
          <w:kern w:val="0"/>
          <w:sz w:val="24"/>
          <w:szCs w:val="24"/>
          <w:highlight w:val="cyan"/>
          <w:lang w:eastAsia="it-IT"/>
          <w14:ligatures w14:val="none"/>
        </w:rPr>
        <w:t>, relatrice designata, il presidente </w:t>
      </w:r>
      <w:hyperlink r:id="rId5" w:tooltip="Il link apre una nuova finestra" w:history="1">
        <w:r w:rsidRPr="00F83410">
          <w:rPr>
            <w:rFonts w:ascii="Arial" w:eastAsia="Times New Roman" w:hAnsi="Arial" w:cs="Arial"/>
            <w:b/>
            <w:bCs/>
            <w:color w:val="0000FF"/>
            <w:kern w:val="0"/>
            <w:sz w:val="24"/>
            <w:szCs w:val="24"/>
            <w:highlight w:val="cyan"/>
            <w:u w:val="single"/>
            <w:lang w:eastAsia="it-IT"/>
            <w14:ligatures w14:val="none"/>
          </w:rPr>
          <w:t>ZAFFINI</w:t>
        </w:r>
      </w:hyperlink>
      <w:r w:rsidRPr="00F83410">
        <w:rPr>
          <w:rFonts w:ascii="Arial" w:eastAsia="Times New Roman" w:hAnsi="Arial" w:cs="Arial"/>
          <w:b/>
          <w:bCs/>
          <w:color w:val="000000"/>
          <w:kern w:val="0"/>
          <w:sz w:val="24"/>
          <w:szCs w:val="24"/>
          <w:highlight w:val="cyan"/>
          <w:lang w:eastAsia="it-IT"/>
          <w14:ligatures w14:val="none"/>
        </w:rPr>
        <w:t> (</w:t>
      </w:r>
      <w:proofErr w:type="spellStart"/>
      <w:r w:rsidRPr="00F83410">
        <w:rPr>
          <w:rFonts w:ascii="Arial" w:eastAsia="Times New Roman" w:hAnsi="Arial" w:cs="Arial"/>
          <w:b/>
          <w:bCs/>
          <w:i/>
          <w:iCs/>
          <w:color w:val="000000"/>
          <w:kern w:val="0"/>
          <w:sz w:val="24"/>
          <w:szCs w:val="24"/>
          <w:highlight w:val="cyan"/>
          <w:lang w:eastAsia="it-IT"/>
          <w14:ligatures w14:val="none"/>
        </w:rPr>
        <w:t>FdI</w:t>
      </w:r>
      <w:proofErr w:type="spellEnd"/>
      <w:r w:rsidRPr="00F83410">
        <w:rPr>
          <w:rFonts w:ascii="Arial" w:eastAsia="Times New Roman" w:hAnsi="Arial" w:cs="Arial"/>
          <w:b/>
          <w:bCs/>
          <w:color w:val="000000"/>
          <w:kern w:val="0"/>
          <w:sz w:val="24"/>
          <w:szCs w:val="24"/>
          <w:highlight w:val="cyan"/>
          <w:lang w:eastAsia="it-IT"/>
          <w14:ligatures w14:val="none"/>
        </w:rPr>
        <w:t>) fa presente le finalità essenziali del disegno di legge in discussione. Passa quindi all'illustrazione dell'articolo 1, volto al riconoscimento delle patologie rientranti nella categoria dei disturbi del comportamento alimentare, da comprendere tra le malattie sociali.</w:t>
      </w:r>
    </w:p>
    <w:p w14:paraId="1B5D0E4E"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 xml:space="preserve">L'articolo 2 introduce nel </w:t>
      </w:r>
      <w:proofErr w:type="gramStart"/>
      <w:r w:rsidRPr="00F83410">
        <w:rPr>
          <w:rFonts w:ascii="Arial" w:eastAsia="Times New Roman" w:hAnsi="Arial" w:cs="Arial"/>
          <w:b/>
          <w:bCs/>
          <w:color w:val="000000"/>
          <w:kern w:val="0"/>
          <w:sz w:val="24"/>
          <w:szCs w:val="24"/>
          <w:lang w:eastAsia="it-IT"/>
          <w14:ligatures w14:val="none"/>
        </w:rPr>
        <w:t>codice penale</w:t>
      </w:r>
      <w:proofErr w:type="gramEnd"/>
      <w:r w:rsidRPr="00F83410">
        <w:rPr>
          <w:rFonts w:ascii="Arial" w:eastAsia="Times New Roman" w:hAnsi="Arial" w:cs="Arial"/>
          <w:b/>
          <w:bCs/>
          <w:color w:val="000000"/>
          <w:kern w:val="0"/>
          <w:sz w:val="24"/>
          <w:szCs w:val="24"/>
          <w:lang w:eastAsia="it-IT"/>
          <w14:ligatures w14:val="none"/>
        </w:rPr>
        <w:t xml:space="preserve"> l'articolo 580-</w:t>
      </w:r>
      <w:r w:rsidRPr="00F83410">
        <w:rPr>
          <w:rFonts w:ascii="Arial" w:eastAsia="Times New Roman" w:hAnsi="Arial" w:cs="Arial"/>
          <w:b/>
          <w:bCs/>
          <w:i/>
          <w:iCs/>
          <w:color w:val="000000"/>
          <w:kern w:val="0"/>
          <w:sz w:val="24"/>
          <w:szCs w:val="24"/>
          <w:lang w:eastAsia="it-IT"/>
          <w14:ligatures w14:val="none"/>
        </w:rPr>
        <w:t>bis</w:t>
      </w:r>
      <w:r w:rsidRPr="00F83410">
        <w:rPr>
          <w:rFonts w:ascii="Arial" w:eastAsia="Times New Roman" w:hAnsi="Arial" w:cs="Arial"/>
          <w:b/>
          <w:bCs/>
          <w:color w:val="000000"/>
          <w:kern w:val="0"/>
          <w:sz w:val="24"/>
          <w:szCs w:val="24"/>
          <w:lang w:eastAsia="it-IT"/>
          <w14:ligatures w14:val="none"/>
        </w:rPr>
        <w:t>, che prevede il reato di istigazione al ricorso di condotte alimentari idonee a provocare o rafforzare i disturbi del comportamento alimentare.</w:t>
      </w:r>
    </w:p>
    <w:p w14:paraId="5BFA9323"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Ai sensi dell'articolo 3, la Repubblica riconosce il 15 marzo quale «Giornata nazionale contro i disturbi del comportamento alimentare». La Giornata nazionale non determina gli effetti civili di cui alla legge 27 maggio 1949, n. 260.</w:t>
      </w:r>
    </w:p>
    <w:p w14:paraId="36EB8686"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highlight w:val="yellow"/>
          <w:lang w:eastAsia="it-IT"/>
          <w14:ligatures w14:val="none"/>
        </w:rPr>
        <w:t>L'articolo 4 stabilisce che il Servizio sanitario nazionale, le regioni e le province autonome predispongono progetti-obiettivo, azioni programmatiche e iniziative idonee dirette a prevenire e a curare le malattie menzionate dall'articolo 1. Prevede, inoltre che il Ministro dell'interno, di concerto con i Ministri della salute e del lavoro e delle politiche sociali e sentite le associazioni maggiormente rappresentative a livello nazionale dei fornitori di connettività alla rete internet, stabilisca con proprio decreto i criteri e le modalità per impedire l'accesso ai siti che diffondono tra i minori messaggi suscettibili di diffondere i disturbi del comportamento alimentare.</w:t>
      </w:r>
    </w:p>
    <w:p w14:paraId="0494903C"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L'articolo 5 dispone che il Ministro della salute presenti al Parlamento una specifica relazione annuale.</w:t>
      </w:r>
    </w:p>
    <w:p w14:paraId="526E0132"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Intervenendo in discussione generale, il senatore </w:t>
      </w:r>
      <w:hyperlink r:id="rId6" w:tooltip="Il link apre una nuova finestra" w:history="1">
        <w:r w:rsidRPr="00F83410">
          <w:rPr>
            <w:rFonts w:ascii="Arial" w:eastAsia="Times New Roman" w:hAnsi="Arial" w:cs="Arial"/>
            <w:color w:val="0000FF"/>
            <w:kern w:val="0"/>
            <w:sz w:val="24"/>
            <w:szCs w:val="24"/>
            <w:u w:val="single"/>
            <w:lang w:eastAsia="it-IT"/>
            <w14:ligatures w14:val="none"/>
          </w:rPr>
          <w:t>MAZZELLA</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i/>
          <w:iCs/>
          <w:color w:val="000000"/>
          <w:kern w:val="0"/>
          <w:sz w:val="24"/>
          <w:szCs w:val="24"/>
          <w:lang w:eastAsia="it-IT"/>
          <w14:ligatures w14:val="none"/>
        </w:rPr>
        <w:t>M5S</w:t>
      </w:r>
      <w:r w:rsidRPr="00F83410">
        <w:rPr>
          <w:rFonts w:ascii="Arial" w:eastAsia="Times New Roman" w:hAnsi="Arial" w:cs="Arial"/>
          <w:color w:val="000000"/>
          <w:kern w:val="0"/>
          <w:sz w:val="24"/>
          <w:szCs w:val="24"/>
          <w:lang w:eastAsia="it-IT"/>
          <w14:ligatures w14:val="none"/>
        </w:rPr>
        <w:t xml:space="preserve">) pone in rilievo le lacune del provvedimento in merito alla questione delle cause dei richiamati disturbi. Desta inoltre perplessità il ricorso, peraltro presente in numerose iniziative legislative, allo strumento penale, di dubbia utilità nel caso specifico. </w:t>
      </w:r>
      <w:r w:rsidRPr="00F83410">
        <w:rPr>
          <w:rFonts w:ascii="Arial" w:eastAsia="Times New Roman" w:hAnsi="Arial" w:cs="Arial"/>
          <w:b/>
          <w:bCs/>
          <w:color w:val="000000"/>
          <w:kern w:val="0"/>
          <w:sz w:val="24"/>
          <w:szCs w:val="24"/>
          <w:highlight w:val="yellow"/>
          <w:lang w:eastAsia="it-IT"/>
          <w14:ligatures w14:val="none"/>
        </w:rPr>
        <w:t>L'opportunità di approfondire diversi aspetti connessi al disegno di legge in discussione pone infine l'esigenza di procedere allo svolgimento di audizioni.</w:t>
      </w:r>
    </w:p>
    <w:p w14:paraId="6130CC3B"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 senatrice </w:t>
      </w:r>
      <w:hyperlink r:id="rId7" w:tooltip="Il link apre una nuova finestra" w:history="1">
        <w:r w:rsidRPr="00F83410">
          <w:rPr>
            <w:rFonts w:ascii="Arial" w:eastAsia="Times New Roman" w:hAnsi="Arial" w:cs="Arial"/>
            <w:color w:val="0000FF"/>
            <w:kern w:val="0"/>
            <w:sz w:val="24"/>
            <w:szCs w:val="24"/>
            <w:u w:val="single"/>
            <w:lang w:eastAsia="it-IT"/>
            <w14:ligatures w14:val="none"/>
          </w:rPr>
          <w:t>ZAMPA</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i/>
          <w:iCs/>
          <w:color w:val="000000"/>
          <w:kern w:val="0"/>
          <w:sz w:val="24"/>
          <w:szCs w:val="24"/>
          <w:lang w:eastAsia="it-IT"/>
          <w14:ligatures w14:val="none"/>
        </w:rPr>
        <w:t>PD-IDP</w:t>
      </w:r>
      <w:r w:rsidRPr="00F83410">
        <w:rPr>
          <w:rFonts w:ascii="Arial" w:eastAsia="Times New Roman" w:hAnsi="Arial" w:cs="Arial"/>
          <w:color w:val="000000"/>
          <w:kern w:val="0"/>
          <w:sz w:val="24"/>
          <w:szCs w:val="24"/>
          <w:lang w:eastAsia="it-IT"/>
          <w14:ligatures w14:val="none"/>
        </w:rPr>
        <w:t xml:space="preserve">) esprime perplessità riguardo la scelta di prevedere una nuova figura di reato, posta la natura complessa dei disturbi del comportamento alimentare. </w:t>
      </w:r>
      <w:r w:rsidRPr="00F83410">
        <w:rPr>
          <w:rFonts w:ascii="Arial" w:eastAsia="Times New Roman" w:hAnsi="Arial" w:cs="Arial"/>
          <w:b/>
          <w:bCs/>
          <w:color w:val="000000"/>
          <w:kern w:val="0"/>
          <w:sz w:val="24"/>
          <w:szCs w:val="24"/>
          <w:highlight w:val="cyan"/>
          <w:lang w:eastAsia="it-IT"/>
          <w14:ligatures w14:val="none"/>
        </w:rPr>
        <w:t>Questi, che comportano situazioni di gravissimo disagio per le famiglie coinvolte, richiedono in primo luogo un investimento mirato al potenziamento dei servizi per la tutela della salute mentale dell'età giovanile, già oggetto da tempo di progressivo depotenziamento.</w:t>
      </w:r>
      <w:r w:rsidRPr="00F83410">
        <w:rPr>
          <w:rFonts w:ascii="Arial" w:eastAsia="Times New Roman" w:hAnsi="Arial" w:cs="Arial"/>
          <w:color w:val="000000"/>
          <w:kern w:val="0"/>
          <w:sz w:val="24"/>
          <w:szCs w:val="24"/>
          <w:lang w:eastAsia="it-IT"/>
          <w14:ligatures w14:val="none"/>
        </w:rPr>
        <w:t xml:space="preserve"> L'efficacia dei servizi per la salute mentale è inoltre compromessa da una distribuzione irregolare nel territorio e comporta l'abbandono di numerose famiglie bisognose di assistenza. </w:t>
      </w:r>
      <w:r w:rsidRPr="00F83410">
        <w:rPr>
          <w:rFonts w:ascii="Arial" w:eastAsia="Times New Roman" w:hAnsi="Arial" w:cs="Arial"/>
          <w:b/>
          <w:bCs/>
          <w:color w:val="000000"/>
          <w:kern w:val="0"/>
          <w:sz w:val="24"/>
          <w:szCs w:val="24"/>
          <w:highlight w:val="yellow"/>
          <w:lang w:eastAsia="it-IT"/>
          <w14:ligatures w14:val="none"/>
        </w:rPr>
        <w:t xml:space="preserve">Ritiene quindi indispensabile procedere </w:t>
      </w:r>
      <w:proofErr w:type="gramStart"/>
      <w:r w:rsidRPr="00F83410">
        <w:rPr>
          <w:rFonts w:ascii="Arial" w:eastAsia="Times New Roman" w:hAnsi="Arial" w:cs="Arial"/>
          <w:b/>
          <w:bCs/>
          <w:color w:val="000000"/>
          <w:kern w:val="0"/>
          <w:sz w:val="24"/>
          <w:szCs w:val="24"/>
          <w:highlight w:val="yellow"/>
          <w:lang w:eastAsia="it-IT"/>
          <w14:ligatures w14:val="none"/>
        </w:rPr>
        <w:t>a</w:t>
      </w:r>
      <w:proofErr w:type="gramEnd"/>
      <w:r w:rsidRPr="00F83410">
        <w:rPr>
          <w:rFonts w:ascii="Arial" w:eastAsia="Times New Roman" w:hAnsi="Arial" w:cs="Arial"/>
          <w:b/>
          <w:bCs/>
          <w:color w:val="000000"/>
          <w:kern w:val="0"/>
          <w:sz w:val="24"/>
          <w:szCs w:val="24"/>
          <w:highlight w:val="yellow"/>
          <w:lang w:eastAsia="it-IT"/>
          <w14:ligatures w14:val="none"/>
        </w:rPr>
        <w:t xml:space="preserve"> audizioni, in quanto elemento preliminare a una riflessione seria sul tema, che investe anche le competenze del Ministero della salute nel rapporto con le regioni.</w:t>
      </w:r>
    </w:p>
    <w:p w14:paraId="2817D0F2"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 senatrice </w:t>
      </w:r>
      <w:hyperlink r:id="rId8" w:tooltip="Il link apre una nuova finestra" w:history="1">
        <w:r w:rsidRPr="00F83410">
          <w:rPr>
            <w:rFonts w:ascii="Arial" w:eastAsia="Times New Roman" w:hAnsi="Arial" w:cs="Arial"/>
            <w:color w:val="0000FF"/>
            <w:kern w:val="0"/>
            <w:sz w:val="24"/>
            <w:szCs w:val="24"/>
            <w:u w:val="single"/>
            <w:lang w:eastAsia="it-IT"/>
            <w14:ligatures w14:val="none"/>
          </w:rPr>
          <w:t>FURLAN</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i/>
          <w:iCs/>
          <w:color w:val="000000"/>
          <w:kern w:val="0"/>
          <w:sz w:val="24"/>
          <w:szCs w:val="24"/>
          <w:lang w:eastAsia="it-IT"/>
          <w14:ligatures w14:val="none"/>
        </w:rPr>
        <w:t>PD-IDP</w:t>
      </w:r>
      <w:r w:rsidRPr="00F83410">
        <w:rPr>
          <w:rFonts w:ascii="Arial" w:eastAsia="Times New Roman" w:hAnsi="Arial" w:cs="Arial"/>
          <w:color w:val="000000"/>
          <w:kern w:val="0"/>
          <w:sz w:val="24"/>
          <w:szCs w:val="24"/>
          <w:lang w:eastAsia="it-IT"/>
          <w14:ligatures w14:val="none"/>
        </w:rPr>
        <w:t>) osserva che la riduzione dei fondi destinati ai servizi per la salute mentale è accompagnata da una limitata capacità di spesa delle regioni, peraltro con differenze notevoli fra le diverse amministrazioni. Tale questione, anche riguardo al rapporto con i risultati conseguiti, dovrebbe essere oggetto di analisi in sede di audizione.</w:t>
      </w:r>
    </w:p>
    <w:p w14:paraId="34B7A1C4"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b/>
          <w:bCs/>
          <w:color w:val="000000"/>
          <w:kern w:val="0"/>
          <w:sz w:val="24"/>
          <w:szCs w:val="24"/>
          <w:highlight w:val="yellow"/>
          <w:lang w:eastAsia="it-IT"/>
          <w14:ligatures w14:val="none"/>
        </w:rPr>
        <w:lastRenderedPageBreak/>
        <w:t>Dopo aver espresso condivisione riguardo le riflessioni contenute negli interventi precedenti, il senatore </w:t>
      </w:r>
      <w:hyperlink r:id="rId9" w:tooltip="Il link apre una nuova finestra" w:history="1">
        <w:r w:rsidRPr="00F83410">
          <w:rPr>
            <w:rFonts w:ascii="Arial" w:eastAsia="Times New Roman" w:hAnsi="Arial" w:cs="Arial"/>
            <w:b/>
            <w:bCs/>
            <w:color w:val="0000FF"/>
            <w:kern w:val="0"/>
            <w:sz w:val="24"/>
            <w:szCs w:val="24"/>
            <w:highlight w:val="yellow"/>
            <w:u w:val="single"/>
            <w:lang w:eastAsia="it-IT"/>
            <w14:ligatures w14:val="none"/>
          </w:rPr>
          <w:t>ZULLO</w:t>
        </w:r>
      </w:hyperlink>
      <w:r w:rsidRPr="00F83410">
        <w:rPr>
          <w:rFonts w:ascii="Arial" w:eastAsia="Times New Roman" w:hAnsi="Arial" w:cs="Arial"/>
          <w:b/>
          <w:bCs/>
          <w:color w:val="000000"/>
          <w:kern w:val="0"/>
          <w:sz w:val="24"/>
          <w:szCs w:val="24"/>
          <w:highlight w:val="yellow"/>
          <w:lang w:eastAsia="it-IT"/>
          <w14:ligatures w14:val="none"/>
        </w:rPr>
        <w:t> (</w:t>
      </w:r>
      <w:proofErr w:type="spellStart"/>
      <w:r w:rsidRPr="00F83410">
        <w:rPr>
          <w:rFonts w:ascii="Arial" w:eastAsia="Times New Roman" w:hAnsi="Arial" w:cs="Arial"/>
          <w:b/>
          <w:bCs/>
          <w:i/>
          <w:iCs/>
          <w:color w:val="000000"/>
          <w:kern w:val="0"/>
          <w:sz w:val="24"/>
          <w:szCs w:val="24"/>
          <w:highlight w:val="yellow"/>
          <w:lang w:eastAsia="it-IT"/>
          <w14:ligatures w14:val="none"/>
        </w:rPr>
        <w:t>FdI</w:t>
      </w:r>
      <w:proofErr w:type="spellEnd"/>
      <w:r w:rsidRPr="00F83410">
        <w:rPr>
          <w:rFonts w:ascii="Arial" w:eastAsia="Times New Roman" w:hAnsi="Arial" w:cs="Arial"/>
          <w:b/>
          <w:bCs/>
          <w:color w:val="000000"/>
          <w:kern w:val="0"/>
          <w:sz w:val="24"/>
          <w:szCs w:val="24"/>
          <w:highlight w:val="yellow"/>
          <w:lang w:eastAsia="it-IT"/>
          <w14:ligatures w14:val="none"/>
        </w:rPr>
        <w:t>) sottolinea l'opportunità di procedere a un complessivo approfondimento della materia, da compiere a partire dalle audizioni.</w:t>
      </w:r>
      <w:r w:rsidRPr="00F83410">
        <w:rPr>
          <w:rFonts w:ascii="Arial" w:eastAsia="Times New Roman" w:hAnsi="Arial" w:cs="Arial"/>
          <w:b/>
          <w:bCs/>
          <w:color w:val="000000"/>
          <w:kern w:val="0"/>
          <w:sz w:val="24"/>
          <w:szCs w:val="24"/>
          <w:lang w:eastAsia="it-IT"/>
          <w14:ligatures w14:val="none"/>
        </w:rPr>
        <w:t xml:space="preserve"> </w:t>
      </w:r>
      <w:r w:rsidRPr="00F83410">
        <w:rPr>
          <w:rFonts w:ascii="Arial" w:eastAsia="Times New Roman" w:hAnsi="Arial" w:cs="Arial"/>
          <w:color w:val="000000"/>
          <w:kern w:val="0"/>
          <w:sz w:val="24"/>
          <w:szCs w:val="24"/>
          <w:lang w:eastAsia="it-IT"/>
          <w14:ligatures w14:val="none"/>
        </w:rPr>
        <w:t>Richiama quindi la complessità delle cause dei disturbi del comportamento alimentare, che non possono costituire oggetto di iniziativa legislativa. Fa inoltre presente la disponibilità di risorse destinate a fronteggiare l'emergenza oggetto del provvedimento, la cui efficacia è compromessa dalla quota eccessivamente bassa della spesa effettiva.</w:t>
      </w:r>
    </w:p>
    <w:p w14:paraId="03C5AB7B"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Il complesso dei disturbi del comportamento alimentare, fra i quali ha notevole rilevanza la bulimia, pone l'esigenza di attivare strutture dedicate nelle regioni. Una riflessione specifica deve inoltre essere dedicata alla questione dell'istigazione, che il disegno di legge in titolo affronta ricorrendo alla previsione di una specifica figura di reato.</w:t>
      </w:r>
    </w:p>
    <w:p w14:paraId="515047E7"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 senatrice </w:t>
      </w:r>
      <w:hyperlink r:id="rId10" w:tooltip="Il link apre una nuova finestra" w:history="1">
        <w:r w:rsidRPr="00F83410">
          <w:rPr>
            <w:rFonts w:ascii="Arial" w:eastAsia="Times New Roman" w:hAnsi="Arial" w:cs="Arial"/>
            <w:color w:val="0000FF"/>
            <w:kern w:val="0"/>
            <w:sz w:val="24"/>
            <w:szCs w:val="24"/>
            <w:u w:val="single"/>
            <w:lang w:eastAsia="it-IT"/>
            <w14:ligatures w14:val="none"/>
          </w:rPr>
          <w:t>MURELLI</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i/>
          <w:iCs/>
          <w:color w:val="000000"/>
          <w:kern w:val="0"/>
          <w:sz w:val="24"/>
          <w:szCs w:val="24"/>
          <w:lang w:eastAsia="it-IT"/>
          <w14:ligatures w14:val="none"/>
        </w:rPr>
        <w:t>LSP-</w:t>
      </w:r>
      <w:proofErr w:type="spellStart"/>
      <w:r w:rsidRPr="00F83410">
        <w:rPr>
          <w:rFonts w:ascii="Arial" w:eastAsia="Times New Roman" w:hAnsi="Arial" w:cs="Arial"/>
          <w:i/>
          <w:iCs/>
          <w:color w:val="000000"/>
          <w:kern w:val="0"/>
          <w:sz w:val="24"/>
          <w:szCs w:val="24"/>
          <w:lang w:eastAsia="it-IT"/>
          <w14:ligatures w14:val="none"/>
        </w:rPr>
        <w:t>PSd'Az</w:t>
      </w:r>
      <w:proofErr w:type="spellEnd"/>
      <w:r w:rsidRPr="00F83410">
        <w:rPr>
          <w:rFonts w:ascii="Arial" w:eastAsia="Times New Roman" w:hAnsi="Arial" w:cs="Arial"/>
          <w:color w:val="000000"/>
          <w:kern w:val="0"/>
          <w:sz w:val="24"/>
          <w:szCs w:val="24"/>
          <w:lang w:eastAsia="it-IT"/>
          <w14:ligatures w14:val="none"/>
        </w:rPr>
        <w:t>) si associa alle considerazioni già svolte e sollecita un esame specifico in merito alla capacità di spesa delle diverse regioni e ai connessi esiti, con la finalità di individuare strumenti idonei a migliorare le possibilità operative delle realtà con le maggiori carenze.</w:t>
      </w:r>
    </w:p>
    <w:p w14:paraId="0FE347EE"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Dopo aver suggerito l'opportunità di una ponderazione riguardo le disposizioni concernenti la figura di reato, esprime una valutazione positiva in merito all'articolo 4, concernente l'intervento sulle risorse </w:t>
      </w:r>
      <w:r w:rsidRPr="00F83410">
        <w:rPr>
          <w:rFonts w:ascii="Arial" w:eastAsia="Times New Roman" w:hAnsi="Arial" w:cs="Arial"/>
          <w:i/>
          <w:iCs/>
          <w:color w:val="000000"/>
          <w:kern w:val="0"/>
          <w:sz w:val="24"/>
          <w:szCs w:val="24"/>
          <w:lang w:eastAsia="it-IT"/>
          <w14:ligatures w14:val="none"/>
        </w:rPr>
        <w:t>internet</w:t>
      </w:r>
      <w:r w:rsidRPr="00F83410">
        <w:rPr>
          <w:rFonts w:ascii="Arial" w:eastAsia="Times New Roman" w:hAnsi="Arial" w:cs="Arial"/>
          <w:color w:val="000000"/>
          <w:kern w:val="0"/>
          <w:sz w:val="24"/>
          <w:szCs w:val="24"/>
          <w:lang w:eastAsia="it-IT"/>
          <w14:ligatures w14:val="none"/>
        </w:rPr>
        <w:t> che possono contribuire a innescare disturbi del comportamento alimentare.</w:t>
      </w:r>
    </w:p>
    <w:p w14:paraId="1D4B353A"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highlight w:val="yellow"/>
          <w:lang w:eastAsia="it-IT"/>
          <w14:ligatures w14:val="none"/>
        </w:rPr>
        <w:t>Nel richiamare la propria sensibilità personale nei confronti della materia del disegno di legge in discussione, il presidente </w:t>
      </w:r>
      <w:hyperlink r:id="rId11" w:tooltip="Il link apre una nuova finestra" w:history="1">
        <w:r w:rsidRPr="00F83410">
          <w:rPr>
            <w:rFonts w:ascii="Arial" w:eastAsia="Times New Roman" w:hAnsi="Arial" w:cs="Arial"/>
            <w:b/>
            <w:bCs/>
            <w:color w:val="0000FF"/>
            <w:kern w:val="0"/>
            <w:sz w:val="24"/>
            <w:szCs w:val="24"/>
            <w:highlight w:val="yellow"/>
            <w:u w:val="single"/>
            <w:lang w:eastAsia="it-IT"/>
            <w14:ligatures w14:val="none"/>
          </w:rPr>
          <w:t>ZAFFINI</w:t>
        </w:r>
      </w:hyperlink>
      <w:r w:rsidRPr="00F83410">
        <w:rPr>
          <w:rFonts w:ascii="Arial" w:eastAsia="Times New Roman" w:hAnsi="Arial" w:cs="Arial"/>
          <w:b/>
          <w:bCs/>
          <w:color w:val="000000"/>
          <w:kern w:val="0"/>
          <w:sz w:val="24"/>
          <w:szCs w:val="24"/>
          <w:highlight w:val="yellow"/>
          <w:lang w:eastAsia="it-IT"/>
          <w14:ligatures w14:val="none"/>
        </w:rPr>
        <w:t> (</w:t>
      </w:r>
      <w:proofErr w:type="spellStart"/>
      <w:r w:rsidRPr="00F83410">
        <w:rPr>
          <w:rFonts w:ascii="Arial" w:eastAsia="Times New Roman" w:hAnsi="Arial" w:cs="Arial"/>
          <w:b/>
          <w:bCs/>
          <w:i/>
          <w:iCs/>
          <w:color w:val="000000"/>
          <w:kern w:val="0"/>
          <w:sz w:val="24"/>
          <w:szCs w:val="24"/>
          <w:highlight w:val="yellow"/>
          <w:lang w:eastAsia="it-IT"/>
          <w14:ligatures w14:val="none"/>
        </w:rPr>
        <w:t>FdI</w:t>
      </w:r>
      <w:proofErr w:type="spellEnd"/>
      <w:r w:rsidRPr="00F83410">
        <w:rPr>
          <w:rFonts w:ascii="Arial" w:eastAsia="Times New Roman" w:hAnsi="Arial" w:cs="Arial"/>
          <w:b/>
          <w:bCs/>
          <w:color w:val="000000"/>
          <w:kern w:val="0"/>
          <w:sz w:val="24"/>
          <w:szCs w:val="24"/>
          <w:highlight w:val="yellow"/>
          <w:lang w:eastAsia="it-IT"/>
          <w14:ligatures w14:val="none"/>
        </w:rPr>
        <w:t>) fa presente la difficoltà concreta nell'individuare soluzioni terapeutiche efficaci e definitive nei casi di anoressia nervosa. Condivide inoltre l'opportunità di una riflessione specifica riguardo il reato di istigazione, tenuto conto delle enormi potenzialità di internet nei confronti della diffusione del fenomeno. Sottolinea inoltre che le carenze nei servizi dedicati sono dovute alla bassa capacità di spesa delle regioni, mentre la dotazione di risorse, non oggetto di tagli, è destinata a essere aumentata, come annunciato dal Ministro della salute.</w:t>
      </w:r>
    </w:p>
    <w:p w14:paraId="6945BBA6"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 senatrice </w:t>
      </w:r>
      <w:hyperlink r:id="rId12" w:tooltip="Il link apre una nuova finestra" w:history="1">
        <w:r w:rsidRPr="00F83410">
          <w:rPr>
            <w:rFonts w:ascii="Arial" w:eastAsia="Times New Roman" w:hAnsi="Arial" w:cs="Arial"/>
            <w:color w:val="0000FF"/>
            <w:kern w:val="0"/>
            <w:sz w:val="24"/>
            <w:szCs w:val="24"/>
            <w:u w:val="single"/>
            <w:lang w:eastAsia="it-IT"/>
            <w14:ligatures w14:val="none"/>
          </w:rPr>
          <w:t>ZAMPA</w:t>
        </w:r>
      </w:hyperlink>
      <w:r w:rsidRPr="00F83410">
        <w:rPr>
          <w:rFonts w:ascii="Arial" w:eastAsia="Times New Roman" w:hAnsi="Arial" w:cs="Arial"/>
          <w:color w:val="000000"/>
          <w:kern w:val="0"/>
          <w:sz w:val="24"/>
          <w:szCs w:val="24"/>
          <w:lang w:eastAsia="it-IT"/>
          <w14:ligatures w14:val="none"/>
        </w:rPr>
        <w:t> (</w:t>
      </w:r>
      <w:r w:rsidRPr="00F83410">
        <w:rPr>
          <w:rFonts w:ascii="Arial" w:eastAsia="Times New Roman" w:hAnsi="Arial" w:cs="Arial"/>
          <w:i/>
          <w:iCs/>
          <w:color w:val="000000"/>
          <w:kern w:val="0"/>
          <w:sz w:val="24"/>
          <w:szCs w:val="24"/>
          <w:lang w:eastAsia="it-IT"/>
          <w14:ligatures w14:val="none"/>
        </w:rPr>
        <w:t>PD-IDP</w:t>
      </w:r>
      <w:r w:rsidRPr="00F83410">
        <w:rPr>
          <w:rFonts w:ascii="Arial" w:eastAsia="Times New Roman" w:hAnsi="Arial" w:cs="Arial"/>
          <w:color w:val="000000"/>
          <w:kern w:val="0"/>
          <w:sz w:val="24"/>
          <w:szCs w:val="24"/>
          <w:lang w:eastAsia="it-IT"/>
          <w14:ligatures w14:val="none"/>
        </w:rPr>
        <w:t>) ritiene imprescindibile che le audizioni consentano di comprendere le specificità delle diverse realtà territoriali in ordine all'organizzazione dei servizi di salute mentale, alla capacità di spesa e ai tassi di successo correlati. La fase di ascolto nel quadro delle audizioni dovrebbe inoltre comprendere le associazioni delle famiglie.</w:t>
      </w:r>
    </w:p>
    <w:p w14:paraId="333CB762" w14:textId="77777777" w:rsidR="00F83410" w:rsidRPr="00F83410" w:rsidRDefault="00F83410" w:rsidP="00F83410">
      <w:pPr>
        <w:shd w:val="clear" w:color="auto" w:fill="FFFFFF"/>
        <w:spacing w:before="30" w:after="30" w:line="240" w:lineRule="auto"/>
        <w:ind w:left="-195"/>
        <w:rPr>
          <w:rFonts w:ascii="Arial" w:eastAsia="Times New Roman" w:hAnsi="Arial" w:cs="Arial"/>
          <w:b/>
          <w:bCs/>
          <w:color w:val="000000"/>
          <w:kern w:val="0"/>
          <w:sz w:val="36"/>
          <w:szCs w:val="36"/>
          <w:lang w:eastAsia="it-IT"/>
          <w14:ligatures w14:val="none"/>
        </w:rPr>
      </w:pPr>
      <w:r w:rsidRPr="00F83410">
        <w:rPr>
          <w:rFonts w:ascii="Arial" w:eastAsia="Times New Roman" w:hAnsi="Arial" w:cs="Arial"/>
          <w:b/>
          <w:bCs/>
          <w:color w:val="000000"/>
          <w:kern w:val="0"/>
          <w:sz w:val="36"/>
          <w:szCs w:val="36"/>
          <w:highlight w:val="yellow"/>
          <w:lang w:eastAsia="it-IT"/>
          <w14:ligatures w14:val="none"/>
        </w:rPr>
        <w:t>Il presidente </w:t>
      </w:r>
      <w:hyperlink r:id="rId13" w:tooltip="Il link apre una nuova finestra" w:history="1">
        <w:r w:rsidRPr="00F83410">
          <w:rPr>
            <w:rFonts w:ascii="Arial" w:eastAsia="Times New Roman" w:hAnsi="Arial" w:cs="Arial"/>
            <w:b/>
            <w:bCs/>
            <w:color w:val="0000FF"/>
            <w:kern w:val="0"/>
            <w:sz w:val="36"/>
            <w:szCs w:val="36"/>
            <w:highlight w:val="yellow"/>
            <w:u w:val="single"/>
            <w:lang w:eastAsia="it-IT"/>
            <w14:ligatures w14:val="none"/>
          </w:rPr>
          <w:t>ZAFFINI</w:t>
        </w:r>
      </w:hyperlink>
      <w:r w:rsidRPr="00F83410">
        <w:rPr>
          <w:rFonts w:ascii="Arial" w:eastAsia="Times New Roman" w:hAnsi="Arial" w:cs="Arial"/>
          <w:b/>
          <w:bCs/>
          <w:color w:val="000000"/>
          <w:kern w:val="0"/>
          <w:sz w:val="36"/>
          <w:szCs w:val="36"/>
          <w:highlight w:val="yellow"/>
          <w:lang w:eastAsia="it-IT"/>
          <w14:ligatures w14:val="none"/>
        </w:rPr>
        <w:t xml:space="preserve"> propone di fissare alle ore 16 di mercoledì 24 gennaio il termine per segnalare i soggetti da </w:t>
      </w:r>
      <w:proofErr w:type="spellStart"/>
      <w:r w:rsidRPr="00F83410">
        <w:rPr>
          <w:rFonts w:ascii="Arial" w:eastAsia="Times New Roman" w:hAnsi="Arial" w:cs="Arial"/>
          <w:b/>
          <w:bCs/>
          <w:color w:val="000000"/>
          <w:kern w:val="0"/>
          <w:sz w:val="36"/>
          <w:szCs w:val="36"/>
          <w:highlight w:val="yellow"/>
          <w:lang w:eastAsia="it-IT"/>
          <w14:ligatures w14:val="none"/>
        </w:rPr>
        <w:t>audire</w:t>
      </w:r>
      <w:proofErr w:type="spellEnd"/>
      <w:r w:rsidRPr="00F83410">
        <w:rPr>
          <w:rFonts w:ascii="Arial" w:eastAsia="Times New Roman" w:hAnsi="Arial" w:cs="Arial"/>
          <w:b/>
          <w:bCs/>
          <w:color w:val="000000"/>
          <w:kern w:val="0"/>
          <w:sz w:val="36"/>
          <w:szCs w:val="36"/>
          <w:highlight w:val="yellow"/>
          <w:lang w:eastAsia="it-IT"/>
          <w14:ligatures w14:val="none"/>
        </w:rPr>
        <w:t>.</w:t>
      </w:r>
    </w:p>
    <w:p w14:paraId="3B53E98B"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La Commissione conviene.</w:t>
      </w:r>
    </w:p>
    <w:p w14:paraId="1D334327" w14:textId="77777777" w:rsidR="00F83410" w:rsidRPr="00F83410" w:rsidRDefault="00F83410" w:rsidP="00F83410">
      <w:pPr>
        <w:shd w:val="clear" w:color="auto" w:fill="FFFFFF"/>
        <w:spacing w:before="30" w:after="30" w:line="240" w:lineRule="auto"/>
        <w:ind w:left="-195"/>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Il seguito della discussione è quindi rinviato.</w:t>
      </w:r>
    </w:p>
    <w:p w14:paraId="1A21580E" w14:textId="77777777" w:rsidR="00F83410" w:rsidRPr="00F83410" w:rsidRDefault="00F83410" w:rsidP="00F83410">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F83410">
        <w:rPr>
          <w:rFonts w:ascii="Arial" w:eastAsia="Times New Roman" w:hAnsi="Arial" w:cs="Arial"/>
          <w:b/>
          <w:bCs/>
          <w:color w:val="000000"/>
          <w:kern w:val="36"/>
          <w:sz w:val="24"/>
          <w:szCs w:val="24"/>
          <w:lang w:eastAsia="it-IT"/>
          <w14:ligatures w14:val="none"/>
        </w:rPr>
        <w:t>Legislatura 19ª - Disegno di legge n. 599</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1930"/>
        <w:gridCol w:w="9670"/>
      </w:tblGrid>
      <w:tr w:rsidR="00F83410" w:rsidRPr="00F83410" w14:paraId="5268C0F7" w14:textId="77777777" w:rsidTr="00F83410">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0C3BE203" w14:textId="77777777" w:rsidR="00F83410" w:rsidRPr="00F83410" w:rsidRDefault="00F83410" w:rsidP="00F83410">
            <w:pPr>
              <w:spacing w:after="0" w:line="240" w:lineRule="auto"/>
              <w:rPr>
                <w:rFonts w:ascii="Arial" w:eastAsia="Times New Roman" w:hAnsi="Arial" w:cs="Arial"/>
                <w:kern w:val="0"/>
                <w:sz w:val="24"/>
                <w:szCs w:val="24"/>
                <w:lang w:eastAsia="it-IT"/>
                <w14:ligatures w14:val="none"/>
              </w:rPr>
            </w:pPr>
            <w:r w:rsidRPr="00F83410">
              <w:rPr>
                <w:rFonts w:ascii="Arial" w:eastAsia="Times New Roman" w:hAnsi="Arial" w:cs="Arial"/>
                <w:kern w:val="0"/>
                <w:sz w:val="24"/>
                <w:szCs w:val="24"/>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705A4728" w14:textId="77777777" w:rsidR="00F83410" w:rsidRPr="00F83410" w:rsidRDefault="00F83410" w:rsidP="00F83410">
            <w:pPr>
              <w:spacing w:after="0" w:line="240" w:lineRule="auto"/>
              <w:jc w:val="right"/>
              <w:rPr>
                <w:rFonts w:ascii="Arial" w:eastAsia="Times New Roman" w:hAnsi="Arial" w:cs="Arial"/>
                <w:kern w:val="0"/>
                <w:sz w:val="24"/>
                <w:szCs w:val="24"/>
                <w:lang w:eastAsia="it-IT"/>
                <w14:ligatures w14:val="none"/>
              </w:rPr>
            </w:pPr>
            <w:r w:rsidRPr="00F83410">
              <w:rPr>
                <w:rFonts w:ascii="Arial" w:eastAsia="Times New Roman" w:hAnsi="Arial" w:cs="Arial"/>
                <w:kern w:val="0"/>
                <w:sz w:val="24"/>
                <w:szCs w:val="24"/>
                <w:lang w:eastAsia="it-IT"/>
                <w14:ligatures w14:val="none"/>
              </w:rPr>
              <w:t>XIX LEGISLATURA</w:t>
            </w:r>
          </w:p>
        </w:tc>
      </w:tr>
    </w:tbl>
    <w:p w14:paraId="17BFB241" w14:textId="77777777" w:rsidR="00F83410" w:rsidRPr="00F83410" w:rsidRDefault="00F83410" w:rsidP="00F83410">
      <w:pPr>
        <w:shd w:val="clear" w:color="auto" w:fill="FFFFFF"/>
        <w:spacing w:after="75" w:line="240" w:lineRule="auto"/>
        <w:jc w:val="right"/>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N. 599</w:t>
      </w:r>
    </w:p>
    <w:p w14:paraId="30261805" w14:textId="77777777" w:rsidR="00F83410" w:rsidRPr="00F83410" w:rsidRDefault="00F83410" w:rsidP="00F83410">
      <w:pPr>
        <w:shd w:val="clear" w:color="auto" w:fill="FFFFFF"/>
        <w:spacing w:line="240" w:lineRule="auto"/>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DISEGNO DI LEGGE</w:t>
      </w:r>
    </w:p>
    <w:p w14:paraId="40743854" w14:textId="77777777" w:rsidR="00F83410" w:rsidRPr="00F83410" w:rsidRDefault="00F83410" w:rsidP="00F83410">
      <w:pPr>
        <w:shd w:val="clear" w:color="auto" w:fill="FFFFFF"/>
        <w:spacing w:after="30" w:line="346" w:lineRule="atLeast"/>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d'iniziativa dei senatori BALBONI, MALAN, DE CARLO, RAPANI, AMIDEI, SPINELLI, DELLA PORTA, DE PRIAMO, PETRENGA, TUBETTI, FAROLFI, RUSSO, LEONARDI, CALANDRINI, ZULL</w:t>
      </w:r>
      <w:r w:rsidRPr="00F83410">
        <w:rPr>
          <w:rFonts w:ascii="Arial" w:eastAsia="Times New Roman" w:hAnsi="Arial" w:cs="Arial"/>
          <w:b/>
          <w:bCs/>
          <w:color w:val="000000"/>
          <w:kern w:val="0"/>
          <w:sz w:val="24"/>
          <w:szCs w:val="24"/>
          <w:lang w:eastAsia="it-IT"/>
          <w14:ligatures w14:val="none"/>
        </w:rPr>
        <w:lastRenderedPageBreak/>
        <w:t>O, MANCINI, ROSA, GUIDI, CAMPIONE, GELMETTI, LIRIS, MENNUNI, SILVESTRONI, AMBROGIO, IANNONE, FALLUCCHI, ORSOMARSO, BERRINO, TERZI DI SANT'AGATA, PETRUCCI, MARCHESCHI, MELCHIORRE, LISEI, NOCCO, ANCOROTTI e SIGISMONDI</w:t>
      </w:r>
      <w:r w:rsidRPr="00F83410">
        <w:rPr>
          <w:rFonts w:ascii="Arial" w:eastAsia="Times New Roman" w:hAnsi="Arial" w:cs="Arial"/>
          <w:b/>
          <w:bCs/>
          <w:color w:val="000000"/>
          <w:kern w:val="0"/>
          <w:sz w:val="24"/>
          <w:szCs w:val="24"/>
          <w:lang w:eastAsia="it-IT"/>
          <w14:ligatures w14:val="none"/>
        </w:rPr>
        <w:br w:type="textWrapping" w:clear="all"/>
      </w:r>
    </w:p>
    <w:p w14:paraId="45A1D76A" w14:textId="77777777" w:rsidR="00F83410" w:rsidRPr="00F83410" w:rsidRDefault="00F83410" w:rsidP="00F83410">
      <w:pPr>
        <w:shd w:val="clear" w:color="auto" w:fill="FFFFFF"/>
        <w:spacing w:before="150" w:after="150" w:line="240" w:lineRule="auto"/>
        <w:ind w:left="30"/>
        <w:rPr>
          <w:rFonts w:ascii="Arial" w:eastAsia="Times New Roman" w:hAnsi="Arial" w:cs="Arial"/>
          <w:i/>
          <w:iCs/>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COMUNICATO ALLA PRESIDENZA IL 14 MARZO 2023</w:t>
      </w:r>
    </w:p>
    <w:p w14:paraId="6CD1E2BC" w14:textId="77777777" w:rsidR="00F83410" w:rsidRPr="00F83410" w:rsidRDefault="00F83410" w:rsidP="00F83410">
      <w:pPr>
        <w:shd w:val="clear" w:color="auto" w:fill="FFFFFF"/>
        <w:spacing w:before="300" w:after="30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Disposizioni in materia di disturbi del comportamento alimentare</w:t>
      </w:r>
    </w:p>
    <w:p w14:paraId="4AF42F59"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smallCaps/>
          <w:color w:val="000000"/>
          <w:kern w:val="0"/>
          <w:sz w:val="24"/>
          <w:szCs w:val="24"/>
          <w:lang w:eastAsia="it-IT"/>
          <w14:ligatures w14:val="none"/>
        </w:rPr>
        <w:t>Onorevoli Senatori</w:t>
      </w:r>
      <w:r w:rsidRPr="00F83410">
        <w:rPr>
          <w:rFonts w:ascii="Arial" w:eastAsia="Times New Roman" w:hAnsi="Arial" w:cs="Arial"/>
          <w:color w:val="000000"/>
          <w:kern w:val="0"/>
          <w:sz w:val="24"/>
          <w:szCs w:val="24"/>
          <w:lang w:eastAsia="it-IT"/>
          <w14:ligatures w14:val="none"/>
        </w:rPr>
        <w:t>. – Nel corso delle passate legislature, in particolare la XVII e la XVIII, sono stati presentati disegni di legge finalizzati a garantire maggiore tutela nei confronti dei pazienti che presentano disturbi psichiatrici, nello specifico di disturbi del comportamento alimentare, soprattutto con riferimento a episodi di disturbi sviluppati a seguito di condotte istiganti da parte di soggetti terzi. Il testo attuale, ampliato e aggiornato rispetto alle versioni precedenti, supera le definizioni obsolete, amplia i disturbi psichiatrici riconosciuti dal Manuale diagnostico e statistico dei disturbi mentali (DSM-5) e rimuove i riferimenti espliciti a condotte e pratiche tipiche della sintomatologia dei disturbi alimentari, la cui diffusione potrebbe causare fenomeni di emulazione.</w:t>
      </w:r>
      <w:r w:rsidRPr="00F83410">
        <w:rPr>
          <w:rFonts w:ascii="Arial" w:eastAsia="Times New Roman" w:hAnsi="Arial" w:cs="Arial"/>
          <w:color w:val="000000"/>
          <w:kern w:val="0"/>
          <w:sz w:val="24"/>
          <w:szCs w:val="24"/>
          <w:lang w:eastAsia="it-IT"/>
          <w14:ligatures w14:val="none"/>
        </w:rPr>
        <w:br w:type="textWrapping" w:clear="all"/>
        <w:t>In particolare, il testo precedente (atto Senato n. 903 della XVIII legislatura) si riferiva in modo esplicito alle condotte di eliminazione, tipiche di anoressia nervosa e bulimia nervosa, utilizzate dai soggetti stessi per eliminare l'introito calorico derivante dal cibo ingerito, oltre ad indicare pratiche atte all'eliminazione del senso di fame; i fenomeni di emulazione sono tipici di questi disturbi e per i soggetti deboli e a rischio può essere dannoso, se non paradossalmente istigante, elencare o citare in modo chiaro e dettagliato le pratiche che rafforzano e istigano al mantenimento di tali disturbi.</w:t>
      </w:r>
      <w:r w:rsidRPr="00F83410">
        <w:rPr>
          <w:rFonts w:ascii="Arial" w:eastAsia="Times New Roman" w:hAnsi="Arial" w:cs="Arial"/>
          <w:color w:val="000000"/>
          <w:kern w:val="0"/>
          <w:sz w:val="24"/>
          <w:szCs w:val="24"/>
          <w:lang w:eastAsia="it-IT"/>
          <w14:ligatures w14:val="none"/>
        </w:rPr>
        <w:br w:type="textWrapping" w:clear="all"/>
        <w:t>Le dimensioni del fenomeno sono in costante crescita negli ultimi anni e gravemente accentuati a seguito della pandemia. L'età di esordio è in costante diminuzione e rappresenta una minaccia per la salute e la vita di una parte consistente della popolazione, soprattutto giovanile e femminile. I disturbi del comportamento alimentare sono disturbi psichiatrici invalidanti che compromettono notevolmente il funzionamento personale e sociale dell'individuo e impattano anche il suo sistema familiare.</w:t>
      </w:r>
      <w:r w:rsidRPr="00F83410">
        <w:rPr>
          <w:rFonts w:ascii="Arial" w:eastAsia="Times New Roman" w:hAnsi="Arial" w:cs="Arial"/>
          <w:color w:val="000000"/>
          <w:kern w:val="0"/>
          <w:sz w:val="24"/>
          <w:szCs w:val="24"/>
          <w:lang w:eastAsia="it-IT"/>
          <w14:ligatures w14:val="none"/>
        </w:rPr>
        <w:br w:type="textWrapping" w:clear="all"/>
        <w:t>I disturbi riconosciuti dal DSM-5 come disturbi dell'alimentazione e della nutrizione, sono: anoressia nervosa (AN), bulimia nervosa (BM), disturbo da alimentazione incontrollata o, più comunemente, </w:t>
      </w:r>
      <w:proofErr w:type="spellStart"/>
      <w:r w:rsidRPr="00F83410">
        <w:rPr>
          <w:rFonts w:ascii="Arial" w:eastAsia="Times New Roman" w:hAnsi="Arial" w:cs="Arial"/>
          <w:i/>
          <w:iCs/>
          <w:color w:val="000000"/>
          <w:kern w:val="0"/>
          <w:sz w:val="24"/>
          <w:szCs w:val="24"/>
          <w:lang w:eastAsia="it-IT"/>
          <w14:ligatures w14:val="none"/>
        </w:rPr>
        <w:t>Binge</w:t>
      </w:r>
      <w:proofErr w:type="spellEnd"/>
      <w:r w:rsidRPr="00F83410">
        <w:rPr>
          <w:rFonts w:ascii="Arial" w:eastAsia="Times New Roman" w:hAnsi="Arial" w:cs="Arial"/>
          <w:i/>
          <w:iCs/>
          <w:color w:val="000000"/>
          <w:kern w:val="0"/>
          <w:sz w:val="24"/>
          <w:szCs w:val="24"/>
          <w:lang w:eastAsia="it-IT"/>
          <w14:ligatures w14:val="none"/>
        </w:rPr>
        <w:t xml:space="preserve"> </w:t>
      </w:r>
      <w:proofErr w:type="spellStart"/>
      <w:r w:rsidRPr="00F83410">
        <w:rPr>
          <w:rFonts w:ascii="Arial" w:eastAsia="Times New Roman" w:hAnsi="Arial" w:cs="Arial"/>
          <w:i/>
          <w:iCs/>
          <w:color w:val="000000"/>
          <w:kern w:val="0"/>
          <w:sz w:val="24"/>
          <w:szCs w:val="24"/>
          <w:lang w:eastAsia="it-IT"/>
          <w14:ligatures w14:val="none"/>
        </w:rPr>
        <w:t>Eating</w:t>
      </w:r>
      <w:proofErr w:type="spellEnd"/>
      <w:r w:rsidRPr="00F83410">
        <w:rPr>
          <w:rFonts w:ascii="Arial" w:eastAsia="Times New Roman" w:hAnsi="Arial" w:cs="Arial"/>
          <w:i/>
          <w:iCs/>
          <w:color w:val="000000"/>
          <w:kern w:val="0"/>
          <w:sz w:val="24"/>
          <w:szCs w:val="24"/>
          <w:lang w:eastAsia="it-IT"/>
          <w14:ligatures w14:val="none"/>
        </w:rPr>
        <w:t xml:space="preserve"> Disorder</w:t>
      </w:r>
      <w:r w:rsidRPr="00F83410">
        <w:rPr>
          <w:rFonts w:ascii="Arial" w:eastAsia="Times New Roman" w:hAnsi="Arial" w:cs="Arial"/>
          <w:color w:val="000000"/>
          <w:kern w:val="0"/>
          <w:sz w:val="24"/>
          <w:szCs w:val="24"/>
          <w:lang w:eastAsia="it-IT"/>
          <w14:ligatures w14:val="none"/>
        </w:rPr>
        <w:t> (BED/DAI) e disturbo evitante/restrittivo (ARFID). L'età di esordio di questi disturbi è compresa tra i dodici e i venticinque anni e colpisce prevalentemente la popolazione di sesso femminile. Tuttavia, negli ultimi anni si è assistito ad un numero sempre maggiore di casi con soggetti di età inferiore ai dieci anni e di sesso maschile. La distribuzione di questi disturbi, che provocano la morte di migliaia di giovani ogni anno, è un riflesso dell'influenza esercitata da fattori biologici, ambientali, culturali e psicologici.</w:t>
      </w:r>
      <w:r w:rsidRPr="00F83410">
        <w:rPr>
          <w:rFonts w:ascii="Arial" w:eastAsia="Times New Roman" w:hAnsi="Arial" w:cs="Arial"/>
          <w:color w:val="000000"/>
          <w:kern w:val="0"/>
          <w:sz w:val="24"/>
          <w:szCs w:val="24"/>
          <w:lang w:eastAsia="it-IT"/>
          <w14:ligatures w14:val="none"/>
        </w:rPr>
        <w:br w:type="textWrapping" w:clear="all"/>
        <w:t>L'anoressia nervosa (AN) è un disturbo psichiatrico grave che si associa a un grande numero di condizioni patologiche e ad alti tassi di mortalità. È caratterizzata dall'incapacità di mantenere un peso minimo accettabile e dalla fobia di essere grassi o di poter ingrassare, che non si attenua nonostante il decremento ponderale. Il basso peso è accompagnato da una distorsione o da un difetto nella percezione del proprio peso e della propria immagine corporea, dall'importanza eccessiva attribuita al proprio peso e all'immagine corporea per quanto riguarda la valutazione personale, o dalla negazione della gravità della perdita di peso. Tra i sintomi psicologici si trovano l'insonnia, la depressione, l'ansia e pensieri di tipo ossessivo.</w:t>
      </w:r>
      <w:r w:rsidRPr="00F83410">
        <w:rPr>
          <w:rFonts w:ascii="Arial" w:eastAsia="Times New Roman" w:hAnsi="Arial" w:cs="Arial"/>
          <w:color w:val="000000"/>
          <w:kern w:val="0"/>
          <w:sz w:val="24"/>
          <w:szCs w:val="24"/>
          <w:lang w:eastAsia="it-IT"/>
          <w14:ligatures w14:val="none"/>
        </w:rPr>
        <w:br w:type="textWrapping" w:clear="all"/>
      </w:r>
      <w:r w:rsidRPr="00F83410">
        <w:rPr>
          <w:rFonts w:ascii="Arial" w:eastAsia="Times New Roman" w:hAnsi="Arial" w:cs="Arial"/>
          <w:color w:val="000000"/>
          <w:kern w:val="0"/>
          <w:sz w:val="24"/>
          <w:szCs w:val="24"/>
          <w:lang w:eastAsia="it-IT"/>
          <w14:ligatures w14:val="none"/>
        </w:rPr>
        <w:lastRenderedPageBreak/>
        <w:t>I soggetti che soddisfano i criteri diagnostici necessari per la diagnosi della bulimia nervosa (BM) realizzano abbuffate e comportamenti compensatori, per eliminare le calorie ingerite, durante un periodo di alcuni mesi. Tale patologia è caratterizzata dalla paura di aumentare di peso e dall'importanza eccessiva attribuita al proprio peso e alla propria immagine corporea come elementi determinanti che la persona attribuisce a sé stessa.</w:t>
      </w:r>
      <w:r w:rsidRPr="00F83410">
        <w:rPr>
          <w:rFonts w:ascii="Arial" w:eastAsia="Times New Roman" w:hAnsi="Arial" w:cs="Arial"/>
          <w:color w:val="000000"/>
          <w:kern w:val="0"/>
          <w:sz w:val="24"/>
          <w:szCs w:val="24"/>
          <w:lang w:eastAsia="it-IT"/>
          <w14:ligatures w14:val="none"/>
        </w:rPr>
        <w:br w:type="textWrapping" w:clear="all"/>
        <w:t>Il disturbo da alimentazione incontrollata (DAI) si caratterizza per la presenza di episodi di ingestione di una grande quantità di cibo con soggettiva perdita di controllo, senza la presenza simultanea di comportamenti compensatori.</w:t>
      </w:r>
      <w:r w:rsidRPr="00F83410">
        <w:rPr>
          <w:rFonts w:ascii="Arial" w:eastAsia="Times New Roman" w:hAnsi="Arial" w:cs="Arial"/>
          <w:color w:val="000000"/>
          <w:kern w:val="0"/>
          <w:sz w:val="24"/>
          <w:szCs w:val="24"/>
          <w:lang w:eastAsia="it-IT"/>
          <w14:ligatures w14:val="none"/>
        </w:rPr>
        <w:br w:type="textWrapping" w:clear="all"/>
        <w:t>Il disturbo evitante/restrittivo dell'alimentazione (ARFID) descrive un disturbo caratterizzato dal ricorso considerevole a comportamenti di tipo restrittivo rispetto all'ingestione di cibo. La restrizione del cibo è legata alle caratteristiche sensoriali, a paure associate all'ingestione o alla mancanza di interesse.</w:t>
      </w:r>
      <w:r w:rsidRPr="00F83410">
        <w:rPr>
          <w:rFonts w:ascii="Arial" w:eastAsia="Times New Roman" w:hAnsi="Arial" w:cs="Arial"/>
          <w:color w:val="000000"/>
          <w:kern w:val="0"/>
          <w:sz w:val="24"/>
          <w:szCs w:val="24"/>
          <w:lang w:eastAsia="it-IT"/>
          <w14:ligatures w14:val="none"/>
        </w:rPr>
        <w:br w:type="textWrapping" w:clear="all"/>
        <w:t xml:space="preserve">Da un punto di vista generale i fattori </w:t>
      </w:r>
      <w:proofErr w:type="gramStart"/>
      <w:r w:rsidRPr="00F83410">
        <w:rPr>
          <w:rFonts w:ascii="Arial" w:eastAsia="Times New Roman" w:hAnsi="Arial" w:cs="Arial"/>
          <w:color w:val="000000"/>
          <w:kern w:val="0"/>
          <w:sz w:val="24"/>
          <w:szCs w:val="24"/>
          <w:lang w:eastAsia="it-IT"/>
          <w14:ligatures w14:val="none"/>
        </w:rPr>
        <w:t>socio-culturali</w:t>
      </w:r>
      <w:proofErr w:type="gramEnd"/>
      <w:r w:rsidRPr="00F83410">
        <w:rPr>
          <w:rFonts w:ascii="Arial" w:eastAsia="Times New Roman" w:hAnsi="Arial" w:cs="Arial"/>
          <w:color w:val="000000"/>
          <w:kern w:val="0"/>
          <w:sz w:val="24"/>
          <w:szCs w:val="24"/>
          <w:lang w:eastAsia="it-IT"/>
          <w14:ligatures w14:val="none"/>
        </w:rPr>
        <w:t xml:space="preserve"> rappresentano i fattori di rischio base per lo sviluppo di un disturbo psicopatologico. Gli studi realizzati a partire dalla prospettiva </w:t>
      </w:r>
      <w:proofErr w:type="gramStart"/>
      <w:r w:rsidRPr="00F83410">
        <w:rPr>
          <w:rFonts w:ascii="Arial" w:eastAsia="Times New Roman" w:hAnsi="Arial" w:cs="Arial"/>
          <w:color w:val="000000"/>
          <w:kern w:val="0"/>
          <w:sz w:val="24"/>
          <w:szCs w:val="24"/>
          <w:lang w:eastAsia="it-IT"/>
          <w14:ligatures w14:val="none"/>
        </w:rPr>
        <w:t>socio-culturale</w:t>
      </w:r>
      <w:proofErr w:type="gramEnd"/>
      <w:r w:rsidRPr="00F83410">
        <w:rPr>
          <w:rFonts w:ascii="Arial" w:eastAsia="Times New Roman" w:hAnsi="Arial" w:cs="Arial"/>
          <w:color w:val="000000"/>
          <w:kern w:val="0"/>
          <w:sz w:val="24"/>
          <w:szCs w:val="24"/>
          <w:lang w:eastAsia="it-IT"/>
          <w14:ligatures w14:val="none"/>
        </w:rPr>
        <w:t xml:space="preserve"> suggeriscono che non è la presenza di un semplice fattore che può influire sull'esordio di questi disturbi, bensì la relazione complessa tra numerose variabili, quali l'abbondanza di cibo disponibile, uno stile di vita sempre più sedentario, un ideale di bellezza imposto dalla società che, attualmente, esalta la magrezza. Oltre a ciò, è possibile osservare che gli effetti della modernizzazione hanno fatto sì che i tradizionali ruoli di genere siano stati messi in dubbio generando grande instabilità, in quanto, metterebbero in discussione i modelli associati al genere e alle aspettative della società nei confronti degli stessi. La dinamica che caratterizza questa transizione aumenta la probabilità di esordio dei disturbi dell'alimentazione a causa del rapido cambiamento relativo alle aspettative legate al ruolo e alle norme sociali, privando i giovani di modelli da seguire e imponendo loro ulteriori sfide allo sviluppo individuale.</w:t>
      </w:r>
      <w:r w:rsidRPr="00F83410">
        <w:rPr>
          <w:rFonts w:ascii="Arial" w:eastAsia="Times New Roman" w:hAnsi="Arial" w:cs="Arial"/>
          <w:color w:val="000000"/>
          <w:kern w:val="0"/>
          <w:sz w:val="24"/>
          <w:szCs w:val="24"/>
          <w:lang w:eastAsia="it-IT"/>
          <w14:ligatures w14:val="none"/>
        </w:rPr>
        <w:br w:type="textWrapping" w:clear="all"/>
        <w:t>I dati relativi agli aspetti genetici suggeriscono che parte del rischio di soffrire di questi disturbi dipende dall'influenza ereditaria. Potenziali fattori di rischio per lo sviluppo dell'anoressia nervosa sono il perfezionismo, l'affettività negativa, i conflitti familiari, </w:t>
      </w:r>
      <w:r w:rsidRPr="00F83410">
        <w:rPr>
          <w:rFonts w:ascii="Arial" w:eastAsia="Times New Roman" w:hAnsi="Arial" w:cs="Arial"/>
          <w:i/>
          <w:iCs/>
          <w:color w:val="000000"/>
          <w:kern w:val="0"/>
          <w:sz w:val="24"/>
          <w:szCs w:val="24"/>
          <w:lang w:eastAsia="it-IT"/>
          <w14:ligatures w14:val="none"/>
        </w:rPr>
        <w:t>standard</w:t>
      </w:r>
      <w:r w:rsidRPr="00F83410">
        <w:rPr>
          <w:rFonts w:ascii="Arial" w:eastAsia="Times New Roman" w:hAnsi="Arial" w:cs="Arial"/>
          <w:color w:val="000000"/>
          <w:kern w:val="0"/>
          <w:sz w:val="24"/>
          <w:szCs w:val="24"/>
          <w:lang w:eastAsia="it-IT"/>
          <w14:ligatures w14:val="none"/>
        </w:rPr>
        <w:t> elevati imposti dai genitori, o la violenza fisica e sessuale durante l'infanzia. Lo sviluppo della bulimia nervosa e del disturbo da alimentazione incontrollata è legato alla vulnerabilità genetica, all'obesità in età infantile, all'immagine corporea distorta, alla violenza sessuale e all'esposizione prolungata a situazioni negative in ambito familiare, all'ansia sociale, alla bassa autostima e all'impulsività.</w:t>
      </w:r>
      <w:r w:rsidRPr="00F83410">
        <w:rPr>
          <w:rFonts w:ascii="Arial" w:eastAsia="Times New Roman" w:hAnsi="Arial" w:cs="Arial"/>
          <w:color w:val="000000"/>
          <w:kern w:val="0"/>
          <w:sz w:val="24"/>
          <w:szCs w:val="24"/>
          <w:lang w:eastAsia="it-IT"/>
          <w14:ligatures w14:val="none"/>
        </w:rPr>
        <w:br w:type="textWrapping" w:clear="all"/>
        <w:t>Dal punto di vista medico la prevenzione può essere attuata nella scuola con l'introduzione di specifici corsi per insegnanti, al fine di migliorare le loro conoscenze di questi disturbi, e con il supporto di uno psicologo scolastico che permetta di diagnosticare tempestivamente la malattia e porvi gli opportuni rimedi. Lo Stato e le regioni possono intervenire nella fase della prevenzione e della cura fornendo ai cittadini opportuni rimedi sul piano sanitario e un percorso di cure multidisciplinare che comprenda figure quali: psicologo e psicoterapeuta, psichiatra e nutrizionista. Sempre sul piano dell'approccio multidisciplinare si dovrebbe fornire aiuto gratuito alle famiglie e ai soggetti colpiti da questi gravi disturbi, che possono portare alla morte.</w:t>
      </w:r>
      <w:r w:rsidRPr="00F83410">
        <w:rPr>
          <w:rFonts w:ascii="Arial" w:eastAsia="Times New Roman" w:hAnsi="Arial" w:cs="Arial"/>
          <w:color w:val="000000"/>
          <w:kern w:val="0"/>
          <w:sz w:val="24"/>
          <w:szCs w:val="24"/>
          <w:lang w:eastAsia="it-IT"/>
          <w14:ligatures w14:val="none"/>
        </w:rPr>
        <w:br w:type="textWrapping" w:clear="all"/>
        <w:t>Ecco il perché di questo disegno di legge che, nel rispetto del titolo V della parte seconda della Costituzione, propone idonei interventi sotto il profilo della prevenzione e della cura degli individui affetti dai disturbi del comportamento alimentare, che rischiano di svilupparsi negli adolescenti a ritmo vertiginoso.</w:t>
      </w:r>
      <w:r w:rsidRPr="00F83410">
        <w:rPr>
          <w:rFonts w:ascii="Arial" w:eastAsia="Times New Roman" w:hAnsi="Arial" w:cs="Arial"/>
          <w:color w:val="000000"/>
          <w:kern w:val="0"/>
          <w:sz w:val="24"/>
          <w:szCs w:val="24"/>
          <w:lang w:eastAsia="it-IT"/>
          <w14:ligatures w14:val="none"/>
        </w:rPr>
        <w:br w:type="textWrapping" w:clear="all"/>
        <w:t xml:space="preserve">Si calcola che attualmente nel nostro paese siano 3.000.000 i soggetti affetti da questi disturbi, circa il 5 per cento della popolazione italiana, di cui il 96,4 per cento sono donne. Ogni anno i disturbi alimentari provocano la morte di 4.000 giovani, collocandosi come seconda causa di morte dopo gli incidenti stradali, e dopo la pandemia si è registrato un aumento del 40 per cento dei casi. È quindi indispensabile intervenire, come recita la </w:t>
      </w:r>
      <w:r w:rsidRPr="00F83410">
        <w:rPr>
          <w:rFonts w:ascii="Arial" w:eastAsia="Times New Roman" w:hAnsi="Arial" w:cs="Arial"/>
          <w:color w:val="000000"/>
          <w:kern w:val="0"/>
          <w:sz w:val="24"/>
          <w:szCs w:val="24"/>
          <w:lang w:eastAsia="it-IT"/>
          <w14:ligatures w14:val="none"/>
        </w:rPr>
        <w:lastRenderedPageBreak/>
        <w:t>nostra Costituzione, che, all'articolo 32, prevede che la Repubblica tuteli la salute come fondamentale diritto dell'individuo e interesse della collettività.</w:t>
      </w:r>
      <w:r w:rsidRPr="00F83410">
        <w:rPr>
          <w:rFonts w:ascii="Arial" w:eastAsia="Times New Roman" w:hAnsi="Arial" w:cs="Arial"/>
          <w:color w:val="000000"/>
          <w:kern w:val="0"/>
          <w:sz w:val="24"/>
          <w:szCs w:val="24"/>
          <w:lang w:eastAsia="it-IT"/>
          <w14:ligatures w14:val="none"/>
        </w:rPr>
        <w:br w:type="textWrapping" w:clear="all"/>
        <w:t>Il presente disegno di legge non ha l'ambizione di agire sulle cause profonde che causano lo sviluppo di questi disturbi, tuttavia offre la possibilità di contrastarne in modo concreto la diffusione e la promozione, e di riconoscerli come malattie sociali.</w:t>
      </w:r>
      <w:r w:rsidRPr="00F83410">
        <w:rPr>
          <w:rFonts w:ascii="Arial" w:eastAsia="Times New Roman" w:hAnsi="Arial" w:cs="Arial"/>
          <w:color w:val="000000"/>
          <w:kern w:val="0"/>
          <w:sz w:val="24"/>
          <w:szCs w:val="24"/>
          <w:lang w:eastAsia="it-IT"/>
          <w14:ligatures w14:val="none"/>
        </w:rPr>
        <w:br w:type="textWrapping" w:clear="all"/>
        <w:t>Con l'individuazione del nuovo reato di istigazione a pratiche alimentari idonee a provocare un disturbo alimentare si dovrebbe permettere alle Forze dell'ordine di agire in modo tempestivo, e di mettere in atto una serie di misure di contrasto all'incitamento a comportamenti alimentari che possono minacciare gravemente la salute, fino a compromettere in modo irreversibile l'integrità psicofisica delle persone colpite e, nei casi più estremi, a provocarne la morte.</w:t>
      </w:r>
      <w:r w:rsidRPr="00F83410">
        <w:rPr>
          <w:rFonts w:ascii="Arial" w:eastAsia="Times New Roman" w:hAnsi="Arial" w:cs="Arial"/>
          <w:color w:val="000000"/>
          <w:kern w:val="0"/>
          <w:sz w:val="24"/>
          <w:szCs w:val="24"/>
          <w:lang w:eastAsia="it-IT"/>
          <w14:ligatures w14:val="none"/>
        </w:rPr>
        <w:br w:type="textWrapping" w:clear="all"/>
        <w:t>Nel dettaglio, il presente disegno di legge si compone di 5 articoli.</w:t>
      </w:r>
      <w:r w:rsidRPr="00F83410">
        <w:rPr>
          <w:rFonts w:ascii="Arial" w:eastAsia="Times New Roman" w:hAnsi="Arial" w:cs="Arial"/>
          <w:color w:val="000000"/>
          <w:kern w:val="0"/>
          <w:sz w:val="24"/>
          <w:szCs w:val="24"/>
          <w:lang w:eastAsia="it-IT"/>
          <w14:ligatures w14:val="none"/>
        </w:rPr>
        <w:br w:type="textWrapping" w:clear="all"/>
        <w:t>L'articolo 1 riconosce l'anoressia nervosa, la bulimia nervosa, il disturbo da alimentazione incontrollata e il disturbo evitante/restrittivo come malattie sociali, oltre a definirle nello specifico.</w:t>
      </w:r>
      <w:r w:rsidRPr="00F83410">
        <w:rPr>
          <w:rFonts w:ascii="Arial" w:eastAsia="Times New Roman" w:hAnsi="Arial" w:cs="Arial"/>
          <w:color w:val="000000"/>
          <w:kern w:val="0"/>
          <w:sz w:val="24"/>
          <w:szCs w:val="24"/>
          <w:lang w:eastAsia="it-IT"/>
          <w14:ligatures w14:val="none"/>
        </w:rPr>
        <w:br w:type="textWrapping" w:clear="all"/>
        <w:t>L'articolo 2 introduce nel codice penale il reato di istigazione a pratiche idonee a provocare un disturbo del comportamento alimentare.</w:t>
      </w:r>
      <w:r w:rsidRPr="00F83410">
        <w:rPr>
          <w:rFonts w:ascii="Arial" w:eastAsia="Times New Roman" w:hAnsi="Arial" w:cs="Arial"/>
          <w:color w:val="000000"/>
          <w:kern w:val="0"/>
          <w:sz w:val="24"/>
          <w:szCs w:val="24"/>
          <w:lang w:eastAsia="it-IT"/>
          <w14:ligatures w14:val="none"/>
        </w:rPr>
        <w:br w:type="textWrapping" w:clear="all"/>
        <w:t>L'articolo 3 prevede l'istituzione della Giornata nazionale contro i disturbi del comportamento alimentare.</w:t>
      </w:r>
      <w:r w:rsidRPr="00F83410">
        <w:rPr>
          <w:rFonts w:ascii="Arial" w:eastAsia="Times New Roman" w:hAnsi="Arial" w:cs="Arial"/>
          <w:color w:val="000000"/>
          <w:kern w:val="0"/>
          <w:sz w:val="24"/>
          <w:szCs w:val="24"/>
          <w:lang w:eastAsia="it-IT"/>
          <w14:ligatures w14:val="none"/>
        </w:rPr>
        <w:br w:type="textWrapping" w:clear="all"/>
        <w:t>L'articolo 4 istituisce un piano di interventi ad opera dello Stato, attraverso il Servizio sanitario nazionale, nonché delle regioni e delle province autonome di Trento e di Bolzano, allo scopo di prevenire e curare i disturbi alimentari. Inoltre, quanto al monitoraggio dei siti e dei canali </w:t>
      </w:r>
      <w:r w:rsidRPr="00F83410">
        <w:rPr>
          <w:rFonts w:ascii="Arial" w:eastAsia="Times New Roman" w:hAnsi="Arial" w:cs="Arial"/>
          <w:i/>
          <w:iCs/>
          <w:color w:val="000000"/>
          <w:kern w:val="0"/>
          <w:sz w:val="24"/>
          <w:szCs w:val="24"/>
          <w:lang w:eastAsia="it-IT"/>
          <w14:ligatures w14:val="none"/>
        </w:rPr>
        <w:t>social</w:t>
      </w:r>
      <w:r w:rsidRPr="00F83410">
        <w:rPr>
          <w:rFonts w:ascii="Arial" w:eastAsia="Times New Roman" w:hAnsi="Arial" w:cs="Arial"/>
          <w:color w:val="000000"/>
          <w:kern w:val="0"/>
          <w:sz w:val="24"/>
          <w:szCs w:val="24"/>
          <w:lang w:eastAsia="it-IT"/>
          <w14:ligatures w14:val="none"/>
        </w:rPr>
        <w:t> che riportano notizie che diffondono, tra i minori, messaggi suscettibili di rappresentare, per il loro contenuto, un concreto pericolo di istigazione al ricorso a condotte alimentari idonee a provocare disturbi alimentari, il comma 3 prevede che il Ministro dell'interno, di concerto con i Ministri della salute e del lavoro e delle politiche sociali e sentite le associazioni maggiormente rappresentative a livello nazionale dei fornitori di connettività alla rete </w:t>
      </w:r>
      <w:r w:rsidRPr="00F83410">
        <w:rPr>
          <w:rFonts w:ascii="Arial" w:eastAsia="Times New Roman" w:hAnsi="Arial" w:cs="Arial"/>
          <w:i/>
          <w:iCs/>
          <w:color w:val="000000"/>
          <w:kern w:val="0"/>
          <w:sz w:val="24"/>
          <w:szCs w:val="24"/>
          <w:lang w:eastAsia="it-IT"/>
          <w14:ligatures w14:val="none"/>
        </w:rPr>
        <w:t>internet,</w:t>
      </w:r>
      <w:r w:rsidRPr="00F83410">
        <w:rPr>
          <w:rFonts w:ascii="Arial" w:eastAsia="Times New Roman" w:hAnsi="Arial" w:cs="Arial"/>
          <w:color w:val="000000"/>
          <w:kern w:val="0"/>
          <w:sz w:val="24"/>
          <w:szCs w:val="24"/>
          <w:lang w:eastAsia="it-IT"/>
          <w14:ligatures w14:val="none"/>
        </w:rPr>
        <w:t> stabilisca con proprio decreto, da adottare entro sessanta giorni dalla data di entrata in vigore della legge, i criteri e le modalità per impedire l'accesso a tali siti, reindirizzando in forma anonima l'utente automaticamente al portale digitale www.disturbialimentarionline.it.</w:t>
      </w:r>
      <w:r w:rsidRPr="00F83410">
        <w:rPr>
          <w:rFonts w:ascii="Arial" w:eastAsia="Times New Roman" w:hAnsi="Arial" w:cs="Arial"/>
          <w:color w:val="000000"/>
          <w:kern w:val="0"/>
          <w:sz w:val="24"/>
          <w:szCs w:val="24"/>
          <w:lang w:eastAsia="it-IT"/>
          <w14:ligatures w14:val="none"/>
        </w:rPr>
        <w:br w:type="textWrapping" w:clear="all"/>
        <w:t>L'articolo 5 stabilisce che il Ministro della salute presenta alle Camere una relazione annuale sullo stato delle conoscenze e delle nuove acquisizioni scientifiche relative alle malattie sociali.</w:t>
      </w:r>
    </w:p>
    <w:p w14:paraId="14C93649" w14:textId="77777777" w:rsidR="00F83410" w:rsidRPr="00F83410" w:rsidRDefault="00F83410" w:rsidP="00F83410">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F83410">
        <w:rPr>
          <w:rFonts w:ascii="Arial" w:eastAsia="Times New Roman" w:hAnsi="Arial" w:cs="Arial"/>
          <w:b/>
          <w:bCs/>
          <w:color w:val="000000"/>
          <w:kern w:val="36"/>
          <w:sz w:val="24"/>
          <w:szCs w:val="24"/>
          <w:lang w:eastAsia="it-IT"/>
          <w14:ligatures w14:val="none"/>
        </w:rPr>
        <w:t>DISEGNO DI LEGGE</w:t>
      </w:r>
    </w:p>
    <w:p w14:paraId="063456E7" w14:textId="77777777" w:rsidR="00F83410" w:rsidRPr="00F83410" w:rsidRDefault="00F83410" w:rsidP="00F8341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Art. 1.</w:t>
      </w:r>
    </w:p>
    <w:p w14:paraId="20F6A13B" w14:textId="77777777" w:rsidR="00F83410" w:rsidRPr="00F83410" w:rsidRDefault="00F83410" w:rsidP="00F8341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(Definizioni)</w:t>
      </w:r>
    </w:p>
    <w:p w14:paraId="30940896" w14:textId="77777777" w:rsidR="00F83410" w:rsidRPr="00F83410" w:rsidRDefault="00F83410" w:rsidP="00F83410">
      <w:pPr>
        <w:shd w:val="clear" w:color="auto" w:fill="FFFFFF"/>
        <w:spacing w:before="30" w:after="30" w:line="240" w:lineRule="auto"/>
        <w:ind w:left="30"/>
        <w:rPr>
          <w:rFonts w:ascii="Arial" w:eastAsia="Times New Roman" w:hAnsi="Arial" w:cs="Arial"/>
          <w:b/>
          <w:bCs/>
          <w:color w:val="000000"/>
          <w:kern w:val="0"/>
          <w:sz w:val="24"/>
          <w:szCs w:val="24"/>
          <w:highlight w:val="cyan"/>
          <w:lang w:eastAsia="it-IT"/>
          <w14:ligatures w14:val="none"/>
        </w:rPr>
      </w:pPr>
      <w:r w:rsidRPr="00F83410">
        <w:rPr>
          <w:rFonts w:ascii="Arial" w:eastAsia="Times New Roman" w:hAnsi="Arial" w:cs="Arial"/>
          <w:b/>
          <w:bCs/>
          <w:color w:val="000000"/>
          <w:kern w:val="0"/>
          <w:sz w:val="24"/>
          <w:szCs w:val="24"/>
          <w:highlight w:val="cyan"/>
          <w:lang w:eastAsia="it-IT"/>
          <w14:ligatures w14:val="none"/>
        </w:rPr>
        <w:t>1. La presente legge riconosce come malattie sociali l'anoressia nervosa, la bulimia, il disturbo da alimentazione controllata ed il disturbo evitante/restrittivo, patologie rientranti nella categoria dei disturbi del comportamento alimentare.</w:t>
      </w:r>
    </w:p>
    <w:p w14:paraId="3A1A2627" w14:textId="77777777" w:rsidR="00F83410" w:rsidRPr="00F83410" w:rsidRDefault="00F83410" w:rsidP="00F83410">
      <w:pPr>
        <w:shd w:val="clear" w:color="auto" w:fill="FFFFFF"/>
        <w:spacing w:before="30" w:after="30" w:line="240" w:lineRule="auto"/>
        <w:ind w:left="30"/>
        <w:rPr>
          <w:rFonts w:ascii="Arial" w:eastAsia="Times New Roman" w:hAnsi="Arial" w:cs="Arial"/>
          <w:b/>
          <w:bCs/>
          <w:color w:val="000000"/>
          <w:kern w:val="0"/>
          <w:sz w:val="24"/>
          <w:szCs w:val="24"/>
          <w:highlight w:val="cyan"/>
          <w:lang w:eastAsia="it-IT"/>
          <w14:ligatures w14:val="none"/>
        </w:rPr>
      </w:pPr>
      <w:r w:rsidRPr="00F83410">
        <w:rPr>
          <w:rFonts w:ascii="Arial" w:eastAsia="Times New Roman" w:hAnsi="Arial" w:cs="Arial"/>
          <w:b/>
          <w:bCs/>
          <w:color w:val="000000"/>
          <w:kern w:val="0"/>
          <w:sz w:val="24"/>
          <w:szCs w:val="24"/>
          <w:highlight w:val="cyan"/>
          <w:lang w:eastAsia="it-IT"/>
          <w14:ligatures w14:val="none"/>
        </w:rPr>
        <w:t>2. Ai fini della presente legge, per « anoressia nervosa » si intende un disturbo psichiatrico grave caratterizzato dall'incapacità di mantenere un peso minimo accettabile e dalla fobia di essere grassi o di poter ingrassare nonostante il decremento ponderale.</w:t>
      </w:r>
    </w:p>
    <w:p w14:paraId="183680D5" w14:textId="77777777" w:rsidR="00F83410" w:rsidRPr="00F83410" w:rsidRDefault="00F83410" w:rsidP="00F83410">
      <w:pPr>
        <w:shd w:val="clear" w:color="auto" w:fill="FFFFFF"/>
        <w:spacing w:before="30" w:after="30" w:line="240" w:lineRule="auto"/>
        <w:ind w:left="30"/>
        <w:rPr>
          <w:rFonts w:ascii="Arial" w:eastAsia="Times New Roman" w:hAnsi="Arial" w:cs="Arial"/>
          <w:b/>
          <w:bCs/>
          <w:color w:val="000000"/>
          <w:kern w:val="0"/>
          <w:sz w:val="24"/>
          <w:szCs w:val="24"/>
          <w:highlight w:val="cyan"/>
          <w:lang w:eastAsia="it-IT"/>
          <w14:ligatures w14:val="none"/>
        </w:rPr>
      </w:pPr>
      <w:r w:rsidRPr="00F83410">
        <w:rPr>
          <w:rFonts w:ascii="Arial" w:eastAsia="Times New Roman" w:hAnsi="Arial" w:cs="Arial"/>
          <w:b/>
          <w:bCs/>
          <w:color w:val="000000"/>
          <w:kern w:val="0"/>
          <w:sz w:val="24"/>
          <w:szCs w:val="24"/>
          <w:highlight w:val="cyan"/>
          <w:lang w:eastAsia="it-IT"/>
          <w14:ligatures w14:val="none"/>
        </w:rPr>
        <w:t>3. Ai fini della presente legge, per « bulimia » si intende un disturbo del comportamento alimentare caratterizzato da fenomeni di assunzione di una quantità incontrollata di cibo e da comportamenti compensatori atti a eliminare le calorie ingerite.</w:t>
      </w:r>
    </w:p>
    <w:p w14:paraId="7DF93CF9" w14:textId="77777777" w:rsidR="00F83410" w:rsidRPr="00F83410" w:rsidRDefault="00F83410" w:rsidP="00F83410">
      <w:pPr>
        <w:shd w:val="clear" w:color="auto" w:fill="FFFFFF"/>
        <w:spacing w:before="30" w:after="30" w:line="240" w:lineRule="auto"/>
        <w:ind w:left="30"/>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highlight w:val="cyan"/>
          <w:lang w:eastAsia="it-IT"/>
          <w14:ligatures w14:val="none"/>
        </w:rPr>
        <w:t xml:space="preserve">4. Ai fini della presente legge, per « disturbo da alimentazione incontrollata » si intende un disturbo del comportamento alimentare caratterizzato dalla presenza di </w:t>
      </w:r>
      <w:r w:rsidRPr="00F83410">
        <w:rPr>
          <w:rFonts w:ascii="Arial" w:eastAsia="Times New Roman" w:hAnsi="Arial" w:cs="Arial"/>
          <w:b/>
          <w:bCs/>
          <w:color w:val="000000"/>
          <w:kern w:val="0"/>
          <w:sz w:val="24"/>
          <w:szCs w:val="24"/>
          <w:highlight w:val="cyan"/>
          <w:lang w:eastAsia="it-IT"/>
          <w14:ligatures w14:val="none"/>
        </w:rPr>
        <w:lastRenderedPageBreak/>
        <w:t>episodi di ingestione di una grande quantità di cibo, con soggettiva perdita di controllo, senza la presenza di comportamenti compensatori.</w:t>
      </w:r>
    </w:p>
    <w:p w14:paraId="5DA5153D" w14:textId="77777777" w:rsidR="00F83410" w:rsidRPr="00F83410" w:rsidRDefault="00F83410" w:rsidP="00F83410">
      <w:pPr>
        <w:shd w:val="clear" w:color="auto" w:fill="FFFFFF"/>
        <w:spacing w:before="30" w:after="30" w:line="240" w:lineRule="auto"/>
        <w:ind w:left="30"/>
        <w:rPr>
          <w:rFonts w:ascii="Arial" w:eastAsia="Times New Roman" w:hAnsi="Arial" w:cs="Arial"/>
          <w:b/>
          <w:bCs/>
          <w:color w:val="000000"/>
          <w:kern w:val="0"/>
          <w:sz w:val="24"/>
          <w:szCs w:val="24"/>
          <w:highlight w:val="cyan"/>
          <w:lang w:eastAsia="it-IT"/>
          <w14:ligatures w14:val="none"/>
        </w:rPr>
      </w:pPr>
      <w:r w:rsidRPr="00F83410">
        <w:rPr>
          <w:rFonts w:ascii="Arial" w:eastAsia="Times New Roman" w:hAnsi="Arial" w:cs="Arial"/>
          <w:b/>
          <w:bCs/>
          <w:color w:val="000000"/>
          <w:kern w:val="0"/>
          <w:sz w:val="24"/>
          <w:szCs w:val="24"/>
          <w:highlight w:val="cyan"/>
          <w:lang w:eastAsia="it-IT"/>
          <w14:ligatures w14:val="none"/>
        </w:rPr>
        <w:t>5. Ai fini della presente legge, per « disturbo evitante/restrittivo dell'alimentazione » si intende un disturbo caratterizzato dal ricorso considerevole a comportamenti restrittivi rispetto all'ingestione di cibo.</w:t>
      </w:r>
    </w:p>
    <w:p w14:paraId="212CBDDF" w14:textId="77777777" w:rsidR="00F83410" w:rsidRPr="00F83410" w:rsidRDefault="00F83410" w:rsidP="00F83410">
      <w:pPr>
        <w:shd w:val="clear" w:color="auto" w:fill="FFFFFF"/>
        <w:spacing w:before="30" w:after="150" w:line="240" w:lineRule="auto"/>
        <w:ind w:left="30"/>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highlight w:val="cyan"/>
          <w:lang w:eastAsia="it-IT"/>
          <w14:ligatures w14:val="none"/>
        </w:rPr>
        <w:t>6. Il Ministro della salute provvede, con proprio decreto, da adottare entro sessanta giorni dalla data di entrata in vigore della presente legge, a inserire i disturbi di cui al presente articolo tra le malattie sociali individuate dal decreto del Ministro per la sanità 20 dicembre 1961, pubblicato nella </w:t>
      </w:r>
      <w:r w:rsidRPr="00F83410">
        <w:rPr>
          <w:rFonts w:ascii="Arial" w:eastAsia="Times New Roman" w:hAnsi="Arial" w:cs="Arial"/>
          <w:b/>
          <w:bCs/>
          <w:i/>
          <w:iCs/>
          <w:color w:val="000000"/>
          <w:kern w:val="0"/>
          <w:sz w:val="24"/>
          <w:szCs w:val="24"/>
          <w:highlight w:val="cyan"/>
          <w:lang w:eastAsia="it-IT"/>
          <w14:ligatures w14:val="none"/>
        </w:rPr>
        <w:t>Gazzetta Ufficiale</w:t>
      </w:r>
      <w:r w:rsidRPr="00F83410">
        <w:rPr>
          <w:rFonts w:ascii="Arial" w:eastAsia="Times New Roman" w:hAnsi="Arial" w:cs="Arial"/>
          <w:b/>
          <w:bCs/>
          <w:color w:val="000000"/>
          <w:kern w:val="0"/>
          <w:sz w:val="24"/>
          <w:szCs w:val="24"/>
          <w:highlight w:val="cyan"/>
          <w:lang w:eastAsia="it-IT"/>
          <w14:ligatures w14:val="none"/>
        </w:rPr>
        <w:t> n. 73 del 20 marzo 1962.</w:t>
      </w:r>
    </w:p>
    <w:p w14:paraId="4C7CDF64" w14:textId="77777777" w:rsidR="00F83410" w:rsidRPr="00F83410" w:rsidRDefault="00F83410" w:rsidP="00F8341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Art. 2.</w:t>
      </w:r>
    </w:p>
    <w:p w14:paraId="6D92CED3" w14:textId="77777777" w:rsidR="00F83410" w:rsidRPr="00F83410" w:rsidRDefault="00F83410" w:rsidP="00F83410">
      <w:pPr>
        <w:shd w:val="clear" w:color="auto" w:fill="FFFFFF"/>
        <w:spacing w:before="30" w:after="30" w:line="240" w:lineRule="auto"/>
        <w:ind w:left="30"/>
        <w:jc w:val="center"/>
        <w:rPr>
          <w:rFonts w:ascii="Arial" w:eastAsia="Times New Roman" w:hAnsi="Arial" w:cs="Arial"/>
          <w:b/>
          <w:bCs/>
          <w:i/>
          <w:iCs/>
          <w:color w:val="000000"/>
          <w:kern w:val="0"/>
          <w:sz w:val="24"/>
          <w:szCs w:val="24"/>
          <w:lang w:eastAsia="it-IT"/>
          <w14:ligatures w14:val="none"/>
        </w:rPr>
      </w:pPr>
      <w:r w:rsidRPr="00F83410">
        <w:rPr>
          <w:rFonts w:ascii="Arial" w:eastAsia="Times New Roman" w:hAnsi="Arial" w:cs="Arial"/>
          <w:b/>
          <w:bCs/>
          <w:i/>
          <w:iCs/>
          <w:color w:val="000000"/>
          <w:kern w:val="0"/>
          <w:sz w:val="24"/>
          <w:szCs w:val="24"/>
          <w:highlight w:val="yellow"/>
          <w:lang w:eastAsia="it-IT"/>
          <w14:ligatures w14:val="none"/>
        </w:rPr>
        <w:t>(Introduzione dell'articolo 580-bis</w:t>
      </w:r>
      <w:r w:rsidRPr="00F83410">
        <w:rPr>
          <w:rFonts w:ascii="Arial" w:eastAsia="Times New Roman" w:hAnsi="Arial" w:cs="Arial"/>
          <w:b/>
          <w:bCs/>
          <w:i/>
          <w:iCs/>
          <w:color w:val="000000"/>
          <w:kern w:val="0"/>
          <w:sz w:val="24"/>
          <w:szCs w:val="24"/>
          <w:highlight w:val="yellow"/>
          <w:lang w:eastAsia="it-IT"/>
          <w14:ligatures w14:val="none"/>
        </w:rPr>
        <w:br w:type="textWrapping" w:clear="all"/>
        <w:t xml:space="preserve">del </w:t>
      </w:r>
      <w:proofErr w:type="gramStart"/>
      <w:r w:rsidRPr="00F83410">
        <w:rPr>
          <w:rFonts w:ascii="Arial" w:eastAsia="Times New Roman" w:hAnsi="Arial" w:cs="Arial"/>
          <w:b/>
          <w:bCs/>
          <w:i/>
          <w:iCs/>
          <w:color w:val="000000"/>
          <w:kern w:val="0"/>
          <w:sz w:val="24"/>
          <w:szCs w:val="24"/>
          <w:highlight w:val="yellow"/>
          <w:lang w:eastAsia="it-IT"/>
          <w14:ligatures w14:val="none"/>
        </w:rPr>
        <w:t>codice penale</w:t>
      </w:r>
      <w:proofErr w:type="gramEnd"/>
      <w:r w:rsidRPr="00F83410">
        <w:rPr>
          <w:rFonts w:ascii="Arial" w:eastAsia="Times New Roman" w:hAnsi="Arial" w:cs="Arial"/>
          <w:b/>
          <w:bCs/>
          <w:i/>
          <w:iCs/>
          <w:color w:val="000000"/>
          <w:kern w:val="0"/>
          <w:sz w:val="24"/>
          <w:szCs w:val="24"/>
          <w:highlight w:val="yellow"/>
          <w:lang w:eastAsia="it-IT"/>
          <w14:ligatures w14:val="none"/>
        </w:rPr>
        <w:t>)</w:t>
      </w:r>
    </w:p>
    <w:p w14:paraId="34156A24"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 xml:space="preserve">1. Dopo l'articolo 580 del </w:t>
      </w:r>
      <w:proofErr w:type="gramStart"/>
      <w:r w:rsidRPr="00F83410">
        <w:rPr>
          <w:rFonts w:ascii="Arial" w:eastAsia="Times New Roman" w:hAnsi="Arial" w:cs="Arial"/>
          <w:color w:val="000000"/>
          <w:kern w:val="0"/>
          <w:sz w:val="24"/>
          <w:szCs w:val="24"/>
          <w:lang w:eastAsia="it-IT"/>
          <w14:ligatures w14:val="none"/>
        </w:rPr>
        <w:t>codice penale</w:t>
      </w:r>
      <w:proofErr w:type="gramEnd"/>
      <w:r w:rsidRPr="00F83410">
        <w:rPr>
          <w:rFonts w:ascii="Arial" w:eastAsia="Times New Roman" w:hAnsi="Arial" w:cs="Arial"/>
          <w:color w:val="000000"/>
          <w:kern w:val="0"/>
          <w:sz w:val="24"/>
          <w:szCs w:val="24"/>
          <w:lang w:eastAsia="it-IT"/>
          <w14:ligatures w14:val="none"/>
        </w:rPr>
        <w:t xml:space="preserve"> è inserito il seguente:</w:t>
      </w:r>
    </w:p>
    <w:p w14:paraId="3495B9BA"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 Art. 580</w:t>
      </w:r>
      <w:r w:rsidRPr="00F83410">
        <w:rPr>
          <w:rFonts w:ascii="Arial" w:eastAsia="Times New Roman" w:hAnsi="Arial" w:cs="Arial"/>
          <w:i/>
          <w:iCs/>
          <w:color w:val="000000"/>
          <w:kern w:val="0"/>
          <w:sz w:val="24"/>
          <w:szCs w:val="24"/>
          <w:lang w:eastAsia="it-IT"/>
          <w14:ligatures w14:val="none"/>
        </w:rPr>
        <w:t>-bis</w:t>
      </w:r>
      <w:r w:rsidRPr="00F83410">
        <w:rPr>
          <w:rFonts w:ascii="Arial" w:eastAsia="Times New Roman" w:hAnsi="Arial" w:cs="Arial"/>
          <w:color w:val="000000"/>
          <w:kern w:val="0"/>
          <w:sz w:val="24"/>
          <w:szCs w:val="24"/>
          <w:lang w:eastAsia="it-IT"/>
          <w14:ligatures w14:val="none"/>
        </w:rPr>
        <w:t>. – </w:t>
      </w:r>
      <w:r w:rsidRPr="00F83410">
        <w:rPr>
          <w:rFonts w:ascii="Arial" w:eastAsia="Times New Roman" w:hAnsi="Arial" w:cs="Arial"/>
          <w:i/>
          <w:iCs/>
          <w:color w:val="000000"/>
          <w:kern w:val="0"/>
          <w:sz w:val="24"/>
          <w:szCs w:val="24"/>
          <w:lang w:eastAsia="it-IT"/>
          <w14:ligatures w14:val="none"/>
        </w:rPr>
        <w:t>(Istigazione al ricorso di condotte alimentari idonee a provocare o rafforzare i disturbi del comportamento alimentare)</w:t>
      </w:r>
      <w:r w:rsidRPr="00F83410">
        <w:rPr>
          <w:rFonts w:ascii="Arial" w:eastAsia="Times New Roman" w:hAnsi="Arial" w:cs="Arial"/>
          <w:color w:val="000000"/>
          <w:kern w:val="0"/>
          <w:sz w:val="24"/>
          <w:szCs w:val="24"/>
          <w:lang w:eastAsia="it-IT"/>
          <w14:ligatures w14:val="none"/>
        </w:rPr>
        <w:t> – Chiunque, con qualsiasi mezzo, anche per via telematica, determina o rafforza l'altrui proposito di ricorrere a condotte alimentari idonee a provocare o a rafforzare i disturbi del comportamento alimentare, e ne agevola l'esecuzione, è punito con la reclusione fino a due anni e la sanzione amministrativa da euro 20.000 a euro 60.000.</w:t>
      </w:r>
    </w:p>
    <w:p w14:paraId="6F02D575" w14:textId="77777777" w:rsidR="00F83410" w:rsidRPr="00F83410" w:rsidRDefault="00F83410" w:rsidP="00F8341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Se il reato di cui al primo comma è commesso nei confronti di una persona in difesa minorata, ovvero di una persona minore degli anni quattordici o di una persona priva delle capacità di intendere e volere, si applica la pena della reclusione fino a quattro anni e la sanzione amministrativa da euro 40.000 a 150.000 euro ».</w:t>
      </w:r>
    </w:p>
    <w:p w14:paraId="5AC3CEE1" w14:textId="77777777" w:rsidR="00F83410" w:rsidRPr="00F83410" w:rsidRDefault="00F83410" w:rsidP="00F8341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Art. 3.</w:t>
      </w:r>
    </w:p>
    <w:p w14:paraId="24E484CD" w14:textId="77777777" w:rsidR="00F83410" w:rsidRPr="00F83410" w:rsidRDefault="00F83410" w:rsidP="00F8341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(Istituzione della Giornata nazionale contro i disturbi del comportamento alimentare)</w:t>
      </w:r>
    </w:p>
    <w:p w14:paraId="6DC777FF"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1. La Repubblica riconosce il 15 marzo quale « Giornata nazionale contro i disturbi del comportamento alimentare », al fine di diffondere adeguata conoscenza e sensibilità tra i cittadini nei confronti di questa categoria di malattie sociali.</w:t>
      </w:r>
    </w:p>
    <w:p w14:paraId="18537570"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2. Nella giornata di cui al comma 1 sono previste iniziative per diffondere la conoscenza dei disturbi del comportamento alimentare. È altresì favorita, da parte di istituzioni ed enti, la realizzazione di studi, convegni, incontri e dibattiti in modo da sensibilizzare la popolazione rispetto ai suddetti disturbi e a esortare i giovani interessati da questi disturbi ad affrontare un percorso di cure adeguato.</w:t>
      </w:r>
    </w:p>
    <w:p w14:paraId="54CD10A5" w14:textId="77777777" w:rsidR="00F83410" w:rsidRPr="00F83410" w:rsidRDefault="00F83410" w:rsidP="00F8341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3. La giornata di cui al comma 1 non determina gli effetti civili di cui alla legge 27 maggio 1949, n. 260.</w:t>
      </w:r>
    </w:p>
    <w:p w14:paraId="5A04644E" w14:textId="77777777" w:rsidR="00F83410" w:rsidRPr="00F83410" w:rsidRDefault="00F83410" w:rsidP="00F8341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Art. 4.</w:t>
      </w:r>
    </w:p>
    <w:p w14:paraId="7588E06B" w14:textId="77777777" w:rsidR="00F83410" w:rsidRPr="00F83410" w:rsidRDefault="00F83410" w:rsidP="00F8341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(Piano di interventi)</w:t>
      </w:r>
    </w:p>
    <w:p w14:paraId="1F167224"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color w:val="000000"/>
          <w:kern w:val="0"/>
          <w:sz w:val="24"/>
          <w:szCs w:val="24"/>
          <w:highlight w:val="yellow"/>
          <w:lang w:eastAsia="it-IT"/>
          <w14:ligatures w14:val="none"/>
        </w:rPr>
        <w:t>1. Il Servizio sanitario nazionale, le regioni e le province autonome di Trento e di Bolzano, nell'ambito dei rispettivi piani sanitari e nei limiti indicati nel Fondo sanitario nazionale, predispongono progetti-obiettivo, azioni programmatiche e iniziative idonee dirette a prevenire e a curare le malattie di cui all'articolo 1, comma 1.</w:t>
      </w:r>
    </w:p>
    <w:p w14:paraId="3B259FED"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color w:val="000000"/>
          <w:kern w:val="0"/>
          <w:sz w:val="24"/>
          <w:szCs w:val="24"/>
          <w:highlight w:val="yellow"/>
          <w:lang w:eastAsia="it-IT"/>
          <w14:ligatures w14:val="none"/>
        </w:rPr>
        <w:t>2. Gli interventi nazionali e regionali di cui al comma 1 perseguono i seguenti obiettivi:</w:t>
      </w:r>
    </w:p>
    <w:p w14:paraId="2D752090"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a) </w:t>
      </w:r>
      <w:r w:rsidRPr="00F83410">
        <w:rPr>
          <w:rFonts w:ascii="Arial" w:eastAsia="Times New Roman" w:hAnsi="Arial" w:cs="Arial"/>
          <w:color w:val="000000"/>
          <w:kern w:val="0"/>
          <w:sz w:val="24"/>
          <w:szCs w:val="24"/>
          <w:highlight w:val="yellow"/>
          <w:lang w:eastAsia="it-IT"/>
          <w14:ligatures w14:val="none"/>
        </w:rPr>
        <w:t>effettuare la diagnosi precoce;</w:t>
      </w:r>
    </w:p>
    <w:p w14:paraId="016F0983"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b) </w:t>
      </w:r>
      <w:r w:rsidRPr="00F83410">
        <w:rPr>
          <w:rFonts w:ascii="Arial" w:eastAsia="Times New Roman" w:hAnsi="Arial" w:cs="Arial"/>
          <w:color w:val="000000"/>
          <w:kern w:val="0"/>
          <w:sz w:val="24"/>
          <w:szCs w:val="24"/>
          <w:highlight w:val="yellow"/>
          <w:lang w:eastAsia="it-IT"/>
          <w14:ligatures w14:val="none"/>
        </w:rPr>
        <w:t>migliorare le modalità di cura dei soggetti colpiti;</w:t>
      </w:r>
    </w:p>
    <w:p w14:paraId="1BCC87DC"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c) </w:t>
      </w:r>
      <w:r w:rsidRPr="00F83410">
        <w:rPr>
          <w:rFonts w:ascii="Arial" w:eastAsia="Times New Roman" w:hAnsi="Arial" w:cs="Arial"/>
          <w:color w:val="000000"/>
          <w:kern w:val="0"/>
          <w:sz w:val="24"/>
          <w:szCs w:val="24"/>
          <w:highlight w:val="yellow"/>
          <w:lang w:eastAsia="it-IT"/>
          <w14:ligatures w14:val="none"/>
        </w:rPr>
        <w:t>effettuare la prevenzione delle complicanze;</w:t>
      </w:r>
    </w:p>
    <w:p w14:paraId="1084CF47"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d) </w:t>
      </w:r>
      <w:r w:rsidRPr="00F83410">
        <w:rPr>
          <w:rFonts w:ascii="Arial" w:eastAsia="Times New Roman" w:hAnsi="Arial" w:cs="Arial"/>
          <w:color w:val="000000"/>
          <w:kern w:val="0"/>
          <w:sz w:val="24"/>
          <w:szCs w:val="24"/>
          <w:highlight w:val="yellow"/>
          <w:lang w:eastAsia="it-IT"/>
          <w14:ligatures w14:val="none"/>
        </w:rPr>
        <w:t>agevolare l'inserimento dei soggetti colpiti nella attività scolastiche, sportive e lavorative;</w:t>
      </w:r>
    </w:p>
    <w:p w14:paraId="5210994B"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e) </w:t>
      </w:r>
      <w:r w:rsidRPr="00F83410">
        <w:rPr>
          <w:rFonts w:ascii="Arial" w:eastAsia="Times New Roman" w:hAnsi="Arial" w:cs="Arial"/>
          <w:color w:val="000000"/>
          <w:kern w:val="0"/>
          <w:sz w:val="24"/>
          <w:szCs w:val="24"/>
          <w:highlight w:val="yellow"/>
          <w:lang w:eastAsia="it-IT"/>
          <w14:ligatures w14:val="none"/>
        </w:rPr>
        <w:t>migliorare l'educazione sanitaria e alimentare della popolazione;</w:t>
      </w:r>
    </w:p>
    <w:p w14:paraId="61D5A0CF"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highlight w:val="yellow"/>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lastRenderedPageBreak/>
        <w:t>f) </w:t>
      </w:r>
      <w:r w:rsidRPr="00F83410">
        <w:rPr>
          <w:rFonts w:ascii="Arial" w:eastAsia="Times New Roman" w:hAnsi="Arial" w:cs="Arial"/>
          <w:color w:val="000000"/>
          <w:kern w:val="0"/>
          <w:sz w:val="24"/>
          <w:szCs w:val="24"/>
          <w:highlight w:val="yellow"/>
          <w:lang w:eastAsia="it-IT"/>
          <w14:ligatures w14:val="none"/>
        </w:rPr>
        <w:t>provvedere alla preparazione e all'aggiornamento professionali del personale sanitario e scolastico;</w:t>
      </w:r>
    </w:p>
    <w:p w14:paraId="5B86FD2A"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i/>
          <w:iCs/>
          <w:color w:val="000000"/>
          <w:kern w:val="0"/>
          <w:sz w:val="24"/>
          <w:szCs w:val="24"/>
          <w:highlight w:val="yellow"/>
          <w:lang w:eastAsia="it-IT"/>
          <w14:ligatures w14:val="none"/>
        </w:rPr>
        <w:t>g) </w:t>
      </w:r>
      <w:r w:rsidRPr="00F83410">
        <w:rPr>
          <w:rFonts w:ascii="Arial" w:eastAsia="Times New Roman" w:hAnsi="Arial" w:cs="Arial"/>
          <w:color w:val="000000"/>
          <w:kern w:val="0"/>
          <w:sz w:val="24"/>
          <w:szCs w:val="24"/>
          <w:highlight w:val="yellow"/>
          <w:lang w:eastAsia="it-IT"/>
          <w14:ligatures w14:val="none"/>
        </w:rPr>
        <w:t>predisporre opportuni strumenti di ricerca;</w:t>
      </w:r>
    </w:p>
    <w:p w14:paraId="64AB1789" w14:textId="77777777" w:rsidR="00F83410" w:rsidRPr="00F83410" w:rsidRDefault="00F83410" w:rsidP="00F8341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h) </w:t>
      </w:r>
      <w:r w:rsidRPr="00F83410">
        <w:rPr>
          <w:rFonts w:ascii="Arial" w:eastAsia="Times New Roman" w:hAnsi="Arial" w:cs="Arial"/>
          <w:color w:val="000000"/>
          <w:kern w:val="0"/>
          <w:sz w:val="24"/>
          <w:szCs w:val="24"/>
          <w:lang w:eastAsia="it-IT"/>
          <w14:ligatures w14:val="none"/>
        </w:rPr>
        <w:t>attivare percorsi specifici e programmi dedicati alla formazione e al sostegno dei nuclei familiari delle persone con disturbo del comportamento alimentare, in particolar modo per quanto concerne l'aspetto psichiatrico, psicologico e nutrizionale, sia durante la fase delle acuzie che in quella ad essa successiva.</w:t>
      </w:r>
    </w:p>
    <w:p w14:paraId="12B2D676" w14:textId="77777777" w:rsidR="00F83410" w:rsidRPr="00F83410" w:rsidRDefault="00F83410" w:rsidP="00F8341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3. Il Ministro dell'interno, di concerto con i Ministri della salute e del lavoro e delle politiche sociali e sentite le associazioni maggiormente rappresentative a livello nazionale dei fornitori di connettività alla rete </w:t>
      </w:r>
      <w:r w:rsidRPr="00F83410">
        <w:rPr>
          <w:rFonts w:ascii="Arial" w:eastAsia="Times New Roman" w:hAnsi="Arial" w:cs="Arial"/>
          <w:i/>
          <w:iCs/>
          <w:color w:val="000000"/>
          <w:kern w:val="0"/>
          <w:sz w:val="24"/>
          <w:szCs w:val="24"/>
          <w:lang w:eastAsia="it-IT"/>
          <w14:ligatures w14:val="none"/>
        </w:rPr>
        <w:t>internet</w:t>
      </w:r>
      <w:r w:rsidRPr="00F83410">
        <w:rPr>
          <w:rFonts w:ascii="Arial" w:eastAsia="Times New Roman" w:hAnsi="Arial" w:cs="Arial"/>
          <w:color w:val="000000"/>
          <w:kern w:val="0"/>
          <w:sz w:val="24"/>
          <w:szCs w:val="24"/>
          <w:lang w:eastAsia="it-IT"/>
          <w14:ligatures w14:val="none"/>
        </w:rPr>
        <w:t>, stabilisce con proprio decreto, da adottare entro sessanta giorni dalla data di entrata in vigore della presente legge, i criteri e le modalità per impedire l'accesso ai siti che diffondono tra i minori messaggi suscettibili di rappresentare, per il loro contenuto, un concreto pericolo di istigazione a condotte alimentari idonee a provocare e a diffondere le malattie di cui all'articolo 1, comma 1, reindirizzando in forma anonima l'utente automaticamente al portale digitale www.disturbialimentarionline.it.</w:t>
      </w:r>
    </w:p>
    <w:p w14:paraId="71DA31B9" w14:textId="77777777" w:rsidR="00F83410" w:rsidRPr="00F83410" w:rsidRDefault="00F83410" w:rsidP="00F8341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F83410">
        <w:rPr>
          <w:rFonts w:ascii="Arial" w:eastAsia="Times New Roman" w:hAnsi="Arial" w:cs="Arial"/>
          <w:b/>
          <w:bCs/>
          <w:color w:val="000000"/>
          <w:kern w:val="0"/>
          <w:sz w:val="24"/>
          <w:szCs w:val="24"/>
          <w:lang w:eastAsia="it-IT"/>
          <w14:ligatures w14:val="none"/>
        </w:rPr>
        <w:t>Art. 5.</w:t>
      </w:r>
    </w:p>
    <w:p w14:paraId="5AB283A3" w14:textId="77777777" w:rsidR="00F83410" w:rsidRPr="00F83410" w:rsidRDefault="00F83410" w:rsidP="00F8341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F83410">
        <w:rPr>
          <w:rFonts w:ascii="Arial" w:eastAsia="Times New Roman" w:hAnsi="Arial" w:cs="Arial"/>
          <w:i/>
          <w:iCs/>
          <w:color w:val="000000"/>
          <w:kern w:val="0"/>
          <w:sz w:val="24"/>
          <w:szCs w:val="24"/>
          <w:lang w:eastAsia="it-IT"/>
          <w14:ligatures w14:val="none"/>
        </w:rPr>
        <w:t>(Relazione annuale al Parlamento)</w:t>
      </w:r>
    </w:p>
    <w:p w14:paraId="0D70E0C1" w14:textId="77777777" w:rsidR="00F83410" w:rsidRPr="00F83410" w:rsidRDefault="00F83410" w:rsidP="00F8341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F83410">
        <w:rPr>
          <w:rFonts w:ascii="Arial" w:eastAsia="Times New Roman" w:hAnsi="Arial" w:cs="Arial"/>
          <w:color w:val="000000"/>
          <w:kern w:val="0"/>
          <w:sz w:val="24"/>
          <w:szCs w:val="24"/>
          <w:lang w:eastAsia="it-IT"/>
          <w14:ligatures w14:val="none"/>
        </w:rPr>
        <w:t>1. Il Ministro della salute presenta al Parlamento una relazione annuale di aggiornamento sullo stato delle conoscenze e delle nuove acquisizioni scientifiche sulle malattie di cui all'articolo 1, comma 1, con particolare riferimento ai problemi concernenti la diagnosi precoce e il monitoraggio delle complicanze.</w:t>
      </w:r>
    </w:p>
    <w:p w14:paraId="36100375" w14:textId="77777777" w:rsidR="00F83410" w:rsidRPr="00F83410" w:rsidRDefault="00F83410">
      <w:pPr>
        <w:rPr>
          <w:rFonts w:ascii="Arial" w:hAnsi="Arial" w:cs="Arial"/>
          <w:sz w:val="24"/>
          <w:szCs w:val="24"/>
        </w:rPr>
      </w:pPr>
    </w:p>
    <w:sectPr w:rsidR="00F83410" w:rsidRPr="00F83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0"/>
    <w:rsid w:val="00F83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3292"/>
  <w15:chartTrackingRefBased/>
  <w15:docId w15:val="{28E31C49-2748-4663-8CDB-CC0363C6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9207">
      <w:bodyDiv w:val="1"/>
      <w:marLeft w:val="0"/>
      <w:marRight w:val="0"/>
      <w:marTop w:val="0"/>
      <w:marBottom w:val="0"/>
      <w:divBdr>
        <w:top w:val="none" w:sz="0" w:space="0" w:color="auto"/>
        <w:left w:val="none" w:sz="0" w:space="0" w:color="auto"/>
        <w:bottom w:val="none" w:sz="0" w:space="0" w:color="auto"/>
        <w:right w:val="none" w:sz="0" w:space="0" w:color="auto"/>
      </w:divBdr>
      <w:divsChild>
        <w:div w:id="1424762054">
          <w:marLeft w:val="-225"/>
          <w:marRight w:val="-225"/>
          <w:marTop w:val="0"/>
          <w:marBottom w:val="0"/>
          <w:divBdr>
            <w:top w:val="none" w:sz="0" w:space="0" w:color="auto"/>
            <w:left w:val="none" w:sz="0" w:space="0" w:color="auto"/>
            <w:bottom w:val="none" w:sz="0" w:space="0" w:color="auto"/>
            <w:right w:val="none" w:sz="0" w:space="0" w:color="auto"/>
          </w:divBdr>
          <w:divsChild>
            <w:div w:id="674186801">
              <w:marLeft w:val="0"/>
              <w:marRight w:val="0"/>
              <w:marTop w:val="0"/>
              <w:marBottom w:val="0"/>
              <w:divBdr>
                <w:top w:val="none" w:sz="0" w:space="0" w:color="auto"/>
                <w:left w:val="none" w:sz="0" w:space="0" w:color="auto"/>
                <w:bottom w:val="none" w:sz="0" w:space="0" w:color="auto"/>
                <w:right w:val="none" w:sz="0" w:space="0" w:color="auto"/>
              </w:divBdr>
            </w:div>
          </w:divsChild>
        </w:div>
        <w:div w:id="2120877121">
          <w:marLeft w:val="-225"/>
          <w:marRight w:val="-225"/>
          <w:marTop w:val="0"/>
          <w:marBottom w:val="0"/>
          <w:divBdr>
            <w:top w:val="none" w:sz="0" w:space="0" w:color="auto"/>
            <w:left w:val="none" w:sz="0" w:space="0" w:color="auto"/>
            <w:bottom w:val="none" w:sz="0" w:space="0" w:color="auto"/>
            <w:right w:val="none" w:sz="0" w:space="0" w:color="auto"/>
          </w:divBdr>
          <w:divsChild>
            <w:div w:id="1690839103">
              <w:marLeft w:val="0"/>
              <w:marRight w:val="0"/>
              <w:marTop w:val="0"/>
              <w:marBottom w:val="0"/>
              <w:divBdr>
                <w:top w:val="none" w:sz="0" w:space="0" w:color="auto"/>
                <w:left w:val="none" w:sz="0" w:space="0" w:color="auto"/>
                <w:bottom w:val="none" w:sz="0" w:space="0" w:color="auto"/>
                <w:right w:val="none" w:sz="0" w:space="0" w:color="auto"/>
              </w:divBdr>
              <w:divsChild>
                <w:div w:id="112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4790">
      <w:bodyDiv w:val="1"/>
      <w:marLeft w:val="0"/>
      <w:marRight w:val="0"/>
      <w:marTop w:val="0"/>
      <w:marBottom w:val="0"/>
      <w:divBdr>
        <w:top w:val="none" w:sz="0" w:space="0" w:color="auto"/>
        <w:left w:val="none" w:sz="0" w:space="0" w:color="auto"/>
        <w:bottom w:val="none" w:sz="0" w:space="0" w:color="auto"/>
        <w:right w:val="none" w:sz="0" w:space="0" w:color="auto"/>
      </w:divBdr>
      <w:divsChild>
        <w:div w:id="466775314">
          <w:marLeft w:val="0"/>
          <w:marRight w:val="0"/>
          <w:marTop w:val="0"/>
          <w:marBottom w:val="0"/>
          <w:divBdr>
            <w:top w:val="none" w:sz="0" w:space="0" w:color="auto"/>
            <w:left w:val="none" w:sz="0" w:space="0" w:color="auto"/>
            <w:bottom w:val="none" w:sz="0" w:space="0" w:color="auto"/>
            <w:right w:val="none" w:sz="0" w:space="0" w:color="auto"/>
          </w:divBdr>
          <w:divsChild>
            <w:div w:id="1996715165">
              <w:marLeft w:val="0"/>
              <w:marRight w:val="0"/>
              <w:marTop w:val="0"/>
              <w:marBottom w:val="0"/>
              <w:divBdr>
                <w:top w:val="none" w:sz="0" w:space="0" w:color="auto"/>
                <w:left w:val="none" w:sz="0" w:space="0" w:color="auto"/>
                <w:bottom w:val="none" w:sz="0" w:space="0" w:color="auto"/>
                <w:right w:val="none" w:sz="0" w:space="0" w:color="auto"/>
              </w:divBdr>
              <w:divsChild>
                <w:div w:id="419527104">
                  <w:marLeft w:val="0"/>
                  <w:marRight w:val="0"/>
                  <w:marTop w:val="225"/>
                  <w:marBottom w:val="75"/>
                  <w:divBdr>
                    <w:top w:val="none" w:sz="0" w:space="0" w:color="auto"/>
                    <w:left w:val="none" w:sz="0" w:space="0" w:color="auto"/>
                    <w:bottom w:val="none" w:sz="0" w:space="0" w:color="auto"/>
                    <w:right w:val="none" w:sz="0" w:space="0" w:color="auto"/>
                  </w:divBdr>
                </w:div>
                <w:div w:id="618804628">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1640450757">
                      <w:marLeft w:val="0"/>
                      <w:marRight w:val="0"/>
                      <w:marTop w:val="150"/>
                      <w:marBottom w:val="300"/>
                      <w:divBdr>
                        <w:top w:val="none" w:sz="0" w:space="0" w:color="auto"/>
                        <w:left w:val="none" w:sz="0" w:space="0" w:color="auto"/>
                        <w:bottom w:val="none" w:sz="0" w:space="0" w:color="auto"/>
                        <w:right w:val="none" w:sz="0" w:space="0" w:color="auto"/>
                      </w:divBdr>
                    </w:div>
                    <w:div w:id="292906035">
                      <w:marLeft w:val="0"/>
                      <w:marRight w:val="0"/>
                      <w:marTop w:val="0"/>
                      <w:marBottom w:val="0"/>
                      <w:divBdr>
                        <w:top w:val="none" w:sz="0" w:space="0" w:color="auto"/>
                        <w:left w:val="none" w:sz="0" w:space="0" w:color="auto"/>
                        <w:bottom w:val="none" w:sz="0" w:space="0" w:color="auto"/>
                        <w:right w:val="none" w:sz="0" w:space="0" w:color="auto"/>
                      </w:divBdr>
                      <w:divsChild>
                        <w:div w:id="367342573">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319578751">
              <w:marLeft w:val="0"/>
              <w:marRight w:val="0"/>
              <w:marTop w:val="0"/>
              <w:marBottom w:val="0"/>
              <w:divBdr>
                <w:top w:val="none" w:sz="0" w:space="0" w:color="auto"/>
                <w:left w:val="none" w:sz="0" w:space="0" w:color="auto"/>
                <w:bottom w:val="none" w:sz="0" w:space="0" w:color="auto"/>
                <w:right w:val="none" w:sz="0" w:space="0" w:color="auto"/>
              </w:divBdr>
            </w:div>
            <w:div w:id="916789621">
              <w:marLeft w:val="0"/>
              <w:marRight w:val="0"/>
              <w:marTop w:val="225"/>
              <w:marBottom w:val="0"/>
              <w:divBdr>
                <w:top w:val="none" w:sz="0" w:space="0" w:color="auto"/>
                <w:left w:val="none" w:sz="0" w:space="0" w:color="auto"/>
                <w:bottom w:val="none" w:sz="0" w:space="0" w:color="auto"/>
                <w:right w:val="none" w:sz="0" w:space="0" w:color="auto"/>
              </w:divBdr>
              <w:divsChild>
                <w:div w:id="796918075">
                  <w:marLeft w:val="0"/>
                  <w:marRight w:val="0"/>
                  <w:marTop w:val="300"/>
                  <w:marBottom w:val="150"/>
                  <w:divBdr>
                    <w:top w:val="none" w:sz="0" w:space="0" w:color="auto"/>
                    <w:left w:val="none" w:sz="0" w:space="0" w:color="auto"/>
                    <w:bottom w:val="none" w:sz="0" w:space="0" w:color="auto"/>
                    <w:right w:val="none" w:sz="0" w:space="0" w:color="auto"/>
                  </w:divBdr>
                  <w:divsChild>
                    <w:div w:id="124856476">
                      <w:marLeft w:val="0"/>
                      <w:marRight w:val="0"/>
                      <w:marTop w:val="0"/>
                      <w:marBottom w:val="0"/>
                      <w:divBdr>
                        <w:top w:val="none" w:sz="0" w:space="0" w:color="auto"/>
                        <w:left w:val="none" w:sz="0" w:space="0" w:color="auto"/>
                        <w:bottom w:val="none" w:sz="0" w:space="0" w:color="auto"/>
                        <w:right w:val="none" w:sz="0" w:space="0" w:color="auto"/>
                      </w:divBdr>
                    </w:div>
                    <w:div w:id="1846747698">
                      <w:marLeft w:val="0"/>
                      <w:marRight w:val="0"/>
                      <w:marTop w:val="0"/>
                      <w:marBottom w:val="0"/>
                      <w:divBdr>
                        <w:top w:val="none" w:sz="0" w:space="0" w:color="auto"/>
                        <w:left w:val="none" w:sz="0" w:space="0" w:color="auto"/>
                        <w:bottom w:val="none" w:sz="0" w:space="0" w:color="auto"/>
                        <w:right w:val="none" w:sz="0" w:space="0" w:color="auto"/>
                      </w:divBdr>
                    </w:div>
                    <w:div w:id="1722827852">
                      <w:marLeft w:val="0"/>
                      <w:marRight w:val="0"/>
                      <w:marTop w:val="0"/>
                      <w:marBottom w:val="0"/>
                      <w:divBdr>
                        <w:top w:val="none" w:sz="0" w:space="0" w:color="auto"/>
                        <w:left w:val="none" w:sz="0" w:space="0" w:color="auto"/>
                        <w:bottom w:val="none" w:sz="0" w:space="0" w:color="auto"/>
                        <w:right w:val="none" w:sz="0" w:space="0" w:color="auto"/>
                      </w:divBdr>
                    </w:div>
                    <w:div w:id="825130338">
                      <w:marLeft w:val="0"/>
                      <w:marRight w:val="0"/>
                      <w:marTop w:val="0"/>
                      <w:marBottom w:val="0"/>
                      <w:divBdr>
                        <w:top w:val="none" w:sz="0" w:space="0" w:color="auto"/>
                        <w:left w:val="none" w:sz="0" w:space="0" w:color="auto"/>
                        <w:bottom w:val="none" w:sz="0" w:space="0" w:color="auto"/>
                        <w:right w:val="none" w:sz="0" w:space="0" w:color="auto"/>
                      </w:divBdr>
                    </w:div>
                    <w:div w:id="916479723">
                      <w:marLeft w:val="0"/>
                      <w:marRight w:val="0"/>
                      <w:marTop w:val="0"/>
                      <w:marBottom w:val="0"/>
                      <w:divBdr>
                        <w:top w:val="none" w:sz="0" w:space="0" w:color="auto"/>
                        <w:left w:val="none" w:sz="0" w:space="0" w:color="auto"/>
                        <w:bottom w:val="none" w:sz="0" w:space="0" w:color="auto"/>
                        <w:right w:val="none" w:sz="0" w:space="0" w:color="auto"/>
                      </w:divBdr>
                    </w:div>
                    <w:div w:id="138428145">
                      <w:marLeft w:val="0"/>
                      <w:marRight w:val="0"/>
                      <w:marTop w:val="0"/>
                      <w:marBottom w:val="0"/>
                      <w:divBdr>
                        <w:top w:val="none" w:sz="0" w:space="0" w:color="auto"/>
                        <w:left w:val="none" w:sz="0" w:space="0" w:color="auto"/>
                        <w:bottom w:val="none" w:sz="0" w:space="0" w:color="auto"/>
                        <w:right w:val="none" w:sz="0" w:space="0" w:color="auto"/>
                      </w:divBdr>
                    </w:div>
                  </w:divsChild>
                </w:div>
                <w:div w:id="533274058">
                  <w:marLeft w:val="0"/>
                  <w:marRight w:val="0"/>
                  <w:marTop w:val="300"/>
                  <w:marBottom w:val="150"/>
                  <w:divBdr>
                    <w:top w:val="none" w:sz="0" w:space="0" w:color="auto"/>
                    <w:left w:val="none" w:sz="0" w:space="0" w:color="auto"/>
                    <w:bottom w:val="none" w:sz="0" w:space="0" w:color="auto"/>
                    <w:right w:val="none" w:sz="0" w:space="0" w:color="auto"/>
                  </w:divBdr>
                  <w:divsChild>
                    <w:div w:id="1195462472">
                      <w:marLeft w:val="0"/>
                      <w:marRight w:val="0"/>
                      <w:marTop w:val="0"/>
                      <w:marBottom w:val="0"/>
                      <w:divBdr>
                        <w:top w:val="none" w:sz="0" w:space="0" w:color="auto"/>
                        <w:left w:val="none" w:sz="0" w:space="0" w:color="auto"/>
                        <w:bottom w:val="none" w:sz="0" w:space="0" w:color="auto"/>
                        <w:right w:val="none" w:sz="0" w:space="0" w:color="auto"/>
                      </w:divBdr>
                    </w:div>
                  </w:divsChild>
                </w:div>
                <w:div w:id="42366203">
                  <w:marLeft w:val="0"/>
                  <w:marRight w:val="0"/>
                  <w:marTop w:val="300"/>
                  <w:marBottom w:val="150"/>
                  <w:divBdr>
                    <w:top w:val="none" w:sz="0" w:space="0" w:color="auto"/>
                    <w:left w:val="none" w:sz="0" w:space="0" w:color="auto"/>
                    <w:bottom w:val="none" w:sz="0" w:space="0" w:color="auto"/>
                    <w:right w:val="none" w:sz="0" w:space="0" w:color="auto"/>
                  </w:divBdr>
                  <w:divsChild>
                    <w:div w:id="1903906287">
                      <w:marLeft w:val="0"/>
                      <w:marRight w:val="0"/>
                      <w:marTop w:val="0"/>
                      <w:marBottom w:val="0"/>
                      <w:divBdr>
                        <w:top w:val="none" w:sz="0" w:space="0" w:color="auto"/>
                        <w:left w:val="none" w:sz="0" w:space="0" w:color="auto"/>
                        <w:bottom w:val="none" w:sz="0" w:space="0" w:color="auto"/>
                        <w:right w:val="none" w:sz="0" w:space="0" w:color="auto"/>
                      </w:divBdr>
                    </w:div>
                    <w:div w:id="1582366972">
                      <w:marLeft w:val="0"/>
                      <w:marRight w:val="0"/>
                      <w:marTop w:val="0"/>
                      <w:marBottom w:val="0"/>
                      <w:divBdr>
                        <w:top w:val="none" w:sz="0" w:space="0" w:color="auto"/>
                        <w:left w:val="none" w:sz="0" w:space="0" w:color="auto"/>
                        <w:bottom w:val="none" w:sz="0" w:space="0" w:color="auto"/>
                        <w:right w:val="none" w:sz="0" w:space="0" w:color="auto"/>
                      </w:divBdr>
                    </w:div>
                    <w:div w:id="1121417765">
                      <w:marLeft w:val="0"/>
                      <w:marRight w:val="0"/>
                      <w:marTop w:val="0"/>
                      <w:marBottom w:val="0"/>
                      <w:divBdr>
                        <w:top w:val="none" w:sz="0" w:space="0" w:color="auto"/>
                        <w:left w:val="none" w:sz="0" w:space="0" w:color="auto"/>
                        <w:bottom w:val="none" w:sz="0" w:space="0" w:color="auto"/>
                        <w:right w:val="none" w:sz="0" w:space="0" w:color="auto"/>
                      </w:divBdr>
                    </w:div>
                  </w:divsChild>
                </w:div>
                <w:div w:id="1999796963">
                  <w:marLeft w:val="0"/>
                  <w:marRight w:val="0"/>
                  <w:marTop w:val="300"/>
                  <w:marBottom w:val="150"/>
                  <w:divBdr>
                    <w:top w:val="none" w:sz="0" w:space="0" w:color="auto"/>
                    <w:left w:val="none" w:sz="0" w:space="0" w:color="auto"/>
                    <w:bottom w:val="none" w:sz="0" w:space="0" w:color="auto"/>
                    <w:right w:val="none" w:sz="0" w:space="0" w:color="auto"/>
                  </w:divBdr>
                  <w:divsChild>
                    <w:div w:id="1628313760">
                      <w:marLeft w:val="0"/>
                      <w:marRight w:val="0"/>
                      <w:marTop w:val="0"/>
                      <w:marBottom w:val="0"/>
                      <w:divBdr>
                        <w:top w:val="none" w:sz="0" w:space="0" w:color="auto"/>
                        <w:left w:val="none" w:sz="0" w:space="0" w:color="auto"/>
                        <w:bottom w:val="none" w:sz="0" w:space="0" w:color="auto"/>
                        <w:right w:val="none" w:sz="0" w:space="0" w:color="auto"/>
                      </w:divBdr>
                    </w:div>
                    <w:div w:id="763185319">
                      <w:marLeft w:val="0"/>
                      <w:marRight w:val="0"/>
                      <w:marTop w:val="0"/>
                      <w:marBottom w:val="0"/>
                      <w:divBdr>
                        <w:top w:val="none" w:sz="0" w:space="0" w:color="auto"/>
                        <w:left w:val="none" w:sz="0" w:space="0" w:color="auto"/>
                        <w:bottom w:val="none" w:sz="0" w:space="0" w:color="auto"/>
                        <w:right w:val="none" w:sz="0" w:space="0" w:color="auto"/>
                      </w:divBdr>
                      <w:divsChild>
                        <w:div w:id="1406220664">
                          <w:marLeft w:val="0"/>
                          <w:marRight w:val="0"/>
                          <w:marTop w:val="0"/>
                          <w:marBottom w:val="0"/>
                          <w:divBdr>
                            <w:top w:val="none" w:sz="0" w:space="0" w:color="auto"/>
                            <w:left w:val="none" w:sz="0" w:space="0" w:color="auto"/>
                            <w:bottom w:val="none" w:sz="0" w:space="0" w:color="auto"/>
                            <w:right w:val="none" w:sz="0" w:space="0" w:color="auto"/>
                          </w:divBdr>
                        </w:div>
                        <w:div w:id="1339231290">
                          <w:marLeft w:val="0"/>
                          <w:marRight w:val="0"/>
                          <w:marTop w:val="0"/>
                          <w:marBottom w:val="0"/>
                          <w:divBdr>
                            <w:top w:val="none" w:sz="0" w:space="0" w:color="auto"/>
                            <w:left w:val="none" w:sz="0" w:space="0" w:color="auto"/>
                            <w:bottom w:val="none" w:sz="0" w:space="0" w:color="auto"/>
                            <w:right w:val="none" w:sz="0" w:space="0" w:color="auto"/>
                          </w:divBdr>
                        </w:div>
                        <w:div w:id="354311895">
                          <w:marLeft w:val="0"/>
                          <w:marRight w:val="0"/>
                          <w:marTop w:val="0"/>
                          <w:marBottom w:val="0"/>
                          <w:divBdr>
                            <w:top w:val="none" w:sz="0" w:space="0" w:color="auto"/>
                            <w:left w:val="none" w:sz="0" w:space="0" w:color="auto"/>
                            <w:bottom w:val="none" w:sz="0" w:space="0" w:color="auto"/>
                            <w:right w:val="none" w:sz="0" w:space="0" w:color="auto"/>
                          </w:divBdr>
                        </w:div>
                        <w:div w:id="1929848312">
                          <w:marLeft w:val="0"/>
                          <w:marRight w:val="0"/>
                          <w:marTop w:val="0"/>
                          <w:marBottom w:val="0"/>
                          <w:divBdr>
                            <w:top w:val="none" w:sz="0" w:space="0" w:color="auto"/>
                            <w:left w:val="none" w:sz="0" w:space="0" w:color="auto"/>
                            <w:bottom w:val="none" w:sz="0" w:space="0" w:color="auto"/>
                            <w:right w:val="none" w:sz="0" w:space="0" w:color="auto"/>
                          </w:divBdr>
                        </w:div>
                        <w:div w:id="801000241">
                          <w:marLeft w:val="0"/>
                          <w:marRight w:val="0"/>
                          <w:marTop w:val="0"/>
                          <w:marBottom w:val="0"/>
                          <w:divBdr>
                            <w:top w:val="none" w:sz="0" w:space="0" w:color="auto"/>
                            <w:left w:val="none" w:sz="0" w:space="0" w:color="auto"/>
                            <w:bottom w:val="none" w:sz="0" w:space="0" w:color="auto"/>
                            <w:right w:val="none" w:sz="0" w:space="0" w:color="auto"/>
                          </w:divBdr>
                        </w:div>
                        <w:div w:id="929193978">
                          <w:marLeft w:val="0"/>
                          <w:marRight w:val="0"/>
                          <w:marTop w:val="0"/>
                          <w:marBottom w:val="0"/>
                          <w:divBdr>
                            <w:top w:val="none" w:sz="0" w:space="0" w:color="auto"/>
                            <w:left w:val="none" w:sz="0" w:space="0" w:color="auto"/>
                            <w:bottom w:val="none" w:sz="0" w:space="0" w:color="auto"/>
                            <w:right w:val="none" w:sz="0" w:space="0" w:color="auto"/>
                          </w:divBdr>
                        </w:div>
                        <w:div w:id="619846287">
                          <w:marLeft w:val="0"/>
                          <w:marRight w:val="0"/>
                          <w:marTop w:val="0"/>
                          <w:marBottom w:val="0"/>
                          <w:divBdr>
                            <w:top w:val="none" w:sz="0" w:space="0" w:color="auto"/>
                            <w:left w:val="none" w:sz="0" w:space="0" w:color="auto"/>
                            <w:bottom w:val="none" w:sz="0" w:space="0" w:color="auto"/>
                            <w:right w:val="none" w:sz="0" w:space="0" w:color="auto"/>
                          </w:divBdr>
                        </w:div>
                        <w:div w:id="2134858099">
                          <w:marLeft w:val="0"/>
                          <w:marRight w:val="0"/>
                          <w:marTop w:val="0"/>
                          <w:marBottom w:val="0"/>
                          <w:divBdr>
                            <w:top w:val="none" w:sz="0" w:space="0" w:color="auto"/>
                            <w:left w:val="none" w:sz="0" w:space="0" w:color="auto"/>
                            <w:bottom w:val="none" w:sz="0" w:space="0" w:color="auto"/>
                            <w:right w:val="none" w:sz="0" w:space="0" w:color="auto"/>
                          </w:divBdr>
                        </w:div>
                      </w:divsChild>
                    </w:div>
                    <w:div w:id="1192650809">
                      <w:marLeft w:val="0"/>
                      <w:marRight w:val="0"/>
                      <w:marTop w:val="0"/>
                      <w:marBottom w:val="0"/>
                      <w:divBdr>
                        <w:top w:val="none" w:sz="0" w:space="0" w:color="auto"/>
                        <w:left w:val="none" w:sz="0" w:space="0" w:color="auto"/>
                        <w:bottom w:val="none" w:sz="0" w:space="0" w:color="auto"/>
                        <w:right w:val="none" w:sz="0" w:space="0" w:color="auto"/>
                      </w:divBdr>
                    </w:div>
                  </w:divsChild>
                </w:div>
                <w:div w:id="1379086624">
                  <w:marLeft w:val="0"/>
                  <w:marRight w:val="0"/>
                  <w:marTop w:val="300"/>
                  <w:marBottom w:val="150"/>
                  <w:divBdr>
                    <w:top w:val="none" w:sz="0" w:space="0" w:color="auto"/>
                    <w:left w:val="none" w:sz="0" w:space="0" w:color="auto"/>
                    <w:bottom w:val="none" w:sz="0" w:space="0" w:color="auto"/>
                    <w:right w:val="none" w:sz="0" w:space="0" w:color="auto"/>
                  </w:divBdr>
                  <w:divsChild>
                    <w:div w:id="21414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1725" TargetMode="External"/><Relationship Id="rId13" Type="http://schemas.openxmlformats.org/officeDocument/2006/relationships/hyperlink" Target="https://www.senato.it/loc/link.asp?leg=19&amp;tipodoc=sanasen&amp;id=32732" TargetMode="External"/><Relationship Id="rId3" Type="http://schemas.openxmlformats.org/officeDocument/2006/relationships/webSettings" Target="webSettings.xml"/><Relationship Id="rId7" Type="http://schemas.openxmlformats.org/officeDocument/2006/relationships/hyperlink" Target="https://www.senato.it/loc/link.asp?leg=19&amp;tipodoc=sanasen&amp;id=24016" TargetMode="External"/><Relationship Id="rId12" Type="http://schemas.openxmlformats.org/officeDocument/2006/relationships/hyperlink" Target="https://www.senato.it/loc/link.asp?leg=19&amp;tipodoc=sanasen&amp;id=24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o.it/loc/link.asp?leg=19&amp;tipodoc=sanasen&amp;id=36406" TargetMode="External"/><Relationship Id="rId11" Type="http://schemas.openxmlformats.org/officeDocument/2006/relationships/hyperlink" Target="https://www.senato.it/loc/link.asp?leg=19&amp;tipodoc=sanasen&amp;id=32732" TargetMode="External"/><Relationship Id="rId5" Type="http://schemas.openxmlformats.org/officeDocument/2006/relationships/hyperlink" Target="https://www.senato.it/loc/link.asp?leg=19&amp;tipodoc=sanasen&amp;id=32732" TargetMode="External"/><Relationship Id="rId15" Type="http://schemas.openxmlformats.org/officeDocument/2006/relationships/theme" Target="theme/theme1.xml"/><Relationship Id="rId10" Type="http://schemas.openxmlformats.org/officeDocument/2006/relationships/hyperlink" Target="https://www.senato.it/loc/link.asp?leg=19&amp;tipodoc=sanasen&amp;id=33110" TargetMode="External"/><Relationship Id="rId4" Type="http://schemas.openxmlformats.org/officeDocument/2006/relationships/hyperlink" Target="https://www.senato.it/loc/link.asp?leg=19&amp;tipodoc=sddliter&amp;id=56787" TargetMode="External"/><Relationship Id="rId9" Type="http://schemas.openxmlformats.org/officeDocument/2006/relationships/hyperlink" Target="https://www.senato.it/loc/link.asp?leg=19&amp;tipodoc=sanasen&amp;id=3645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Marcello</cp:lastModifiedBy>
  <cp:revision>1</cp:revision>
  <dcterms:created xsi:type="dcterms:W3CDTF">2024-01-18T15:43:00Z</dcterms:created>
  <dcterms:modified xsi:type="dcterms:W3CDTF">2024-01-18T15:48:00Z</dcterms:modified>
</cp:coreProperties>
</file>