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0B6FD6" w14:textId="77777777" w:rsidR="00B217E4" w:rsidRPr="00B217E4" w:rsidRDefault="00B217E4" w:rsidP="00B217E4">
      <w:pPr>
        <w:spacing w:after="0" w:line="240" w:lineRule="auto"/>
        <w:jc w:val="both"/>
        <w:rPr>
          <w:rFonts w:ascii="Arial" w:hAnsi="Arial" w:cs="Arial"/>
          <w:sz w:val="24"/>
          <w:szCs w:val="24"/>
          <w:lang w:val="it"/>
        </w:rPr>
      </w:pPr>
    </w:p>
    <w:p w14:paraId="18547B73" w14:textId="77777777" w:rsidR="00B217E4" w:rsidRPr="00B217E4" w:rsidRDefault="00B217E4" w:rsidP="00B217E4">
      <w:pPr>
        <w:spacing w:after="0" w:line="240" w:lineRule="auto"/>
        <w:jc w:val="both"/>
        <w:rPr>
          <w:rFonts w:ascii="Arial" w:hAnsi="Arial" w:cs="Arial"/>
          <w:sz w:val="24"/>
          <w:szCs w:val="24"/>
          <w:lang w:val="it"/>
        </w:rPr>
      </w:pPr>
    </w:p>
    <w:p w14:paraId="26741F05" w14:textId="500A48AD" w:rsidR="00B217E4" w:rsidRPr="00B217E4" w:rsidRDefault="008B289F" w:rsidP="00B217E4">
      <w:pPr>
        <w:spacing w:after="0" w:line="240" w:lineRule="auto"/>
        <w:jc w:val="both"/>
        <w:rPr>
          <w:rFonts w:ascii="Arial" w:hAnsi="Arial" w:cs="Arial"/>
          <w:sz w:val="24"/>
          <w:szCs w:val="24"/>
          <w:lang w:val="it"/>
        </w:rPr>
      </w:pPr>
      <w:r w:rsidRPr="008B289F">
        <w:rPr>
          <w:rFonts w:ascii="Arial" w:hAnsi="Arial" w:cs="Arial"/>
          <w:b/>
          <w:bCs/>
          <w:sz w:val="24"/>
          <w:szCs w:val="24"/>
          <w:lang w:val="it"/>
        </w:rPr>
        <w:t xml:space="preserve">Corte di </w:t>
      </w:r>
      <w:r w:rsidRPr="00D318EB">
        <w:rPr>
          <w:rFonts w:ascii="Arial" w:hAnsi="Arial" w:cs="Arial"/>
          <w:b/>
          <w:bCs/>
          <w:sz w:val="24"/>
          <w:szCs w:val="24"/>
          <w:lang w:val="it"/>
        </w:rPr>
        <w:t>Cass</w:t>
      </w:r>
      <w:r w:rsidRPr="008B289F">
        <w:rPr>
          <w:rFonts w:ascii="Arial" w:hAnsi="Arial" w:cs="Arial"/>
          <w:b/>
          <w:bCs/>
          <w:sz w:val="24"/>
          <w:szCs w:val="24"/>
          <w:lang w:val="it"/>
        </w:rPr>
        <w:t xml:space="preserve">azione </w:t>
      </w:r>
      <w:proofErr w:type="spellStart"/>
      <w:r w:rsidRPr="00D318EB">
        <w:rPr>
          <w:rFonts w:ascii="Arial" w:hAnsi="Arial" w:cs="Arial"/>
          <w:b/>
          <w:bCs/>
          <w:sz w:val="24"/>
          <w:szCs w:val="24"/>
          <w:lang w:val="it"/>
        </w:rPr>
        <w:t>Ord</w:t>
      </w:r>
      <w:proofErr w:type="spellEnd"/>
      <w:r w:rsidRPr="00D318EB">
        <w:rPr>
          <w:rFonts w:ascii="Arial" w:hAnsi="Arial" w:cs="Arial"/>
          <w:b/>
          <w:bCs/>
          <w:sz w:val="24"/>
          <w:szCs w:val="24"/>
          <w:lang w:val="it"/>
        </w:rPr>
        <w:t>., 31/01/2024, n. 2913</w:t>
      </w:r>
      <w:r w:rsidRPr="008B289F">
        <w:rPr>
          <w:rFonts w:ascii="Arial" w:hAnsi="Arial" w:cs="Arial"/>
          <w:b/>
          <w:bCs/>
          <w:sz w:val="24"/>
          <w:szCs w:val="24"/>
          <w:lang w:val="it"/>
        </w:rPr>
        <w:t xml:space="preserve"> - Medici specializzandi </w:t>
      </w:r>
      <w:r>
        <w:rPr>
          <w:rFonts w:ascii="Arial" w:hAnsi="Arial" w:cs="Arial"/>
          <w:b/>
          <w:bCs/>
          <w:sz w:val="24"/>
          <w:szCs w:val="24"/>
          <w:lang w:val="it"/>
        </w:rPr>
        <w:t xml:space="preserve">- </w:t>
      </w:r>
      <w:r w:rsidR="00B217E4" w:rsidRPr="00B217E4">
        <w:rPr>
          <w:rFonts w:ascii="Arial" w:hAnsi="Arial" w:cs="Arial"/>
          <w:sz w:val="24"/>
          <w:szCs w:val="24"/>
          <w:lang w:val="it"/>
        </w:rPr>
        <w:t>ORDINANZA</w:t>
      </w:r>
      <w:r w:rsidR="00B217E4">
        <w:rPr>
          <w:rFonts w:ascii="Arial" w:hAnsi="Arial" w:cs="Arial"/>
          <w:sz w:val="24"/>
          <w:szCs w:val="24"/>
          <w:lang w:val="it"/>
        </w:rPr>
        <w:t xml:space="preserve"> </w:t>
      </w:r>
      <w:r w:rsidR="00B217E4" w:rsidRPr="00B217E4">
        <w:rPr>
          <w:rFonts w:ascii="Arial" w:hAnsi="Arial" w:cs="Arial"/>
          <w:sz w:val="24"/>
          <w:szCs w:val="24"/>
          <w:lang w:val="it"/>
        </w:rPr>
        <w:t>sul ricorso n. 28880/2019 proposto da:</w:t>
      </w:r>
      <w:r w:rsidR="00B217E4">
        <w:rPr>
          <w:rFonts w:ascii="Arial" w:hAnsi="Arial" w:cs="Arial"/>
          <w:sz w:val="24"/>
          <w:szCs w:val="24"/>
          <w:lang w:val="it"/>
        </w:rPr>
        <w:t xml:space="preserve"> </w:t>
      </w:r>
      <w:r w:rsidR="00B217E4" w:rsidRPr="00B217E4">
        <w:rPr>
          <w:rFonts w:ascii="Arial" w:hAnsi="Arial" w:cs="Arial"/>
          <w:sz w:val="24"/>
          <w:szCs w:val="24"/>
          <w:lang w:val="it"/>
        </w:rPr>
        <w:t xml:space="preserve">A.A. e B.B., rappresentate e difese dall'Avv. Mario </w:t>
      </w:r>
      <w:proofErr w:type="spellStart"/>
      <w:r w:rsidR="00B217E4" w:rsidRPr="00B217E4">
        <w:rPr>
          <w:rFonts w:ascii="Arial" w:hAnsi="Arial" w:cs="Arial"/>
          <w:sz w:val="24"/>
          <w:szCs w:val="24"/>
          <w:lang w:val="it"/>
        </w:rPr>
        <w:t>Intilisano</w:t>
      </w:r>
      <w:proofErr w:type="spellEnd"/>
      <w:r w:rsidR="00B217E4" w:rsidRPr="00B217E4">
        <w:rPr>
          <w:rFonts w:ascii="Arial" w:hAnsi="Arial" w:cs="Arial"/>
          <w:sz w:val="24"/>
          <w:szCs w:val="24"/>
          <w:lang w:val="it"/>
        </w:rPr>
        <w:t xml:space="preserve"> e domiciliate per legge presso la Cancelleria della Suprema Corte di cassazione;</w:t>
      </w:r>
      <w:r w:rsidR="00B217E4">
        <w:rPr>
          <w:rFonts w:ascii="Arial" w:hAnsi="Arial" w:cs="Arial"/>
          <w:sz w:val="24"/>
          <w:szCs w:val="24"/>
          <w:lang w:val="it"/>
        </w:rPr>
        <w:t xml:space="preserve"> </w:t>
      </w:r>
      <w:r w:rsidR="00B217E4" w:rsidRPr="00B217E4">
        <w:rPr>
          <w:rFonts w:ascii="Arial" w:hAnsi="Arial" w:cs="Arial"/>
          <w:sz w:val="24"/>
          <w:szCs w:val="24"/>
          <w:lang w:val="it"/>
        </w:rPr>
        <w:t>- ricorrenti -contro</w:t>
      </w:r>
      <w:r w:rsidR="00B217E4">
        <w:rPr>
          <w:rFonts w:ascii="Arial" w:hAnsi="Arial" w:cs="Arial"/>
          <w:sz w:val="24"/>
          <w:szCs w:val="24"/>
          <w:lang w:val="it"/>
        </w:rPr>
        <w:t xml:space="preserve"> </w:t>
      </w:r>
      <w:r w:rsidR="00B217E4" w:rsidRPr="00B217E4">
        <w:rPr>
          <w:rFonts w:ascii="Arial" w:hAnsi="Arial" w:cs="Arial"/>
          <w:sz w:val="24"/>
          <w:szCs w:val="24"/>
          <w:lang w:val="it"/>
        </w:rPr>
        <w:t>Presidenza del Consiglio dei ministri, Ministero dell'Istruzione, Università e Ricerca, Ministero della Salute, Ministero dell'Economia e delle Finanze e Università degli Studi di Messina, in persona dei legali rappresentanti p.t., rappresentati e difesi per legge dall'Avvocatura generale dello Stato e domiciliati presso questa in Roma, via dei Portoghesi 12;</w:t>
      </w:r>
      <w:r w:rsidR="00B217E4">
        <w:rPr>
          <w:rFonts w:ascii="Arial" w:hAnsi="Arial" w:cs="Arial"/>
          <w:sz w:val="24"/>
          <w:szCs w:val="24"/>
          <w:lang w:val="it"/>
        </w:rPr>
        <w:t xml:space="preserve"> </w:t>
      </w:r>
      <w:r w:rsidR="00B217E4" w:rsidRPr="00B217E4">
        <w:rPr>
          <w:rFonts w:ascii="Arial" w:hAnsi="Arial" w:cs="Arial"/>
          <w:sz w:val="24"/>
          <w:szCs w:val="24"/>
          <w:lang w:val="it"/>
        </w:rPr>
        <w:t>- controricorrenti e ricorrenti incidentali -avverso la SENTENZA della Corte d'appello di Messina, n. 167/2019, pubblicata il 13 marzo 2019.</w:t>
      </w:r>
    </w:p>
    <w:p w14:paraId="5CEA01F5" w14:textId="5F4A57A9" w:rsidR="00B217E4" w:rsidRPr="00B217E4" w:rsidRDefault="00B217E4" w:rsidP="00B217E4">
      <w:pPr>
        <w:spacing w:after="0" w:line="240" w:lineRule="auto"/>
        <w:jc w:val="both"/>
        <w:rPr>
          <w:rFonts w:ascii="Arial" w:hAnsi="Arial" w:cs="Arial"/>
          <w:sz w:val="24"/>
          <w:szCs w:val="24"/>
          <w:lang w:val="it"/>
        </w:rPr>
      </w:pPr>
      <w:r w:rsidRPr="00B217E4">
        <w:rPr>
          <w:rFonts w:ascii="Arial" w:hAnsi="Arial" w:cs="Arial"/>
          <w:sz w:val="24"/>
          <w:szCs w:val="24"/>
          <w:lang w:val="it"/>
        </w:rPr>
        <w:t>Udita la relazione svolta nella camera di consiglio del 10/01/2024 dal Consigliere Dario Cavallari.</w:t>
      </w:r>
      <w:r w:rsidR="00A76F94">
        <w:rPr>
          <w:rFonts w:ascii="Arial" w:hAnsi="Arial" w:cs="Arial"/>
          <w:sz w:val="24"/>
          <w:szCs w:val="24"/>
          <w:lang w:val="it"/>
        </w:rPr>
        <w:t xml:space="preserve"> </w:t>
      </w:r>
      <w:r w:rsidRPr="00B217E4">
        <w:rPr>
          <w:rFonts w:ascii="Arial" w:hAnsi="Arial" w:cs="Arial"/>
          <w:sz w:val="24"/>
          <w:szCs w:val="24"/>
          <w:lang w:val="it"/>
        </w:rPr>
        <w:t>Svolgimento del processo</w:t>
      </w:r>
    </w:p>
    <w:p w14:paraId="185A0EF7" w14:textId="77777777" w:rsidR="00B217E4" w:rsidRPr="00B217E4" w:rsidRDefault="00B217E4" w:rsidP="00B217E4">
      <w:pPr>
        <w:spacing w:after="0" w:line="240" w:lineRule="auto"/>
        <w:jc w:val="both"/>
        <w:rPr>
          <w:rFonts w:ascii="Arial" w:hAnsi="Arial" w:cs="Arial"/>
          <w:sz w:val="24"/>
          <w:szCs w:val="24"/>
          <w:lang w:val="it"/>
        </w:rPr>
      </w:pPr>
      <w:r w:rsidRPr="00B217E4">
        <w:rPr>
          <w:rFonts w:ascii="Arial" w:hAnsi="Arial" w:cs="Arial"/>
          <w:sz w:val="24"/>
          <w:szCs w:val="24"/>
          <w:lang w:val="it"/>
        </w:rPr>
        <w:t>A.A. e B.B. hanno adito il Tribunale di Messina, esponendo di essere medici che avevano frequentato le scuole di specializzazione presso l'Università degli Studi di Messina.</w:t>
      </w:r>
    </w:p>
    <w:p w14:paraId="6AC39723" w14:textId="77777777" w:rsidR="00B217E4" w:rsidRPr="00B217E4" w:rsidRDefault="00B217E4" w:rsidP="00B217E4">
      <w:pPr>
        <w:spacing w:after="0" w:line="240" w:lineRule="auto"/>
        <w:jc w:val="both"/>
        <w:rPr>
          <w:rFonts w:ascii="Arial" w:hAnsi="Arial" w:cs="Arial"/>
          <w:sz w:val="24"/>
          <w:szCs w:val="24"/>
          <w:lang w:val="it"/>
        </w:rPr>
      </w:pPr>
      <w:r w:rsidRPr="00B217E4">
        <w:rPr>
          <w:rFonts w:ascii="Arial" w:hAnsi="Arial" w:cs="Arial"/>
          <w:sz w:val="24"/>
          <w:szCs w:val="24"/>
          <w:lang w:val="it"/>
        </w:rPr>
        <w:t>Esse hanno domandato il riconoscimento del diritto a essere inquadrate come lavoratori subordinati con contratto di formazione e lavoro e pagamento di tutte le differenze retributive con la regolarizzazione della posizione individuale, contributiva e previdenziale.</w:t>
      </w:r>
    </w:p>
    <w:p w14:paraId="09253D24" w14:textId="77777777" w:rsidR="00B217E4" w:rsidRPr="00B217E4" w:rsidRDefault="00B217E4" w:rsidP="00B217E4">
      <w:pPr>
        <w:spacing w:after="0" w:line="240" w:lineRule="auto"/>
        <w:jc w:val="both"/>
        <w:rPr>
          <w:rFonts w:ascii="Arial" w:hAnsi="Arial" w:cs="Arial"/>
          <w:sz w:val="24"/>
          <w:szCs w:val="24"/>
          <w:lang w:val="it"/>
        </w:rPr>
      </w:pPr>
      <w:r w:rsidRPr="00B217E4">
        <w:rPr>
          <w:rFonts w:ascii="Arial" w:hAnsi="Arial" w:cs="Arial"/>
          <w:sz w:val="24"/>
          <w:szCs w:val="24"/>
          <w:lang w:val="it"/>
        </w:rPr>
        <w:t>Hanno chiesto pure l'estensione delle norme sul trattamento economico dei medici in formazione specialistica per evitare disparità di trattamento, con correlato pagamento, e, in via subordinata, la condanna al risarcimento dei danni per la mancata attuazione della Direttiva 93/16.</w:t>
      </w:r>
    </w:p>
    <w:p w14:paraId="50E9667B" w14:textId="77777777" w:rsidR="00B217E4" w:rsidRPr="00B217E4" w:rsidRDefault="00B217E4" w:rsidP="00B217E4">
      <w:pPr>
        <w:spacing w:after="0" w:line="240" w:lineRule="auto"/>
        <w:jc w:val="both"/>
        <w:rPr>
          <w:rFonts w:ascii="Arial" w:hAnsi="Arial" w:cs="Arial"/>
          <w:sz w:val="24"/>
          <w:szCs w:val="24"/>
          <w:lang w:val="it"/>
        </w:rPr>
      </w:pPr>
      <w:r w:rsidRPr="00B217E4">
        <w:rPr>
          <w:rFonts w:ascii="Arial" w:hAnsi="Arial" w:cs="Arial"/>
          <w:sz w:val="24"/>
          <w:szCs w:val="24"/>
          <w:lang w:val="it"/>
        </w:rPr>
        <w:t>Il Tribunale di Messina, nel contraddittorio delle parti, con sentenza n. 1442/2016, ha dichiarato l'incompetenza per territorio del giudice adito in favore del Tribunale di Roma in ordine alla domanda di risarcimento per violazione del diritto comunitario e il difetto di legittimazione passiva della Regione Sicilia e dell'Assessorato alla Sanità della Regione Sicilia. Inoltre, ha condannato l'Università degli Studi di Messina a pagare alle ricorrenti i maggiori importi dovuti sulle borse di studio in ragione dell'applicazione del tasso di inflazione programmatico e degli incrementi contrattuali per il personale medico del SSN.</w:t>
      </w:r>
    </w:p>
    <w:p w14:paraId="19A798A6" w14:textId="0821340D" w:rsidR="00B217E4" w:rsidRPr="00B217E4" w:rsidRDefault="00B217E4" w:rsidP="00B217E4">
      <w:pPr>
        <w:spacing w:after="0" w:line="240" w:lineRule="auto"/>
        <w:jc w:val="both"/>
        <w:rPr>
          <w:rFonts w:ascii="Arial" w:hAnsi="Arial" w:cs="Arial"/>
          <w:sz w:val="24"/>
          <w:szCs w:val="24"/>
          <w:lang w:val="it"/>
        </w:rPr>
      </w:pPr>
      <w:r w:rsidRPr="00B217E4">
        <w:rPr>
          <w:rFonts w:ascii="Arial" w:hAnsi="Arial" w:cs="Arial"/>
          <w:sz w:val="24"/>
          <w:szCs w:val="24"/>
          <w:lang w:val="it"/>
        </w:rPr>
        <w:t>L'Università degli Studi di Messina ha proposto appello, assumendo il decorso della prescrizione quinquennale.</w:t>
      </w:r>
    </w:p>
    <w:p w14:paraId="541561F5" w14:textId="7CD681CE" w:rsidR="00B217E4" w:rsidRPr="00B217E4" w:rsidRDefault="00B217E4" w:rsidP="00B217E4">
      <w:pPr>
        <w:spacing w:after="0" w:line="240" w:lineRule="auto"/>
        <w:jc w:val="both"/>
        <w:rPr>
          <w:rFonts w:ascii="Arial" w:hAnsi="Arial" w:cs="Arial"/>
          <w:sz w:val="24"/>
          <w:szCs w:val="24"/>
          <w:lang w:val="it"/>
        </w:rPr>
      </w:pPr>
      <w:r w:rsidRPr="00B217E4">
        <w:rPr>
          <w:rFonts w:ascii="Arial" w:hAnsi="Arial" w:cs="Arial"/>
          <w:sz w:val="24"/>
          <w:szCs w:val="24"/>
          <w:lang w:val="it"/>
        </w:rPr>
        <w:t>Si sono costituite A.A. e B.B., mentre le altre Amministrazioni sono rimaste contumaci.</w:t>
      </w:r>
    </w:p>
    <w:p w14:paraId="032E5211" w14:textId="4C3EA6AF" w:rsidR="00B217E4" w:rsidRPr="00B217E4" w:rsidRDefault="00B217E4" w:rsidP="00B217E4">
      <w:pPr>
        <w:spacing w:after="0" w:line="240" w:lineRule="auto"/>
        <w:jc w:val="both"/>
        <w:rPr>
          <w:rFonts w:ascii="Arial" w:hAnsi="Arial" w:cs="Arial"/>
          <w:sz w:val="24"/>
          <w:szCs w:val="24"/>
          <w:lang w:val="it"/>
        </w:rPr>
      </w:pPr>
      <w:r w:rsidRPr="00B217E4">
        <w:rPr>
          <w:rFonts w:ascii="Arial" w:hAnsi="Arial" w:cs="Arial"/>
          <w:sz w:val="24"/>
          <w:szCs w:val="24"/>
          <w:lang w:val="it"/>
        </w:rPr>
        <w:t>La Corte d'appello di Messina, con sentenza n. 167/2019, ha accolto il gravame.</w:t>
      </w:r>
    </w:p>
    <w:p w14:paraId="153F62D5" w14:textId="1A8D6251" w:rsidR="00B217E4" w:rsidRPr="00B217E4" w:rsidRDefault="00B217E4" w:rsidP="00B217E4">
      <w:pPr>
        <w:spacing w:after="0" w:line="240" w:lineRule="auto"/>
        <w:jc w:val="both"/>
        <w:rPr>
          <w:rFonts w:ascii="Arial" w:hAnsi="Arial" w:cs="Arial"/>
          <w:sz w:val="24"/>
          <w:szCs w:val="24"/>
          <w:lang w:val="it"/>
        </w:rPr>
      </w:pPr>
      <w:r w:rsidRPr="00B217E4">
        <w:rPr>
          <w:rFonts w:ascii="Arial" w:hAnsi="Arial" w:cs="Arial"/>
          <w:sz w:val="24"/>
          <w:szCs w:val="24"/>
          <w:lang w:val="it"/>
        </w:rPr>
        <w:t>A.A. e B.B. hanno proposto ricorso per cassazione sulla base di un motivo.</w:t>
      </w:r>
    </w:p>
    <w:p w14:paraId="353695BA" w14:textId="3D016FA1" w:rsidR="00B217E4" w:rsidRPr="00B217E4" w:rsidRDefault="00B217E4" w:rsidP="00B217E4">
      <w:pPr>
        <w:spacing w:after="0" w:line="240" w:lineRule="auto"/>
        <w:jc w:val="both"/>
        <w:rPr>
          <w:rFonts w:ascii="Arial" w:hAnsi="Arial" w:cs="Arial"/>
          <w:sz w:val="24"/>
          <w:szCs w:val="24"/>
          <w:lang w:val="it"/>
        </w:rPr>
      </w:pPr>
      <w:r w:rsidRPr="00B217E4">
        <w:rPr>
          <w:rFonts w:ascii="Arial" w:hAnsi="Arial" w:cs="Arial"/>
          <w:sz w:val="24"/>
          <w:szCs w:val="24"/>
          <w:lang w:val="it"/>
        </w:rPr>
        <w:t>La Presidenza del Consiglio dei ministri, il Ministero dell'Istruzione, Università e Ricerca, il Ministero della Salute, il Ministero dell'Economia e delle Finanze e l'Università degli Studi di Messina si sono difesi con controricorso e hanno proposto ricorso incidentale condizionato sulla base di un motivo.</w:t>
      </w:r>
    </w:p>
    <w:p w14:paraId="42484AAE" w14:textId="7B2441C9" w:rsidR="00B217E4" w:rsidRPr="00B217E4" w:rsidRDefault="00B217E4" w:rsidP="00B217E4">
      <w:pPr>
        <w:spacing w:after="0" w:line="240" w:lineRule="auto"/>
        <w:jc w:val="both"/>
        <w:rPr>
          <w:rFonts w:ascii="Arial" w:hAnsi="Arial" w:cs="Arial"/>
          <w:sz w:val="24"/>
          <w:szCs w:val="24"/>
          <w:lang w:val="it"/>
        </w:rPr>
      </w:pPr>
      <w:r w:rsidRPr="00B217E4">
        <w:rPr>
          <w:rFonts w:ascii="Arial" w:hAnsi="Arial" w:cs="Arial"/>
          <w:sz w:val="24"/>
          <w:szCs w:val="24"/>
          <w:lang w:val="it"/>
        </w:rPr>
        <w:t>Le ricorrenti hanno depositato controricorso e memorie.</w:t>
      </w:r>
    </w:p>
    <w:p w14:paraId="6A65CF7F" w14:textId="77777777" w:rsidR="00B217E4" w:rsidRPr="00B217E4" w:rsidRDefault="00B217E4" w:rsidP="00B217E4">
      <w:pPr>
        <w:spacing w:after="0" w:line="240" w:lineRule="auto"/>
        <w:jc w:val="both"/>
        <w:rPr>
          <w:rFonts w:ascii="Arial" w:hAnsi="Arial" w:cs="Arial"/>
          <w:sz w:val="24"/>
          <w:szCs w:val="24"/>
          <w:lang w:val="it"/>
        </w:rPr>
      </w:pPr>
      <w:r w:rsidRPr="00B217E4">
        <w:rPr>
          <w:rFonts w:ascii="Arial" w:hAnsi="Arial" w:cs="Arial"/>
          <w:sz w:val="24"/>
          <w:szCs w:val="24"/>
          <w:lang w:val="it"/>
        </w:rPr>
        <w:t>Motivi della decisione</w:t>
      </w:r>
    </w:p>
    <w:p w14:paraId="51BC94AA" w14:textId="4AA01F04" w:rsidR="00B217E4" w:rsidRPr="00B217E4" w:rsidRDefault="00B217E4" w:rsidP="00B217E4">
      <w:pPr>
        <w:spacing w:after="0" w:line="240" w:lineRule="auto"/>
        <w:jc w:val="both"/>
        <w:rPr>
          <w:rFonts w:ascii="Arial" w:hAnsi="Arial" w:cs="Arial"/>
          <w:sz w:val="24"/>
          <w:szCs w:val="24"/>
          <w:lang w:val="it"/>
        </w:rPr>
      </w:pPr>
      <w:r w:rsidRPr="00B217E4">
        <w:rPr>
          <w:rFonts w:ascii="Arial" w:hAnsi="Arial" w:cs="Arial"/>
          <w:sz w:val="24"/>
          <w:szCs w:val="24"/>
          <w:lang w:val="it"/>
        </w:rPr>
        <w:t>1) Preliminarmente si osserva che la sentenza di primo grado ha ritenuto la legittimazione passiva dell'Università degli Studi di Messina.</w:t>
      </w:r>
    </w:p>
    <w:p w14:paraId="3BA59F87" w14:textId="7BD2AD73" w:rsidR="00B217E4" w:rsidRPr="00B217E4" w:rsidRDefault="00B217E4" w:rsidP="00B217E4">
      <w:pPr>
        <w:spacing w:after="0" w:line="240" w:lineRule="auto"/>
        <w:jc w:val="both"/>
        <w:rPr>
          <w:rFonts w:ascii="Arial" w:hAnsi="Arial" w:cs="Arial"/>
          <w:sz w:val="24"/>
          <w:szCs w:val="24"/>
          <w:lang w:val="it"/>
        </w:rPr>
      </w:pPr>
      <w:r w:rsidRPr="00B217E4">
        <w:rPr>
          <w:rFonts w:ascii="Arial" w:hAnsi="Arial" w:cs="Arial"/>
          <w:sz w:val="24"/>
          <w:szCs w:val="24"/>
          <w:lang w:val="it"/>
        </w:rPr>
        <w:t xml:space="preserve">Questa affermazione si pone in contrasto con la giurisprudenza di questa S.C. (Cass., Sez. L, n. 18710 del 23 settembre 2016), la quale ha affermato che, in tema di borse di studio per i medici specializzandi, e relativi meccanismi di rivalutazione automatica, istituite dall'art. 6 del d.lgs. n. 257 del 1991 e finanziate dal Ministero dell'Economia e delle Finanze, sulla base di un decreto interministeriale adottato dal MIUR e dai Ministri della Salute e dell'Economia, sussiste carenza di legittimazione passiva in senso sostanziale dell'Università degli Studi che provvede </w:t>
      </w:r>
      <w:r w:rsidRPr="00B217E4">
        <w:rPr>
          <w:rFonts w:ascii="Arial" w:hAnsi="Arial" w:cs="Arial"/>
          <w:sz w:val="24"/>
          <w:szCs w:val="24"/>
          <w:lang w:val="it"/>
        </w:rPr>
        <w:lastRenderedPageBreak/>
        <w:t>alla mera corresponsione materiale della somma, senza che le possa essere imputato alcun comportamento inerte in tema di violazione degli obblighi di attuazione e recepimento delle direttive comunitarie in materia.</w:t>
      </w:r>
    </w:p>
    <w:p w14:paraId="183C5172" w14:textId="5C54FC2D" w:rsidR="00B217E4" w:rsidRPr="00B217E4" w:rsidRDefault="00B217E4" w:rsidP="00B217E4">
      <w:pPr>
        <w:spacing w:after="0" w:line="240" w:lineRule="auto"/>
        <w:jc w:val="both"/>
        <w:rPr>
          <w:rFonts w:ascii="Arial" w:hAnsi="Arial" w:cs="Arial"/>
          <w:sz w:val="24"/>
          <w:szCs w:val="24"/>
          <w:lang w:val="it"/>
        </w:rPr>
      </w:pPr>
      <w:r w:rsidRPr="00B217E4">
        <w:rPr>
          <w:rFonts w:ascii="Arial" w:hAnsi="Arial" w:cs="Arial"/>
          <w:sz w:val="24"/>
          <w:szCs w:val="24"/>
          <w:lang w:val="it"/>
        </w:rPr>
        <w:t>Ne consegue che, trattandosi di questione attinente alla titolarità del rapporto controverso, rilevabile anche d'ufficio, in qualunque stato e grado del giudizio, fermi i limiti del giudicato, qualora detto ente sia stato l'unico soggetto convenuto in giudizio, l'azione non è proseguibile.</w:t>
      </w:r>
    </w:p>
    <w:p w14:paraId="5F775663" w14:textId="435B3DAA" w:rsidR="00B217E4" w:rsidRPr="00B217E4" w:rsidRDefault="00B217E4" w:rsidP="00B217E4">
      <w:pPr>
        <w:spacing w:after="0" w:line="240" w:lineRule="auto"/>
        <w:jc w:val="both"/>
        <w:rPr>
          <w:rFonts w:ascii="Arial" w:hAnsi="Arial" w:cs="Arial"/>
          <w:sz w:val="24"/>
          <w:szCs w:val="24"/>
          <w:lang w:val="it"/>
        </w:rPr>
      </w:pPr>
      <w:r w:rsidRPr="00B217E4">
        <w:rPr>
          <w:rFonts w:ascii="Arial" w:hAnsi="Arial" w:cs="Arial"/>
          <w:sz w:val="24"/>
          <w:szCs w:val="24"/>
          <w:lang w:val="it"/>
        </w:rPr>
        <w:t>Nella specie, si evidenzia che il Tribunale di Messina ha statuito espressamente in ordine alla legittimazione passiva dell'Università degli Studi di Messina e che la relativa pronuncia non è stata oggetto di appello.</w:t>
      </w:r>
    </w:p>
    <w:p w14:paraId="49DAA435" w14:textId="1E596B24" w:rsidR="00B217E4" w:rsidRPr="00B217E4" w:rsidRDefault="00B217E4" w:rsidP="00B217E4">
      <w:pPr>
        <w:spacing w:after="0" w:line="240" w:lineRule="auto"/>
        <w:jc w:val="both"/>
        <w:rPr>
          <w:rFonts w:ascii="Arial" w:hAnsi="Arial" w:cs="Arial"/>
          <w:sz w:val="24"/>
          <w:szCs w:val="24"/>
          <w:lang w:val="it"/>
        </w:rPr>
      </w:pPr>
      <w:r w:rsidRPr="00B217E4">
        <w:rPr>
          <w:rFonts w:ascii="Arial" w:hAnsi="Arial" w:cs="Arial"/>
          <w:sz w:val="24"/>
          <w:szCs w:val="24"/>
          <w:lang w:val="it"/>
        </w:rPr>
        <w:t>Pertanto, detta questione non può più essere esaminata da questa S.C., con la conseguenza che il ricorso verrà deciso prescindendo dal difetto di legittimazione passiva dell'Università degli Studi di Messina.</w:t>
      </w:r>
    </w:p>
    <w:p w14:paraId="491AB753" w14:textId="67700962" w:rsidR="00B217E4" w:rsidRPr="00B217E4" w:rsidRDefault="00B217E4" w:rsidP="00B217E4">
      <w:pPr>
        <w:spacing w:after="0" w:line="240" w:lineRule="auto"/>
        <w:jc w:val="both"/>
        <w:rPr>
          <w:rFonts w:ascii="Arial" w:hAnsi="Arial" w:cs="Arial"/>
          <w:sz w:val="24"/>
          <w:szCs w:val="24"/>
          <w:lang w:val="it"/>
        </w:rPr>
      </w:pPr>
      <w:r w:rsidRPr="00B217E4">
        <w:rPr>
          <w:rFonts w:ascii="Arial" w:hAnsi="Arial" w:cs="Arial"/>
          <w:sz w:val="24"/>
          <w:szCs w:val="24"/>
          <w:lang w:val="it"/>
        </w:rPr>
        <w:t>2) Con il primo motivo le ricorrenti lamentano la violazione e falsa applicazione degli artt. 2946 e 2948 c.c. in quanto la corte territoriale avrebbe errato nel considerare il credito da loro azionato, concernente la rivalutazione annuale e la rideterminazione triennale dell'importo della borsa di studio loro spettante ex art. 6 della legge n. 257 del 1991, soggetto a prescrizione quinquennale e non decennale.</w:t>
      </w:r>
    </w:p>
    <w:p w14:paraId="5AD486E3" w14:textId="5024F57A" w:rsidR="00B217E4" w:rsidRPr="00B217E4" w:rsidRDefault="00B217E4" w:rsidP="00B217E4">
      <w:pPr>
        <w:spacing w:after="0" w:line="240" w:lineRule="auto"/>
        <w:jc w:val="both"/>
        <w:rPr>
          <w:rFonts w:ascii="Arial" w:hAnsi="Arial" w:cs="Arial"/>
          <w:sz w:val="24"/>
          <w:szCs w:val="24"/>
          <w:lang w:val="it"/>
        </w:rPr>
      </w:pPr>
      <w:r w:rsidRPr="00B217E4">
        <w:rPr>
          <w:rFonts w:ascii="Arial" w:hAnsi="Arial" w:cs="Arial"/>
          <w:sz w:val="24"/>
          <w:szCs w:val="24"/>
          <w:lang w:val="it"/>
        </w:rPr>
        <w:t>Il motivo è fondato.</w:t>
      </w:r>
    </w:p>
    <w:p w14:paraId="22377A00" w14:textId="34EA3358" w:rsidR="00B217E4" w:rsidRPr="00B217E4" w:rsidRDefault="00B217E4" w:rsidP="00B217E4">
      <w:pPr>
        <w:spacing w:after="0" w:line="240" w:lineRule="auto"/>
        <w:jc w:val="both"/>
        <w:rPr>
          <w:rFonts w:ascii="Arial" w:hAnsi="Arial" w:cs="Arial"/>
          <w:sz w:val="24"/>
          <w:szCs w:val="24"/>
          <w:lang w:val="it"/>
        </w:rPr>
      </w:pPr>
      <w:r w:rsidRPr="00B217E4">
        <w:rPr>
          <w:rFonts w:ascii="Arial" w:hAnsi="Arial" w:cs="Arial"/>
          <w:sz w:val="24"/>
          <w:szCs w:val="24"/>
          <w:lang w:val="it"/>
        </w:rPr>
        <w:t>Sostiene la corte territoriale che il credito azionato si prescriverebbe nel giro di cinque anni in quanto, a fronte dell'adeguamento dell'importo in esame ogni tre anni, conseguirebbe un'erogazione da corrispondersi periodicamente, con il risultato che sarebbe stato operativo il termine di cinque anni previsto dall'art. 2948, n. 4, c.c.</w:t>
      </w:r>
    </w:p>
    <w:p w14:paraId="2DB79F69" w14:textId="17C091A2" w:rsidR="00B217E4" w:rsidRPr="00B217E4" w:rsidRDefault="00B217E4" w:rsidP="00B217E4">
      <w:pPr>
        <w:spacing w:after="0" w:line="240" w:lineRule="auto"/>
        <w:jc w:val="both"/>
        <w:rPr>
          <w:rFonts w:ascii="Arial" w:hAnsi="Arial" w:cs="Arial"/>
          <w:sz w:val="24"/>
          <w:szCs w:val="24"/>
          <w:lang w:val="it"/>
        </w:rPr>
      </w:pPr>
      <w:r w:rsidRPr="00B217E4">
        <w:rPr>
          <w:rFonts w:ascii="Arial" w:hAnsi="Arial" w:cs="Arial"/>
          <w:sz w:val="24"/>
          <w:szCs w:val="24"/>
          <w:lang w:val="it"/>
        </w:rPr>
        <w:t>L'assunto non è condivisibile.</w:t>
      </w:r>
    </w:p>
    <w:p w14:paraId="48083B51" w14:textId="519FC573" w:rsidR="00B217E4" w:rsidRPr="00B217E4" w:rsidRDefault="00B217E4" w:rsidP="00B217E4">
      <w:pPr>
        <w:spacing w:after="0" w:line="240" w:lineRule="auto"/>
        <w:jc w:val="both"/>
        <w:rPr>
          <w:rFonts w:ascii="Arial" w:hAnsi="Arial" w:cs="Arial"/>
          <w:sz w:val="24"/>
          <w:szCs w:val="24"/>
          <w:lang w:val="it"/>
        </w:rPr>
      </w:pPr>
      <w:r w:rsidRPr="00B217E4">
        <w:rPr>
          <w:rFonts w:ascii="Arial" w:hAnsi="Arial" w:cs="Arial"/>
          <w:sz w:val="24"/>
          <w:szCs w:val="24"/>
          <w:lang w:val="it"/>
        </w:rPr>
        <w:t>A prescindere dal fatto che, comunque, la corte territoriale nulla ha detto con riferimento alla rivalutazione annuale delle borse di studio, si evidenzia che l'art. 2948, n. 4, c.c. è applicabile solo con riferimento alle prestazioni pecuniarie liquide, intendendosi, per tali, le somme messe a disposizione dell'avente diritto e non riscosse, e non riguarda, invece, gli importi non versati, tra cui quelli inerenti alla rivalutazione del credito, in caso di pagamenti solo parzialmente satisfattivi della pretesa creditoria, per i quali trova spazio, per converso, la prescrizione decennale.</w:t>
      </w:r>
    </w:p>
    <w:p w14:paraId="7ED860B9" w14:textId="77777777" w:rsidR="00B217E4" w:rsidRPr="00B217E4" w:rsidRDefault="00B217E4" w:rsidP="00B217E4">
      <w:pPr>
        <w:spacing w:after="0" w:line="240" w:lineRule="auto"/>
        <w:jc w:val="both"/>
        <w:rPr>
          <w:rFonts w:ascii="Arial" w:hAnsi="Arial" w:cs="Arial"/>
          <w:sz w:val="24"/>
          <w:szCs w:val="24"/>
          <w:lang w:val="it"/>
        </w:rPr>
      </w:pPr>
      <w:r w:rsidRPr="00B217E4">
        <w:rPr>
          <w:rFonts w:ascii="Arial" w:hAnsi="Arial" w:cs="Arial"/>
          <w:sz w:val="24"/>
          <w:szCs w:val="24"/>
          <w:lang w:val="it"/>
        </w:rPr>
        <w:t>Si tratta di un principio spesso enunciato in materia di pensioni (Cass., Sez. L, n. 4248 del 23 marzo 2001), ma di portata ben più generale, come si evince dalla giurisprudenza secondo la quale l'art. 2948, n. 4, c.c., che assoggetta al termine prescrizionale di cinque anni le prestazioni periodiche con scadenza ad un anno, ovvero in termini inferiori, presuppone, non diversamente dall'art. 129, comma 1, del R.D.L. n. 1827 del 1935 in tema di prescrizione per le rate di pensione o di indennità non riscossa con decorrenza dalla loro scadenza, la liquidità e la esigibilità del credito e cioè che questo, una volta scaduto, sia stato messo a disposizione del creditore con rituale provvedimento, sì che il beneficiario possa riscuoterlo; laddove, ai fini sia dell'una sia dell'altra norma, non è sufficiente la mera idoneità del credito ad essere determinato, ancorché prontamente, nel suo ammontare; pertanto, con riguardo ai ratei di pensione ed indennità la cui debenza sia contestata nella esatta entità, con riferimento alla sua determinazione in base a parametri comparativi, non si applica la prescrizione quinquennale di cui alle norme sopraindicate in difetto di specifico provvedimento della P.A. debitrice, ma l'ordinaria prescrizione decennale, quale prescrizione concernente la prestazione da effettuare nella sua globalità ed interezza, di cui i ratei non liquida e non esigibili rappresentano una frazione ancora non individuata né messa a disposizione (Cass., Sez. L, n. 9627 del 21 luglio 2000).</w:t>
      </w:r>
    </w:p>
    <w:p w14:paraId="4E03924A" w14:textId="77777777" w:rsidR="00B217E4" w:rsidRPr="00B217E4" w:rsidRDefault="00B217E4" w:rsidP="00B217E4">
      <w:pPr>
        <w:spacing w:after="0" w:line="240" w:lineRule="auto"/>
        <w:jc w:val="both"/>
        <w:rPr>
          <w:rFonts w:ascii="Arial" w:hAnsi="Arial" w:cs="Arial"/>
          <w:sz w:val="24"/>
          <w:szCs w:val="24"/>
          <w:lang w:val="it"/>
        </w:rPr>
      </w:pPr>
    </w:p>
    <w:p w14:paraId="552039B4" w14:textId="79669F32" w:rsidR="00B217E4" w:rsidRPr="00B217E4" w:rsidRDefault="00B217E4" w:rsidP="00B217E4">
      <w:pPr>
        <w:spacing w:after="0" w:line="240" w:lineRule="auto"/>
        <w:jc w:val="both"/>
        <w:rPr>
          <w:rFonts w:ascii="Arial" w:hAnsi="Arial" w:cs="Arial"/>
          <w:sz w:val="24"/>
          <w:szCs w:val="24"/>
          <w:lang w:val="it"/>
        </w:rPr>
      </w:pPr>
      <w:r w:rsidRPr="00B217E4">
        <w:rPr>
          <w:rFonts w:ascii="Arial" w:hAnsi="Arial" w:cs="Arial"/>
          <w:sz w:val="24"/>
          <w:szCs w:val="24"/>
          <w:lang w:val="it"/>
        </w:rPr>
        <w:lastRenderedPageBreak/>
        <w:t>In definitiva, non può essere soggetto a prescrizione quinquennale, ai sensi dell'art. 2948, n. 4, c.c., l'importo in denaro che non sia stato quantificato e, soprattutto, sia contestato nella sua misura dalla controparte (Cass., Sez. L, n. 31527 del 25 ottobre 2022).</w:t>
      </w:r>
    </w:p>
    <w:p w14:paraId="07F3A01C" w14:textId="70F639DF" w:rsidR="00B217E4" w:rsidRPr="00B217E4" w:rsidRDefault="00B217E4" w:rsidP="00B217E4">
      <w:pPr>
        <w:spacing w:after="0" w:line="240" w:lineRule="auto"/>
        <w:jc w:val="both"/>
        <w:rPr>
          <w:rFonts w:ascii="Arial" w:hAnsi="Arial" w:cs="Arial"/>
          <w:sz w:val="24"/>
          <w:szCs w:val="24"/>
          <w:lang w:val="it"/>
        </w:rPr>
      </w:pPr>
      <w:r w:rsidRPr="00B217E4">
        <w:rPr>
          <w:rFonts w:ascii="Arial" w:hAnsi="Arial" w:cs="Arial"/>
          <w:sz w:val="24"/>
          <w:szCs w:val="24"/>
          <w:lang w:val="it"/>
        </w:rPr>
        <w:t>Nella specie, la rideterminazione triennale delle borse di studio non è liquida ed esigibile, in quanto essa dipende da un provvedimento della P.A., che non risulta essere stato emesso.</w:t>
      </w:r>
    </w:p>
    <w:p w14:paraId="7044A53B" w14:textId="311711D4" w:rsidR="00B217E4" w:rsidRPr="00B217E4" w:rsidRDefault="00B217E4" w:rsidP="00B217E4">
      <w:pPr>
        <w:spacing w:after="0" w:line="240" w:lineRule="auto"/>
        <w:jc w:val="both"/>
        <w:rPr>
          <w:rFonts w:ascii="Arial" w:hAnsi="Arial" w:cs="Arial"/>
          <w:sz w:val="24"/>
          <w:szCs w:val="24"/>
          <w:lang w:val="it"/>
        </w:rPr>
      </w:pPr>
      <w:r w:rsidRPr="00B217E4">
        <w:rPr>
          <w:rFonts w:ascii="Arial" w:hAnsi="Arial" w:cs="Arial"/>
          <w:sz w:val="24"/>
          <w:szCs w:val="24"/>
          <w:lang w:val="it"/>
        </w:rPr>
        <w:t>Analogamente, neppure la rivalutazione è stata mai calcolata, atteso che le Pubbliche amministrazioni coinvolte ne hanno sempre criticato la debenza in sé.</w:t>
      </w:r>
    </w:p>
    <w:p w14:paraId="1A93168E" w14:textId="5D13C88E" w:rsidR="00B217E4" w:rsidRPr="00B217E4" w:rsidRDefault="00B217E4" w:rsidP="00B217E4">
      <w:pPr>
        <w:spacing w:after="0" w:line="240" w:lineRule="auto"/>
        <w:jc w:val="both"/>
        <w:rPr>
          <w:rFonts w:ascii="Arial" w:hAnsi="Arial" w:cs="Arial"/>
          <w:sz w:val="24"/>
          <w:szCs w:val="24"/>
          <w:lang w:val="it"/>
        </w:rPr>
      </w:pPr>
      <w:r w:rsidRPr="00B217E4">
        <w:rPr>
          <w:rFonts w:ascii="Arial" w:hAnsi="Arial" w:cs="Arial"/>
          <w:sz w:val="24"/>
          <w:szCs w:val="24"/>
          <w:lang w:val="it"/>
        </w:rPr>
        <w:t>A contrastare la liquidità degli importi domandati è, allora, la considerazione che, dipendendo il loro ammontare da atti della P.A. (la rideterminazione triennale) e dal tasso di inflazione programmato (la rivalutazione annuale), essi non sono indicati in una misura fissa ab origine, diversamente dalla borsa di studio alla quale accedono, ma devono essere stabiliti, in concreto, dalla stessa P.A., con proprio provvedimento, in un secondo tempo.</w:t>
      </w:r>
    </w:p>
    <w:p w14:paraId="646B9E0E" w14:textId="5B01E7EB" w:rsidR="00B217E4" w:rsidRPr="00B217E4" w:rsidRDefault="00B217E4" w:rsidP="00B217E4">
      <w:pPr>
        <w:spacing w:after="0" w:line="240" w:lineRule="auto"/>
        <w:jc w:val="both"/>
        <w:rPr>
          <w:rFonts w:ascii="Arial" w:hAnsi="Arial" w:cs="Arial"/>
          <w:sz w:val="24"/>
          <w:szCs w:val="24"/>
          <w:lang w:val="it"/>
        </w:rPr>
      </w:pPr>
      <w:r w:rsidRPr="00B217E4">
        <w:rPr>
          <w:rFonts w:ascii="Arial" w:hAnsi="Arial" w:cs="Arial"/>
          <w:sz w:val="24"/>
          <w:szCs w:val="24"/>
          <w:lang w:val="it"/>
        </w:rPr>
        <w:t xml:space="preserve">Ne deriva che gli aventi diritto, benché, in teoria, sia possibile, da un certo momento in poi, una quantificazione, in astratto, degli adeguamenti de </w:t>
      </w:r>
      <w:proofErr w:type="spellStart"/>
      <w:r w:rsidRPr="00B217E4">
        <w:rPr>
          <w:rFonts w:ascii="Arial" w:hAnsi="Arial" w:cs="Arial"/>
          <w:sz w:val="24"/>
          <w:szCs w:val="24"/>
          <w:lang w:val="it"/>
        </w:rPr>
        <w:t>quibus</w:t>
      </w:r>
      <w:proofErr w:type="spellEnd"/>
      <w:r w:rsidRPr="00B217E4">
        <w:rPr>
          <w:rFonts w:ascii="Arial" w:hAnsi="Arial" w:cs="Arial"/>
          <w:sz w:val="24"/>
          <w:szCs w:val="24"/>
          <w:lang w:val="it"/>
        </w:rPr>
        <w:t xml:space="preserve"> per mezzo di semplici operazioni matematiche, possono conoscerne ufficialmente l'entità e, di conseguenza, richiederli solo con la loro messa a disposizione che, pacificamente, non vi è mai stata e, in assenza del sopramenzionato provvedimento, non poteva esservi.</w:t>
      </w:r>
    </w:p>
    <w:p w14:paraId="581F11B4" w14:textId="732B17A2" w:rsidR="00B217E4" w:rsidRPr="00B217E4" w:rsidRDefault="00B217E4" w:rsidP="00B217E4">
      <w:pPr>
        <w:spacing w:after="0" w:line="240" w:lineRule="auto"/>
        <w:jc w:val="both"/>
        <w:rPr>
          <w:rFonts w:ascii="Arial" w:hAnsi="Arial" w:cs="Arial"/>
          <w:sz w:val="24"/>
          <w:szCs w:val="24"/>
          <w:lang w:val="it"/>
        </w:rPr>
      </w:pPr>
      <w:r w:rsidRPr="00B217E4">
        <w:rPr>
          <w:rFonts w:ascii="Arial" w:hAnsi="Arial" w:cs="Arial"/>
          <w:sz w:val="24"/>
          <w:szCs w:val="24"/>
          <w:lang w:val="it"/>
        </w:rPr>
        <w:t>A deporre per la natura decennale della prescrizione è, inoltre, una seconda circostanza.</w:t>
      </w:r>
    </w:p>
    <w:p w14:paraId="34B61C3B" w14:textId="573685F4" w:rsidR="00B217E4" w:rsidRPr="00B217E4" w:rsidRDefault="00B217E4" w:rsidP="00B217E4">
      <w:pPr>
        <w:spacing w:after="0" w:line="240" w:lineRule="auto"/>
        <w:jc w:val="both"/>
        <w:rPr>
          <w:rFonts w:ascii="Arial" w:hAnsi="Arial" w:cs="Arial"/>
          <w:sz w:val="24"/>
          <w:szCs w:val="24"/>
          <w:lang w:val="it"/>
        </w:rPr>
      </w:pPr>
      <w:r w:rsidRPr="00B217E4">
        <w:rPr>
          <w:rFonts w:ascii="Arial" w:hAnsi="Arial" w:cs="Arial"/>
          <w:sz w:val="24"/>
          <w:szCs w:val="24"/>
          <w:lang w:val="it"/>
        </w:rPr>
        <w:t>Infatti, deve evidenziarsi che gli importi in esame sono dovuti in attuazione di Direttive dell'Unione europea. La loro mancata quantificazione e messa a disposizione da parte della P.A., quindi, costituisce una forma di inadempimento indiretto degli obblighi gravanti sul nostro paese in ragione della sua adesione all'Unione europea.</w:t>
      </w:r>
    </w:p>
    <w:p w14:paraId="62400B1C" w14:textId="61BDD541" w:rsidR="00B217E4" w:rsidRPr="00B217E4" w:rsidRDefault="00B217E4" w:rsidP="00B217E4">
      <w:pPr>
        <w:spacing w:after="0" w:line="240" w:lineRule="auto"/>
        <w:jc w:val="both"/>
        <w:rPr>
          <w:rFonts w:ascii="Arial" w:hAnsi="Arial" w:cs="Arial"/>
          <w:sz w:val="24"/>
          <w:szCs w:val="24"/>
          <w:lang w:val="it"/>
        </w:rPr>
      </w:pPr>
      <w:r w:rsidRPr="00B217E4">
        <w:rPr>
          <w:rFonts w:ascii="Arial" w:hAnsi="Arial" w:cs="Arial"/>
          <w:sz w:val="24"/>
          <w:szCs w:val="24"/>
          <w:lang w:val="it"/>
        </w:rPr>
        <w:t>Soprattutto, si osserva che la pretesa del singolo di ottenere il risarcimento del danno subito per la mancata attuazione di una direttiva comunitaria si ricollega alla violazione degli originari artt. 5 e 189 del TCE, i quali prevedevano l'obbligo degli Stati membri di adottare non solo tutte le misure di carattere generale, ma, altresì, quelle particolari atte ad assicurare l'esecuzione dei doveri imposti dal diritto comunitario (gli articoli di riferimento sono, oggi, gli artt. 4, par. 3, TUE, 291 TFUE e 288 TFUE, quest'ultimo specificamente relativo alle direttive: Cass., Sez. L, n. 18710 del 23 settembre 2016).</w:t>
      </w:r>
    </w:p>
    <w:p w14:paraId="1DE9302A" w14:textId="4AAB02DE" w:rsidR="00B217E4" w:rsidRPr="00B217E4" w:rsidRDefault="00B217E4" w:rsidP="00B217E4">
      <w:pPr>
        <w:spacing w:after="0" w:line="240" w:lineRule="auto"/>
        <w:jc w:val="both"/>
        <w:rPr>
          <w:rFonts w:ascii="Arial" w:hAnsi="Arial" w:cs="Arial"/>
          <w:sz w:val="24"/>
          <w:szCs w:val="24"/>
          <w:lang w:val="it"/>
        </w:rPr>
      </w:pPr>
      <w:r w:rsidRPr="00B217E4">
        <w:rPr>
          <w:rFonts w:ascii="Arial" w:hAnsi="Arial" w:cs="Arial"/>
          <w:sz w:val="24"/>
          <w:szCs w:val="24"/>
          <w:lang w:val="it"/>
        </w:rPr>
        <w:t>La giurisprudenza ha chiarito, però, che, in caso di omessa o tardiva trasposizione da parte del legislatore italiano nel termine prescritto delle direttive comunitarie (nella specie, le n. 75/362/CEE e n. 82/76/CEE, in tema di retribuzione della formazione dei medici specializzandi), sorge, conformemente ai principi più volte affermati dalla Corte di giustizia dell'Unione europea, il diritto degli interessati al risarcimento dei danni che va ricondotto allo schema della responsabilità per inadempimento dell'obbligazione ex lege dello Stato, di natura indennitaria. Tale responsabilità - dovendosi considerare il comportamento omissivo dello Stato come antigiuridico anche sul piano dell'ordinamento interno e ricondurre ogni obbligazione nell'ambito della ripartizione indicata dall'art. 1173 c.c. - va inquadrata nella figura della responsabilità contrattuale, in quanto nascente non dal fatto illecito di cui all'art. 2043 c.c., bensì dall'inadempimento di un rapporto obbligatorio preesistente, sicché il diritto al risarcimento del relativo danno è soggetto all'ordinario termine decennale di prescrizione (Cass., Sez. 3, n. 30502del 22 novembre 2019).</w:t>
      </w:r>
    </w:p>
    <w:p w14:paraId="3804CB90" w14:textId="1D99D9D7" w:rsidR="00B217E4" w:rsidRPr="00B217E4" w:rsidRDefault="00B217E4" w:rsidP="00B217E4">
      <w:pPr>
        <w:spacing w:after="0" w:line="240" w:lineRule="auto"/>
        <w:jc w:val="both"/>
        <w:rPr>
          <w:rFonts w:ascii="Arial" w:hAnsi="Arial" w:cs="Arial"/>
          <w:sz w:val="24"/>
          <w:szCs w:val="24"/>
          <w:lang w:val="it"/>
        </w:rPr>
      </w:pPr>
      <w:r w:rsidRPr="00B217E4">
        <w:rPr>
          <w:rFonts w:ascii="Arial" w:hAnsi="Arial" w:cs="Arial"/>
          <w:sz w:val="24"/>
          <w:szCs w:val="24"/>
          <w:lang w:val="it"/>
        </w:rPr>
        <w:t>A maggior ragione, il mancato adempimento degli obblighi di quantificazione delle somme dovute in attuazione del diritto UE non può non essere assoggettato alla stessa prescrizione decennale.</w:t>
      </w:r>
    </w:p>
    <w:p w14:paraId="2B022D61" w14:textId="77777777" w:rsidR="00B217E4" w:rsidRPr="00B217E4" w:rsidRDefault="00B217E4" w:rsidP="00B217E4">
      <w:pPr>
        <w:spacing w:after="0" w:line="240" w:lineRule="auto"/>
        <w:jc w:val="both"/>
        <w:rPr>
          <w:rFonts w:ascii="Arial" w:hAnsi="Arial" w:cs="Arial"/>
          <w:sz w:val="24"/>
          <w:szCs w:val="24"/>
          <w:lang w:val="it"/>
        </w:rPr>
      </w:pPr>
      <w:r w:rsidRPr="00B217E4">
        <w:rPr>
          <w:rFonts w:ascii="Arial" w:hAnsi="Arial" w:cs="Arial"/>
          <w:sz w:val="24"/>
          <w:szCs w:val="24"/>
          <w:lang w:val="it"/>
        </w:rPr>
        <w:t>Neppure potrebbe prospettarsi una similitudine con i crediti retributivi dei pubblici impiegati, per i quali opera la prescrizione quinquennale (Cass., Sez. L, n. 1345 del 14 febbraio 1997).</w:t>
      </w:r>
    </w:p>
    <w:p w14:paraId="0D93A275" w14:textId="77777777" w:rsidR="00B217E4" w:rsidRPr="00B217E4" w:rsidRDefault="00B217E4" w:rsidP="00B217E4">
      <w:pPr>
        <w:spacing w:after="0" w:line="240" w:lineRule="auto"/>
        <w:jc w:val="both"/>
        <w:rPr>
          <w:rFonts w:ascii="Arial" w:hAnsi="Arial" w:cs="Arial"/>
          <w:sz w:val="24"/>
          <w:szCs w:val="24"/>
          <w:lang w:val="it"/>
        </w:rPr>
      </w:pPr>
    </w:p>
    <w:p w14:paraId="758885F8" w14:textId="3246C2C1" w:rsidR="00B217E4" w:rsidRPr="00B217E4" w:rsidRDefault="00B217E4" w:rsidP="00B217E4">
      <w:pPr>
        <w:spacing w:after="0" w:line="240" w:lineRule="auto"/>
        <w:jc w:val="both"/>
        <w:rPr>
          <w:rFonts w:ascii="Arial" w:hAnsi="Arial" w:cs="Arial"/>
          <w:sz w:val="24"/>
          <w:szCs w:val="24"/>
          <w:lang w:val="it"/>
        </w:rPr>
      </w:pPr>
      <w:r w:rsidRPr="00B217E4">
        <w:rPr>
          <w:rFonts w:ascii="Arial" w:hAnsi="Arial" w:cs="Arial"/>
          <w:sz w:val="24"/>
          <w:szCs w:val="24"/>
          <w:lang w:val="it"/>
        </w:rPr>
        <w:lastRenderedPageBreak/>
        <w:t>Infatti, l'attività svolta dai medici iscritti alle scuole di specializzazione universitarie non è inquadrabile nell'ambito del rapporto di lavoro subordinato o di quello autonomo, perché non può essere ravvisata una relazione sinallagmatica di scambio tra tale attività e la remunerazione prevista dalla legge a favore degli specializzandi in quanto questi emolumenti sono destinati a sopperire alle esigenze materiali per l'impegno a tempo pieno degli interessati nell'attività rivolta alla loro formazione e non costituiscono, quindi, il corrispettivo delle prestazioni svolte, le quali non sono rivolte ad un vantaggio per l'Università, ma alla formazione teorica e pratica degli stessi specializzandi e al conseguimento, a fine corso, di un titolo abilitante (Cass., Sez. L, n. 18670 del 27 luglio 2017; Cass., Sez. L, n. 27481 del 19 novembre 2008; Cass., Sez. L, n. 6089 del 18 giugno 1998).</w:t>
      </w:r>
    </w:p>
    <w:p w14:paraId="38400EC7" w14:textId="5FAA420C" w:rsidR="00B217E4" w:rsidRPr="00B217E4" w:rsidRDefault="00B217E4" w:rsidP="00B217E4">
      <w:pPr>
        <w:spacing w:after="0" w:line="240" w:lineRule="auto"/>
        <w:jc w:val="both"/>
        <w:rPr>
          <w:rFonts w:ascii="Arial" w:hAnsi="Arial" w:cs="Arial"/>
          <w:sz w:val="24"/>
          <w:szCs w:val="24"/>
          <w:lang w:val="it"/>
        </w:rPr>
      </w:pPr>
      <w:r w:rsidRPr="00B217E4">
        <w:rPr>
          <w:rFonts w:ascii="Arial" w:hAnsi="Arial" w:cs="Arial"/>
          <w:sz w:val="24"/>
          <w:szCs w:val="24"/>
          <w:lang w:val="it"/>
        </w:rPr>
        <w:t>Pertanto, il termine di prescrizione del credito de quo è decennale.</w:t>
      </w:r>
    </w:p>
    <w:p w14:paraId="324EAB78" w14:textId="21B4C1B2" w:rsidR="00B217E4" w:rsidRPr="00B217E4" w:rsidRDefault="00B217E4" w:rsidP="00B217E4">
      <w:pPr>
        <w:spacing w:after="0" w:line="240" w:lineRule="auto"/>
        <w:jc w:val="both"/>
        <w:rPr>
          <w:rFonts w:ascii="Arial" w:hAnsi="Arial" w:cs="Arial"/>
          <w:sz w:val="24"/>
          <w:szCs w:val="24"/>
          <w:lang w:val="it"/>
        </w:rPr>
      </w:pPr>
      <w:r w:rsidRPr="00B217E4">
        <w:rPr>
          <w:rFonts w:ascii="Arial" w:hAnsi="Arial" w:cs="Arial"/>
          <w:sz w:val="24"/>
          <w:szCs w:val="24"/>
          <w:lang w:val="it"/>
        </w:rPr>
        <w:t>3) Deve essere esaminato, quindi, il ricorso incidentale condizionato delle Amministrazioni, con il quale queste ultime prospettano l'insussistenza del diritto delle ricorrenti alla rideterminazione degli importi percepiti a titolo di borsa di studio.</w:t>
      </w:r>
    </w:p>
    <w:p w14:paraId="3085086C" w14:textId="2E777C64" w:rsidR="00B217E4" w:rsidRPr="00B217E4" w:rsidRDefault="00B217E4" w:rsidP="00B217E4">
      <w:pPr>
        <w:spacing w:after="0" w:line="240" w:lineRule="auto"/>
        <w:jc w:val="both"/>
        <w:rPr>
          <w:rFonts w:ascii="Arial" w:hAnsi="Arial" w:cs="Arial"/>
          <w:sz w:val="24"/>
          <w:szCs w:val="24"/>
          <w:lang w:val="it"/>
        </w:rPr>
      </w:pPr>
      <w:r w:rsidRPr="00B217E4">
        <w:rPr>
          <w:rFonts w:ascii="Arial" w:hAnsi="Arial" w:cs="Arial"/>
          <w:sz w:val="24"/>
          <w:szCs w:val="24"/>
          <w:lang w:val="it"/>
        </w:rPr>
        <w:t>Tale ricorso è inammissibile.</w:t>
      </w:r>
    </w:p>
    <w:p w14:paraId="092DF005" w14:textId="38EBE10B" w:rsidR="00B217E4" w:rsidRPr="00B217E4" w:rsidRDefault="00B217E4" w:rsidP="00B217E4">
      <w:pPr>
        <w:spacing w:after="0" w:line="240" w:lineRule="auto"/>
        <w:jc w:val="both"/>
        <w:rPr>
          <w:rFonts w:ascii="Arial" w:hAnsi="Arial" w:cs="Arial"/>
          <w:sz w:val="24"/>
          <w:szCs w:val="24"/>
          <w:lang w:val="it"/>
        </w:rPr>
      </w:pPr>
      <w:r w:rsidRPr="00B217E4">
        <w:rPr>
          <w:rFonts w:ascii="Arial" w:hAnsi="Arial" w:cs="Arial"/>
          <w:sz w:val="24"/>
          <w:szCs w:val="24"/>
          <w:lang w:val="it"/>
        </w:rPr>
        <w:t>In ordine alla posizione della Presidenza del Consiglio dei Ministri, del Ministero dell'Istruzione, Università e Ricerca, del Ministero della Salute e del Ministero dell'Economia e delle Finanze, si rileva che la domanda di A.A. e B.B. non è stata accolta in primo grado nei loro confronti e che, sul punto, non vi è stata impugnazione in appello, con la conseguenza che la loro responsabilità è ormai stata definitivamente esclusa e che, quindi, non hanno alcun interesse a gravare la decisione di secondo grado.</w:t>
      </w:r>
    </w:p>
    <w:p w14:paraId="1EFD7285" w14:textId="4C253F3B" w:rsidR="00B217E4" w:rsidRPr="00B217E4" w:rsidRDefault="00B217E4" w:rsidP="00B217E4">
      <w:pPr>
        <w:spacing w:after="0" w:line="240" w:lineRule="auto"/>
        <w:jc w:val="both"/>
        <w:rPr>
          <w:rFonts w:ascii="Arial" w:hAnsi="Arial" w:cs="Arial"/>
          <w:sz w:val="24"/>
          <w:szCs w:val="24"/>
          <w:lang w:val="it"/>
        </w:rPr>
      </w:pPr>
      <w:r w:rsidRPr="00B217E4">
        <w:rPr>
          <w:rFonts w:ascii="Arial" w:hAnsi="Arial" w:cs="Arial"/>
          <w:sz w:val="24"/>
          <w:szCs w:val="24"/>
          <w:lang w:val="it"/>
        </w:rPr>
        <w:t>Per ciò che concerne l'Università degli Studi di Messina, invece, si osserva che, sul diritto delle ricorrenti principali a percepire le somme in questione, si è ormai formato il giudicato.</w:t>
      </w:r>
    </w:p>
    <w:p w14:paraId="531C027B" w14:textId="4BF7AB46" w:rsidR="00B217E4" w:rsidRPr="00B217E4" w:rsidRDefault="00B217E4" w:rsidP="00B217E4">
      <w:pPr>
        <w:spacing w:after="0" w:line="240" w:lineRule="auto"/>
        <w:jc w:val="both"/>
        <w:rPr>
          <w:rFonts w:ascii="Arial" w:hAnsi="Arial" w:cs="Arial"/>
          <w:sz w:val="24"/>
          <w:szCs w:val="24"/>
          <w:lang w:val="it"/>
        </w:rPr>
      </w:pPr>
      <w:r w:rsidRPr="00B217E4">
        <w:rPr>
          <w:rFonts w:ascii="Arial" w:hAnsi="Arial" w:cs="Arial"/>
          <w:sz w:val="24"/>
          <w:szCs w:val="24"/>
          <w:lang w:val="it"/>
        </w:rPr>
        <w:t>Infatti, costituisce oggetto di giudicato la situazione di fatto che si pone come antecedente logico necessario della pronuncia resa sulla domanda dell'attore o sull'eccezione del convenuto; l'autorità del giudicato copre il fatto accertato anche in relazione ad ogni altro effetto giuridico che da esso ne derivi nell'ambito del rapporto obbligatorio tra le stesse parti (Cass., Sez. L, n. 28415 del 28 novembre 2017).</w:t>
      </w:r>
    </w:p>
    <w:p w14:paraId="05E22926" w14:textId="77728B65" w:rsidR="00B217E4" w:rsidRPr="00B217E4" w:rsidRDefault="00B217E4" w:rsidP="00B217E4">
      <w:pPr>
        <w:spacing w:after="0" w:line="240" w:lineRule="auto"/>
        <w:jc w:val="both"/>
        <w:rPr>
          <w:rFonts w:ascii="Arial" w:hAnsi="Arial" w:cs="Arial"/>
          <w:sz w:val="24"/>
          <w:szCs w:val="24"/>
          <w:lang w:val="it"/>
        </w:rPr>
      </w:pPr>
      <w:r w:rsidRPr="00B217E4">
        <w:rPr>
          <w:rFonts w:ascii="Arial" w:hAnsi="Arial" w:cs="Arial"/>
          <w:sz w:val="24"/>
          <w:szCs w:val="24"/>
          <w:lang w:val="it"/>
        </w:rPr>
        <w:t>Nella specie, l'accertamento dell'esistenza del credito delle lavoratrici è proprio tale antecedente logico necessario.</w:t>
      </w:r>
    </w:p>
    <w:p w14:paraId="5B506A2B" w14:textId="005AA246" w:rsidR="00B217E4" w:rsidRPr="00B217E4" w:rsidRDefault="00B217E4" w:rsidP="00B217E4">
      <w:pPr>
        <w:spacing w:after="0" w:line="240" w:lineRule="auto"/>
        <w:jc w:val="both"/>
        <w:rPr>
          <w:rFonts w:ascii="Arial" w:hAnsi="Arial" w:cs="Arial"/>
          <w:sz w:val="24"/>
          <w:szCs w:val="24"/>
          <w:lang w:val="it"/>
        </w:rPr>
      </w:pPr>
      <w:r w:rsidRPr="00B217E4">
        <w:rPr>
          <w:rFonts w:ascii="Arial" w:hAnsi="Arial" w:cs="Arial"/>
          <w:sz w:val="24"/>
          <w:szCs w:val="24"/>
          <w:lang w:val="it"/>
        </w:rPr>
        <w:t>La sentenza del Tribunale di Messina ha, come evidenziato a pagina due della decisione impugnata, specificamente raccertato il diritto delle ricorrenti alla rideterminazione dell'importo della borsa di studio dalle stesse percepita, durante gli anni di specializzazione medica, sulla base del tasso programmatico di inflazione e degli incrementi contrattuali per il personale medico del SSN", con condanna dell'Università degli Studi di Messina a versare le differenze retributive.</w:t>
      </w:r>
    </w:p>
    <w:p w14:paraId="78738DD3" w14:textId="300FFF38" w:rsidR="00B217E4" w:rsidRPr="00B217E4" w:rsidRDefault="00B217E4" w:rsidP="00B217E4">
      <w:pPr>
        <w:spacing w:after="0" w:line="240" w:lineRule="auto"/>
        <w:jc w:val="both"/>
        <w:rPr>
          <w:rFonts w:ascii="Arial" w:hAnsi="Arial" w:cs="Arial"/>
          <w:sz w:val="24"/>
          <w:szCs w:val="24"/>
          <w:lang w:val="it"/>
        </w:rPr>
      </w:pPr>
      <w:r w:rsidRPr="00B217E4">
        <w:rPr>
          <w:rFonts w:ascii="Arial" w:hAnsi="Arial" w:cs="Arial"/>
          <w:sz w:val="24"/>
          <w:szCs w:val="24"/>
          <w:lang w:val="it"/>
        </w:rPr>
        <w:t>Solo quest'ultima Università ha proposto gravame contro la pronuncia di primo grado, ma si è limitata a fare valere l'intervenuta prescrizione del credito delle attuali ricorrenti principali, senza contestarne l'esistenza e la spettanza.</w:t>
      </w:r>
    </w:p>
    <w:p w14:paraId="2CD25384" w14:textId="70BECC20" w:rsidR="00B217E4" w:rsidRPr="00B217E4" w:rsidRDefault="00B217E4" w:rsidP="00B217E4">
      <w:pPr>
        <w:spacing w:after="0" w:line="240" w:lineRule="auto"/>
        <w:jc w:val="both"/>
        <w:rPr>
          <w:rFonts w:ascii="Arial" w:hAnsi="Arial" w:cs="Arial"/>
          <w:sz w:val="24"/>
          <w:szCs w:val="24"/>
          <w:lang w:val="it"/>
        </w:rPr>
      </w:pPr>
      <w:r w:rsidRPr="00B217E4">
        <w:rPr>
          <w:rFonts w:ascii="Arial" w:hAnsi="Arial" w:cs="Arial"/>
          <w:sz w:val="24"/>
          <w:szCs w:val="24"/>
          <w:lang w:val="it"/>
        </w:rPr>
        <w:t xml:space="preserve">Pertanto, il diritto di A.A. e di B.B. a ricevere le somme de </w:t>
      </w:r>
      <w:proofErr w:type="spellStart"/>
      <w:r w:rsidRPr="00B217E4">
        <w:rPr>
          <w:rFonts w:ascii="Arial" w:hAnsi="Arial" w:cs="Arial"/>
          <w:sz w:val="24"/>
          <w:szCs w:val="24"/>
          <w:lang w:val="it"/>
        </w:rPr>
        <w:t>quibus</w:t>
      </w:r>
      <w:proofErr w:type="spellEnd"/>
      <w:r w:rsidRPr="00B217E4">
        <w:rPr>
          <w:rFonts w:ascii="Arial" w:hAnsi="Arial" w:cs="Arial"/>
          <w:sz w:val="24"/>
          <w:szCs w:val="24"/>
          <w:lang w:val="it"/>
        </w:rPr>
        <w:t xml:space="preserve"> non è più contestabile.</w:t>
      </w:r>
    </w:p>
    <w:p w14:paraId="321C9384" w14:textId="62A9EC79" w:rsidR="00B217E4" w:rsidRPr="00B217E4" w:rsidRDefault="00B217E4" w:rsidP="00B217E4">
      <w:pPr>
        <w:spacing w:after="0" w:line="240" w:lineRule="auto"/>
        <w:jc w:val="both"/>
        <w:rPr>
          <w:rFonts w:ascii="Arial" w:hAnsi="Arial" w:cs="Arial"/>
          <w:sz w:val="24"/>
          <w:szCs w:val="24"/>
          <w:lang w:val="it"/>
        </w:rPr>
      </w:pPr>
      <w:r w:rsidRPr="00B217E4">
        <w:rPr>
          <w:rFonts w:ascii="Arial" w:hAnsi="Arial" w:cs="Arial"/>
          <w:sz w:val="24"/>
          <w:szCs w:val="24"/>
          <w:lang w:val="it"/>
        </w:rPr>
        <w:t>4) Il ricorso principale è accolto, mentre quello incidentale è dichiarato inammissibile.</w:t>
      </w:r>
    </w:p>
    <w:p w14:paraId="6A249976" w14:textId="2BE1B9BF" w:rsidR="00B217E4" w:rsidRPr="00B217E4" w:rsidRDefault="00B217E4" w:rsidP="00B217E4">
      <w:pPr>
        <w:spacing w:after="0" w:line="240" w:lineRule="auto"/>
        <w:jc w:val="both"/>
        <w:rPr>
          <w:rFonts w:ascii="Arial" w:hAnsi="Arial" w:cs="Arial"/>
          <w:sz w:val="24"/>
          <w:szCs w:val="24"/>
          <w:lang w:val="it"/>
        </w:rPr>
      </w:pPr>
      <w:r w:rsidRPr="00B217E4">
        <w:rPr>
          <w:rFonts w:ascii="Arial" w:hAnsi="Arial" w:cs="Arial"/>
          <w:sz w:val="24"/>
          <w:szCs w:val="24"/>
          <w:lang w:val="it"/>
        </w:rPr>
        <w:t>La sentenza impugnata è cassata, con riferimento al ricorso principale, con rinvio alla Corte d'appello di Messina, in diversa composizione, la quale deciderà la causa nel merito, anche in ordine alle spese di lite, applicando il seguente principio di diritto:</w:t>
      </w:r>
    </w:p>
    <w:p w14:paraId="03CC7024" w14:textId="0D9F9B6C" w:rsidR="00B217E4" w:rsidRPr="00B217E4" w:rsidRDefault="00B217E4" w:rsidP="00B217E4">
      <w:pPr>
        <w:spacing w:after="0" w:line="240" w:lineRule="auto"/>
        <w:jc w:val="both"/>
        <w:rPr>
          <w:rFonts w:ascii="Arial" w:hAnsi="Arial" w:cs="Arial"/>
          <w:sz w:val="24"/>
          <w:szCs w:val="24"/>
          <w:lang w:val="it"/>
        </w:rPr>
      </w:pPr>
      <w:r w:rsidRPr="00B217E4">
        <w:rPr>
          <w:rFonts w:ascii="Arial" w:hAnsi="Arial" w:cs="Arial"/>
          <w:sz w:val="24"/>
          <w:szCs w:val="24"/>
          <w:lang w:val="it"/>
        </w:rPr>
        <w:t xml:space="preserve">"Il credito concernente la rivalutazione annuale e la rideterminazione triennale dell'importo della borsa di studio spettante ai medici specializzandi ex art. 6 della legge n. 257 del 1991 è soggetto a prescrizione decennale e non quinquennale, considerato che tale credito non è né liquido né esigibile, che la mancata quantificazione, messa a disposizione e corresponsione </w:t>
      </w:r>
      <w:r w:rsidRPr="00B217E4">
        <w:rPr>
          <w:rFonts w:ascii="Arial" w:hAnsi="Arial" w:cs="Arial"/>
          <w:sz w:val="24"/>
          <w:szCs w:val="24"/>
          <w:lang w:val="it"/>
        </w:rPr>
        <w:lastRenderedPageBreak/>
        <w:t>delle relative somme da parte della P.A. costituisce una forma di inadempimento indiretto degli obblighi gravanti sul nostro paese in ragione della sua adesione all'Unione europea e che l'importo pagato non è assimilabile alla retribuzione dei pubblici impiegati, non rappresentando un corrispettivo dell'attività dei detti medici".</w:t>
      </w:r>
    </w:p>
    <w:p w14:paraId="19ACAA71" w14:textId="3F1A3934" w:rsidR="00B217E4" w:rsidRPr="00B217E4" w:rsidRDefault="00B217E4" w:rsidP="00B217E4">
      <w:pPr>
        <w:spacing w:after="0" w:line="240" w:lineRule="auto"/>
        <w:jc w:val="both"/>
        <w:rPr>
          <w:rFonts w:ascii="Arial" w:hAnsi="Arial" w:cs="Arial"/>
          <w:sz w:val="24"/>
          <w:szCs w:val="24"/>
          <w:lang w:val="it"/>
        </w:rPr>
      </w:pPr>
      <w:r w:rsidRPr="00B217E4">
        <w:rPr>
          <w:rFonts w:ascii="Arial" w:hAnsi="Arial" w:cs="Arial"/>
          <w:sz w:val="24"/>
          <w:szCs w:val="24"/>
          <w:lang w:val="it"/>
        </w:rPr>
        <w:t>Non sussiste l'obbligo, per le Amministrazioni statali ricorrenti incidentali, di versare l'ulteriore importo a titolo di contributo unificato pari a quello dovuto per l'impugnazione integralmente rigettata, non essendo esse tenute al pagamento di detto contributo.</w:t>
      </w:r>
    </w:p>
    <w:p w14:paraId="568DD7FA" w14:textId="6C1157DB" w:rsidR="00B217E4" w:rsidRPr="00B217E4" w:rsidRDefault="00B217E4" w:rsidP="00B217E4">
      <w:pPr>
        <w:spacing w:after="0" w:line="240" w:lineRule="auto"/>
        <w:jc w:val="both"/>
        <w:rPr>
          <w:rFonts w:ascii="Arial" w:hAnsi="Arial" w:cs="Arial"/>
          <w:sz w:val="24"/>
          <w:szCs w:val="24"/>
          <w:lang w:val="it"/>
        </w:rPr>
      </w:pPr>
      <w:r w:rsidRPr="00B217E4">
        <w:rPr>
          <w:rFonts w:ascii="Arial" w:hAnsi="Arial" w:cs="Arial"/>
          <w:sz w:val="24"/>
          <w:szCs w:val="24"/>
          <w:lang w:val="it"/>
        </w:rPr>
        <w:t>Tale obbligo sussiste, invece, a carico dell'Università degli Studi di Messina, soccombente sul ricorso incidentale.</w:t>
      </w:r>
    </w:p>
    <w:p w14:paraId="4010FA15" w14:textId="08F38087" w:rsidR="00B217E4" w:rsidRPr="00B217E4" w:rsidRDefault="00B217E4" w:rsidP="00B217E4">
      <w:pPr>
        <w:spacing w:after="0" w:line="240" w:lineRule="auto"/>
        <w:jc w:val="both"/>
        <w:rPr>
          <w:rFonts w:ascii="Arial" w:hAnsi="Arial" w:cs="Arial"/>
          <w:sz w:val="24"/>
          <w:szCs w:val="24"/>
          <w:lang w:val="it"/>
        </w:rPr>
      </w:pPr>
      <w:r w:rsidRPr="00B217E4">
        <w:rPr>
          <w:rFonts w:ascii="Arial" w:hAnsi="Arial" w:cs="Arial"/>
          <w:sz w:val="24"/>
          <w:szCs w:val="24"/>
          <w:lang w:val="it"/>
        </w:rPr>
        <w:t>P.Q.M.</w:t>
      </w:r>
      <w:r w:rsidR="008B289F">
        <w:rPr>
          <w:rFonts w:ascii="Arial" w:hAnsi="Arial" w:cs="Arial"/>
          <w:sz w:val="24"/>
          <w:szCs w:val="24"/>
          <w:lang w:val="it"/>
        </w:rPr>
        <w:t xml:space="preserve"> </w:t>
      </w:r>
      <w:r w:rsidRPr="00B217E4">
        <w:rPr>
          <w:rFonts w:ascii="Arial" w:hAnsi="Arial" w:cs="Arial"/>
          <w:sz w:val="24"/>
          <w:szCs w:val="24"/>
          <w:lang w:val="it"/>
        </w:rPr>
        <w:t>La Corte,</w:t>
      </w:r>
      <w:r>
        <w:rPr>
          <w:rFonts w:ascii="Arial" w:hAnsi="Arial" w:cs="Arial"/>
          <w:sz w:val="24"/>
          <w:szCs w:val="24"/>
          <w:lang w:val="it"/>
        </w:rPr>
        <w:t xml:space="preserve"> </w:t>
      </w:r>
      <w:r w:rsidRPr="00B217E4">
        <w:rPr>
          <w:rFonts w:ascii="Arial" w:hAnsi="Arial" w:cs="Arial"/>
          <w:sz w:val="24"/>
          <w:szCs w:val="24"/>
          <w:lang w:val="it"/>
        </w:rPr>
        <w:t>- accoglie il ricorso principale e dichiara inammissibile quello incidentale;</w:t>
      </w:r>
    </w:p>
    <w:p w14:paraId="2D4CA7A5" w14:textId="421B4CF6" w:rsidR="00B217E4" w:rsidRPr="00B217E4" w:rsidRDefault="00B217E4" w:rsidP="00B217E4">
      <w:pPr>
        <w:spacing w:after="0" w:line="240" w:lineRule="auto"/>
        <w:jc w:val="both"/>
        <w:rPr>
          <w:rFonts w:ascii="Arial" w:hAnsi="Arial" w:cs="Arial"/>
          <w:sz w:val="24"/>
          <w:szCs w:val="24"/>
          <w:lang w:val="it"/>
        </w:rPr>
      </w:pPr>
      <w:r w:rsidRPr="00B217E4">
        <w:rPr>
          <w:rFonts w:ascii="Arial" w:hAnsi="Arial" w:cs="Arial"/>
          <w:sz w:val="24"/>
          <w:szCs w:val="24"/>
          <w:lang w:val="it"/>
        </w:rPr>
        <w:t>- cassa la sentenza impugnata, con riferimento al ricorso principale, con rinvio alla Corte d'appello di Messina, in diversa composizione, la quale deciderà la controversia nel merito anche in ordine alle spese di lite;</w:t>
      </w:r>
    </w:p>
    <w:p w14:paraId="6EA5A3A0" w14:textId="1CD401F6" w:rsidR="00B217E4" w:rsidRPr="00B217E4" w:rsidRDefault="00B217E4" w:rsidP="00B217E4">
      <w:pPr>
        <w:spacing w:after="0" w:line="240" w:lineRule="auto"/>
        <w:jc w:val="both"/>
        <w:rPr>
          <w:rFonts w:ascii="Arial" w:hAnsi="Arial" w:cs="Arial"/>
          <w:sz w:val="24"/>
          <w:szCs w:val="24"/>
          <w:lang w:val="it"/>
        </w:rPr>
      </w:pPr>
      <w:r w:rsidRPr="00B217E4">
        <w:rPr>
          <w:rFonts w:ascii="Arial" w:hAnsi="Arial" w:cs="Arial"/>
          <w:sz w:val="24"/>
          <w:szCs w:val="24"/>
          <w:lang w:val="it"/>
        </w:rPr>
        <w:t>- ai sensi dell'art. 13, comma 1 quater del d.P.R. n. 115 del 2002, dà atto della sussistenza, a carico dell'Università degli Studi di Messina, dei presupposti per il versamento dell'ulteriore importo a titolo di contributo unificato pari a quello dovuto per il ricorso a norma del comma 1 bis dello stesso art. 13, se dovuto.</w:t>
      </w:r>
      <w:r>
        <w:rPr>
          <w:rFonts w:ascii="Arial" w:hAnsi="Arial" w:cs="Arial"/>
          <w:sz w:val="24"/>
          <w:szCs w:val="24"/>
          <w:lang w:val="it"/>
        </w:rPr>
        <w:t xml:space="preserve"> </w:t>
      </w:r>
      <w:r w:rsidRPr="00B217E4">
        <w:rPr>
          <w:rFonts w:ascii="Arial" w:hAnsi="Arial" w:cs="Arial"/>
          <w:sz w:val="24"/>
          <w:szCs w:val="24"/>
          <w:lang w:val="it"/>
        </w:rPr>
        <w:t>Conclusione</w:t>
      </w:r>
      <w:r>
        <w:rPr>
          <w:rFonts w:ascii="Arial" w:hAnsi="Arial" w:cs="Arial"/>
          <w:sz w:val="24"/>
          <w:szCs w:val="24"/>
          <w:lang w:val="it"/>
        </w:rPr>
        <w:t xml:space="preserve"> </w:t>
      </w:r>
      <w:r w:rsidRPr="00B217E4">
        <w:rPr>
          <w:rFonts w:ascii="Arial" w:hAnsi="Arial" w:cs="Arial"/>
          <w:sz w:val="24"/>
          <w:szCs w:val="24"/>
          <w:lang w:val="it"/>
        </w:rPr>
        <w:t>Così deciso in Roma, nella camera di consiglio della IV Sezione Civile, il 10 gennaio 2024.</w:t>
      </w:r>
    </w:p>
    <w:p w14:paraId="3684B4CB" w14:textId="77777777" w:rsidR="00B217E4" w:rsidRPr="00B217E4" w:rsidRDefault="00B217E4" w:rsidP="00B217E4">
      <w:pPr>
        <w:spacing w:after="0" w:line="240" w:lineRule="auto"/>
        <w:jc w:val="both"/>
        <w:rPr>
          <w:rFonts w:ascii="Arial" w:hAnsi="Arial" w:cs="Arial"/>
          <w:sz w:val="24"/>
          <w:szCs w:val="24"/>
          <w:lang w:val="it"/>
        </w:rPr>
      </w:pPr>
      <w:r w:rsidRPr="00B217E4">
        <w:rPr>
          <w:rFonts w:ascii="Arial" w:hAnsi="Arial" w:cs="Arial"/>
          <w:sz w:val="24"/>
          <w:szCs w:val="24"/>
          <w:lang w:val="it"/>
        </w:rPr>
        <w:t>Depositato in Cancelleria il 31 gennaio 2024.</w:t>
      </w:r>
    </w:p>
    <w:p w14:paraId="147C529E" w14:textId="77777777" w:rsidR="007A6980" w:rsidRDefault="007A6980"/>
    <w:sectPr w:rsidR="007A6980" w:rsidSect="009C014B">
      <w:pgSz w:w="12240" w:h="15840"/>
      <w:pgMar w:top="1417" w:right="1134" w:bottom="113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6980"/>
    <w:rsid w:val="007A6980"/>
    <w:rsid w:val="008B289F"/>
    <w:rsid w:val="009C014B"/>
    <w:rsid w:val="00A76F94"/>
    <w:rsid w:val="00B217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42495"/>
  <w15:chartTrackingRefBased/>
  <w15:docId w15:val="{00A346C8-F7C7-48A2-9EC3-BA9A48C5F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it-I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2569</Words>
  <Characters>14645</Characters>
  <Application>Microsoft Office Word</Application>
  <DocSecurity>0</DocSecurity>
  <Lines>122</Lines>
  <Paragraphs>34</Paragraphs>
  <ScaleCrop>false</ScaleCrop>
  <Company/>
  <LinksUpToDate>false</LinksUpToDate>
  <CharactersWithSpaces>17180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Di Lorenzo</dc:creator>
  <cp:keywords/>
  <dc:description/>
  <cp:lastModifiedBy>Chiara Di Lorenzo</cp:lastModifiedBy>
  <cp:revision>4</cp:revision>
  <dcterms:created xsi:type="dcterms:W3CDTF">2024-02-13T07:07:00Z</dcterms:created>
  <dcterms:modified xsi:type="dcterms:W3CDTF">2024-02-13T07:10:00Z</dcterms:modified>
</cp:coreProperties>
</file>