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BEB33" w14:textId="13819459"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BE2257">
        <w:rPr>
          <w:rFonts w:ascii="Arial" w:eastAsia="Times New Roman" w:hAnsi="Arial" w:cs="Arial"/>
          <w:b/>
          <w:bCs/>
          <w:i/>
          <w:iCs/>
          <w:color w:val="002060"/>
          <w:sz w:val="28"/>
          <w:szCs w:val="28"/>
          <w:lang w:eastAsia="it-IT"/>
        </w:rPr>
        <w:t>Delega al Governo per l'adozione di misure in materia di riorganizzazione e potenziamento dell'assistenza territoriale e ospedaliera e revisione del modello organizzativo del Servizio sanitario nazionale – Atto Senato n. 1825 – Assegnato in sede referente alla</w:t>
      </w:r>
      <w:r>
        <w:rPr>
          <w:rFonts w:ascii="Arial" w:eastAsia="Times New Roman" w:hAnsi="Arial" w:cs="Arial"/>
          <w:b/>
          <w:bCs/>
          <w:i/>
          <w:iCs/>
          <w:color w:val="002060"/>
          <w:sz w:val="28"/>
          <w:szCs w:val="28"/>
          <w:lang w:eastAsia="it-IT"/>
        </w:rPr>
        <w:t xml:space="preserve"> Commissione</w:t>
      </w:r>
      <w:r w:rsidR="00B2446B" w:rsidRPr="00B2446B">
        <w:t xml:space="preserve"> </w:t>
      </w:r>
      <w:r w:rsidR="00B2446B" w:rsidRPr="00B2446B">
        <w:rPr>
          <w:rFonts w:ascii="Arial" w:eastAsia="Times New Roman" w:hAnsi="Arial" w:cs="Arial"/>
          <w:b/>
          <w:bCs/>
          <w:i/>
          <w:iCs/>
          <w:color w:val="002060"/>
          <w:sz w:val="28"/>
          <w:szCs w:val="28"/>
          <w:lang w:eastAsia="it-IT"/>
        </w:rPr>
        <w:t>Affari sociali, sanità, lavoro pubblico e privato, previdenza sociale</w:t>
      </w:r>
      <w:r w:rsidR="00B2446B">
        <w:rPr>
          <w:rFonts w:ascii="Arial" w:eastAsia="Times New Roman" w:hAnsi="Arial" w:cs="Arial"/>
          <w:b/>
          <w:bCs/>
          <w:i/>
          <w:iCs/>
          <w:color w:val="002060"/>
          <w:sz w:val="28"/>
          <w:szCs w:val="28"/>
          <w:lang w:eastAsia="it-IT"/>
        </w:rPr>
        <w:t xml:space="preserve"> </w:t>
      </w:r>
      <w:r w:rsidRPr="00BE2257">
        <w:rPr>
          <w:rFonts w:ascii="Arial" w:eastAsia="Times New Roman" w:hAnsi="Arial" w:cs="Arial"/>
          <w:b/>
          <w:bCs/>
          <w:i/>
          <w:iCs/>
          <w:color w:val="002060"/>
          <w:sz w:val="28"/>
          <w:szCs w:val="28"/>
          <w:lang w:eastAsia="it-IT"/>
        </w:rPr>
        <w:t xml:space="preserve">– </w:t>
      </w:r>
      <w:r w:rsidRPr="006B409F">
        <w:rPr>
          <w:rFonts w:ascii="Arial" w:eastAsia="Times New Roman" w:hAnsi="Arial" w:cs="Arial"/>
          <w:b/>
          <w:bCs/>
          <w:color w:val="002060"/>
          <w:sz w:val="28"/>
          <w:szCs w:val="28"/>
          <w:lang w:eastAsia="it-IT"/>
        </w:rPr>
        <w:t>Nominata relatrice Sen. Maria Cristina Cantù</w:t>
      </w:r>
      <w:r>
        <w:rPr>
          <w:rFonts w:ascii="Arial" w:eastAsia="Times New Roman" w:hAnsi="Arial" w:cs="Arial"/>
          <w:b/>
          <w:bCs/>
          <w:i/>
          <w:iCs/>
          <w:color w:val="002060"/>
          <w:sz w:val="28"/>
          <w:szCs w:val="28"/>
          <w:lang w:eastAsia="it-IT"/>
        </w:rPr>
        <w:t>.</w:t>
      </w:r>
    </w:p>
    <w:p w14:paraId="0C2AB476"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716B9">
        <w:rPr>
          <w:rFonts w:ascii="Arial" w:eastAsia="Times New Roman" w:hAnsi="Arial" w:cs="Arial"/>
          <w:b/>
          <w:bCs/>
          <w:color w:val="002060"/>
          <w:sz w:val="28"/>
          <w:szCs w:val="28"/>
          <w:lang w:eastAsia="it-IT"/>
        </w:rPr>
        <w:t>Nella seduta del 1° aprile 2026</w:t>
      </w:r>
      <w:r w:rsidRPr="004716B9">
        <w:rPr>
          <w:rFonts w:ascii="Arial" w:eastAsia="Times New Roman" w:hAnsi="Arial" w:cs="Arial"/>
          <w:color w:val="002060"/>
          <w:sz w:val="28"/>
          <w:szCs w:val="28"/>
          <w:lang w:eastAsia="it-IT"/>
        </w:rPr>
        <w:t xml:space="preserve"> </w:t>
      </w:r>
      <w:r w:rsidRPr="0043586D">
        <w:rPr>
          <w:rFonts w:ascii="Arial" w:eastAsia="Times New Roman" w:hAnsi="Arial" w:cs="Arial"/>
          <w:sz w:val="28"/>
          <w:szCs w:val="28"/>
          <w:lang w:eastAsia="it-IT"/>
        </w:rPr>
        <w:t>“La relatrice </w:t>
      </w:r>
      <w:hyperlink r:id="rId4" w:tooltip="Il link apre una nuova finestra" w:history="1">
        <w:r w:rsidRPr="0043586D">
          <w:rPr>
            <w:rFonts w:ascii="Arial" w:eastAsia="Times New Roman" w:hAnsi="Arial" w:cs="Arial"/>
            <w:sz w:val="28"/>
            <w:szCs w:val="28"/>
            <w:lang w:eastAsia="it-IT"/>
          </w:rPr>
          <w:t>CANTU'</w:t>
        </w:r>
      </w:hyperlink>
      <w:r w:rsidRPr="0043586D">
        <w:rPr>
          <w:rFonts w:ascii="Arial" w:eastAsia="Times New Roman" w:hAnsi="Arial" w:cs="Arial"/>
          <w:sz w:val="28"/>
          <w:szCs w:val="28"/>
          <w:lang w:eastAsia="it-IT"/>
        </w:rPr>
        <w:t> (</w:t>
      </w:r>
      <w:r w:rsidRPr="0043586D">
        <w:rPr>
          <w:rFonts w:ascii="Arial" w:eastAsia="Times New Roman" w:hAnsi="Arial" w:cs="Arial"/>
          <w:i/>
          <w:iCs/>
          <w:sz w:val="28"/>
          <w:szCs w:val="28"/>
          <w:lang w:eastAsia="it-IT"/>
        </w:rPr>
        <w:t>LSP-PSd'Az</w:t>
      </w:r>
      <w:r w:rsidRPr="0043586D">
        <w:rPr>
          <w:rFonts w:ascii="Arial" w:eastAsia="Times New Roman" w:hAnsi="Arial" w:cs="Arial"/>
          <w:sz w:val="28"/>
          <w:szCs w:val="28"/>
          <w:lang w:eastAsia="it-IT"/>
        </w:rPr>
        <w:t>), intervenendo anche a nome dei correlatori Satta e Ternullo, nota preliminarmente che il disegno di legge in titolo reca una disciplina di delega al Governo relativa alla riorganizzazione e al potenziamento dell'assistenza territoriale e ospedaliera e alla revisione del modello organizzativo del Servizio sanitario nazionale.</w:t>
      </w:r>
    </w:p>
    <w:p w14:paraId="5D59B76E" w14:textId="77777777" w:rsidR="00371D6A" w:rsidRPr="00FC5756" w:rsidRDefault="00371D6A" w:rsidP="00371D6A">
      <w:pPr>
        <w:spacing w:before="30" w:after="30" w:line="240" w:lineRule="auto"/>
        <w:ind w:left="30"/>
        <w:jc w:val="both"/>
        <w:rPr>
          <w:rFonts w:ascii="Arial" w:eastAsia="Times New Roman" w:hAnsi="Arial" w:cs="Arial"/>
          <w:b/>
          <w:bCs/>
          <w:color w:val="002060"/>
          <w:sz w:val="28"/>
          <w:szCs w:val="28"/>
          <w:lang w:eastAsia="it-IT"/>
        </w:rPr>
      </w:pPr>
      <w:r w:rsidRPr="00FC5756">
        <w:rPr>
          <w:rFonts w:ascii="Arial" w:eastAsia="Times New Roman" w:hAnsi="Arial" w:cs="Arial"/>
          <w:b/>
          <w:bCs/>
          <w:color w:val="002060"/>
          <w:sz w:val="28"/>
          <w:szCs w:val="28"/>
          <w:lang w:eastAsia="it-IT"/>
        </w:rPr>
        <w:t>Passa quindi a sintetizzare i contenuti dell'articolato.</w:t>
      </w:r>
    </w:p>
    <w:p w14:paraId="55DEE960"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Il comma 1 dell'articolo 1 pone al 31 dicembre 2026 il termine per l'esercizio della delega, fatta salva la fattispecie di scorrimento del termine (nella misura di tre mesi) di cui al successivo comma 3.</w:t>
      </w:r>
    </w:p>
    <w:p w14:paraId="63ABEFB9"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I commi 2 e 3 dell'articolo 1 definiscono la procedura per l'esercizio della delega, mentre il comma 4 prevede la possibilità di adozione di successivi decreti legislativi integrativi e correttivi.</w:t>
      </w:r>
    </w:p>
    <w:p w14:paraId="561882F8"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Nel successivo articolo 2 sono dettagliati i principi e i criteri direttivi per l'esercizio della delega.</w:t>
      </w:r>
    </w:p>
    <w:p w14:paraId="05653A1E"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L'articolo 3 reca le disposizioni finanziarie relative alla disciplina di delega in esame, mentre l'articolo 4 specifica che le disposizioni della presente disciplina di delega e quelle dei relativi decreti legislativi sono applicabili nelle regioni a statuto speciale e nelle province autonome di Trento e di Bolzano compatibilmente con i rispettivi statuti speciali e le relative norme di attuazione.</w:t>
      </w:r>
    </w:p>
    <w:p w14:paraId="17733218" w14:textId="77777777" w:rsidR="00371D6A" w:rsidRPr="00FC5756" w:rsidRDefault="00371D6A" w:rsidP="00371D6A">
      <w:pPr>
        <w:spacing w:before="30" w:after="30" w:line="240" w:lineRule="auto"/>
        <w:ind w:left="30"/>
        <w:jc w:val="both"/>
        <w:rPr>
          <w:rFonts w:ascii="Arial" w:eastAsia="Times New Roman" w:hAnsi="Arial" w:cs="Arial"/>
          <w:b/>
          <w:bCs/>
          <w:color w:val="002060"/>
          <w:sz w:val="28"/>
          <w:szCs w:val="28"/>
          <w:lang w:eastAsia="it-IT"/>
        </w:rPr>
      </w:pPr>
      <w:r w:rsidRPr="00FC5756">
        <w:rPr>
          <w:rFonts w:ascii="Arial" w:eastAsia="Times New Roman" w:hAnsi="Arial" w:cs="Arial"/>
          <w:b/>
          <w:bCs/>
          <w:color w:val="002060"/>
          <w:sz w:val="28"/>
          <w:szCs w:val="28"/>
          <w:lang w:eastAsia="it-IT"/>
        </w:rPr>
        <w:t>Il presidente </w:t>
      </w:r>
      <w:hyperlink r:id="rId5" w:tooltip="Il link apre una nuova finestra" w:history="1">
        <w:r w:rsidRPr="00FC5756">
          <w:rPr>
            <w:rFonts w:ascii="Arial" w:eastAsia="Times New Roman" w:hAnsi="Arial" w:cs="Arial"/>
            <w:b/>
            <w:bCs/>
            <w:color w:val="002060"/>
            <w:sz w:val="28"/>
            <w:szCs w:val="28"/>
            <w:lang w:eastAsia="it-IT"/>
          </w:rPr>
          <w:t>ZAFFINI</w:t>
        </w:r>
      </w:hyperlink>
      <w:r w:rsidRPr="00FC5756">
        <w:rPr>
          <w:rFonts w:ascii="Arial" w:eastAsia="Times New Roman" w:hAnsi="Arial" w:cs="Arial"/>
          <w:b/>
          <w:bCs/>
          <w:color w:val="002060"/>
          <w:sz w:val="28"/>
          <w:szCs w:val="28"/>
          <w:lang w:eastAsia="it-IT"/>
        </w:rPr>
        <w:t> segnala l'opportunità di procedere allo svolgimento di un ciclo di audizioni informali. Prospetta al riguardo la possibilità per ciascun Gruppo di proporre un massimo di due soggetti da audire entro le ore 12 del 3 aprile, mentre la Presidenza si riserva la valutazione circa ulteriori soggetti da convocare d'ufficio.</w:t>
      </w:r>
    </w:p>
    <w:p w14:paraId="3955881A"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Non essendovi obiezioni, così resta stabilito.</w:t>
      </w:r>
    </w:p>
    <w:p w14:paraId="21532EEE"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La senatrice </w:t>
      </w:r>
      <w:hyperlink r:id="rId6" w:tooltip="Il link apre una nuova finestra" w:history="1">
        <w:r w:rsidRPr="0043586D">
          <w:rPr>
            <w:rFonts w:ascii="Arial" w:eastAsia="Times New Roman" w:hAnsi="Arial" w:cs="Arial"/>
            <w:sz w:val="28"/>
            <w:szCs w:val="28"/>
            <w:lang w:eastAsia="it-IT"/>
          </w:rPr>
          <w:t>CASTELLONE</w:t>
        </w:r>
      </w:hyperlink>
      <w:r w:rsidRPr="0043586D">
        <w:rPr>
          <w:rFonts w:ascii="Arial" w:eastAsia="Times New Roman" w:hAnsi="Arial" w:cs="Arial"/>
          <w:sz w:val="28"/>
          <w:szCs w:val="28"/>
          <w:lang w:eastAsia="it-IT"/>
        </w:rPr>
        <w:t> (</w:t>
      </w:r>
      <w:r w:rsidRPr="0043586D">
        <w:rPr>
          <w:rFonts w:ascii="Arial" w:eastAsia="Times New Roman" w:hAnsi="Arial" w:cs="Arial"/>
          <w:i/>
          <w:iCs/>
          <w:sz w:val="28"/>
          <w:szCs w:val="28"/>
          <w:lang w:eastAsia="it-IT"/>
        </w:rPr>
        <w:t>M5S</w:t>
      </w:r>
      <w:r w:rsidRPr="0043586D">
        <w:rPr>
          <w:rFonts w:ascii="Arial" w:eastAsia="Times New Roman" w:hAnsi="Arial" w:cs="Arial"/>
          <w:sz w:val="28"/>
          <w:szCs w:val="28"/>
          <w:lang w:eastAsia="it-IT"/>
        </w:rPr>
        <w:t>) chiede ragguagli in ordine al possibile abbinamento di altri disegni di legge, riguardanti materie affini.</w:t>
      </w:r>
    </w:p>
    <w:p w14:paraId="0F3C2001" w14:textId="77777777" w:rsidR="00371D6A" w:rsidRPr="0043586D" w:rsidRDefault="00371D6A" w:rsidP="00371D6A">
      <w:pPr>
        <w:spacing w:before="30" w:after="30" w:line="240" w:lineRule="auto"/>
        <w:ind w:left="30"/>
        <w:jc w:val="both"/>
        <w:rPr>
          <w:rFonts w:ascii="Arial" w:eastAsia="Times New Roman" w:hAnsi="Arial" w:cs="Arial"/>
          <w:sz w:val="28"/>
          <w:szCs w:val="28"/>
          <w:lang w:eastAsia="it-IT"/>
        </w:rPr>
      </w:pPr>
      <w:r w:rsidRPr="0043586D">
        <w:rPr>
          <w:rFonts w:ascii="Arial" w:eastAsia="Times New Roman" w:hAnsi="Arial" w:cs="Arial"/>
          <w:sz w:val="28"/>
          <w:szCs w:val="28"/>
          <w:lang w:eastAsia="it-IT"/>
        </w:rPr>
        <w:t>Il presidente </w:t>
      </w:r>
      <w:hyperlink r:id="rId7" w:tooltip="Il link apre una nuova finestra" w:history="1">
        <w:r w:rsidRPr="0043586D">
          <w:rPr>
            <w:rFonts w:ascii="Arial" w:eastAsia="Times New Roman" w:hAnsi="Arial" w:cs="Arial"/>
            <w:sz w:val="28"/>
            <w:szCs w:val="28"/>
            <w:lang w:eastAsia="it-IT"/>
          </w:rPr>
          <w:t>ZAFFINI</w:t>
        </w:r>
      </w:hyperlink>
      <w:r w:rsidRPr="0043586D">
        <w:rPr>
          <w:rFonts w:ascii="Arial" w:eastAsia="Times New Roman" w:hAnsi="Arial" w:cs="Arial"/>
          <w:sz w:val="28"/>
          <w:szCs w:val="28"/>
          <w:lang w:eastAsia="it-IT"/>
        </w:rPr>
        <w:t> fornisce le delucidazioni richieste.</w:t>
      </w:r>
    </w:p>
    <w:p w14:paraId="10A47B0B" w14:textId="77777777" w:rsidR="00371D6A" w:rsidRPr="006B409F" w:rsidRDefault="00371D6A" w:rsidP="00371D6A">
      <w:pPr>
        <w:pStyle w:val="NormaleWeb"/>
        <w:shd w:val="clear" w:color="auto" w:fill="FEFEFE"/>
        <w:spacing w:before="30" w:beforeAutospacing="0" w:after="30" w:afterAutospacing="0"/>
        <w:ind w:left="30"/>
        <w:rPr>
          <w:rFonts w:ascii="Arial" w:hAnsi="Arial" w:cs="Arial"/>
          <w:b/>
          <w:bCs/>
          <w:color w:val="000000"/>
          <w:sz w:val="28"/>
          <w:szCs w:val="28"/>
        </w:rPr>
      </w:pPr>
      <w:r w:rsidRPr="0043586D">
        <w:rPr>
          <w:rFonts w:ascii="Arial" w:hAnsi="Arial" w:cs="Arial"/>
          <w:sz w:val="28"/>
          <w:szCs w:val="28"/>
        </w:rPr>
        <w:t>Il seguito dell'esame è quindi rinviato</w:t>
      </w:r>
      <w:r>
        <w:rPr>
          <w:rFonts w:ascii="Arial" w:hAnsi="Arial" w:cs="Arial"/>
          <w:sz w:val="28"/>
          <w:szCs w:val="28"/>
        </w:rPr>
        <w:t>”</w:t>
      </w:r>
      <w:r w:rsidRPr="0043586D">
        <w:rPr>
          <w:rFonts w:ascii="Arial" w:hAnsi="Arial" w:cs="Arial"/>
          <w:sz w:val="28"/>
          <w:szCs w:val="28"/>
        </w:rPr>
        <w:t>.</w:t>
      </w:r>
      <w:r w:rsidRPr="00ED057B">
        <w:rPr>
          <w:rFonts w:ascii="Verdana" w:hAnsi="Verdana"/>
          <w:color w:val="000000"/>
        </w:rPr>
        <w:t xml:space="preserve"> </w:t>
      </w:r>
      <w:r w:rsidRPr="00297A80">
        <w:rPr>
          <w:rFonts w:ascii="Arial" w:hAnsi="Arial" w:cs="Arial"/>
          <w:b/>
          <w:bCs/>
          <w:color w:val="002060"/>
          <w:sz w:val="28"/>
          <w:szCs w:val="28"/>
        </w:rPr>
        <w:t>Nella seduta del 19 maggio 2026</w:t>
      </w:r>
      <w:r w:rsidRPr="00297A80">
        <w:rPr>
          <w:rFonts w:ascii="Arial" w:hAnsi="Arial" w:cs="Arial"/>
          <w:color w:val="002060"/>
          <w:sz w:val="28"/>
          <w:szCs w:val="28"/>
        </w:rPr>
        <w:t xml:space="preserve"> </w:t>
      </w:r>
      <w:r w:rsidRPr="00ED057B">
        <w:rPr>
          <w:rFonts w:ascii="Arial" w:hAnsi="Arial" w:cs="Arial"/>
          <w:sz w:val="28"/>
          <w:szCs w:val="28"/>
        </w:rPr>
        <w:t>“La presidente </w:t>
      </w:r>
      <w:hyperlink r:id="rId8" w:tooltip="Il link apre una nuova finestra" w:history="1">
        <w:r w:rsidRPr="00ED057B">
          <w:rPr>
            <w:rFonts w:ascii="Arial" w:hAnsi="Arial" w:cs="Arial"/>
            <w:sz w:val="28"/>
            <w:szCs w:val="28"/>
          </w:rPr>
          <w:t>CANTU'</w:t>
        </w:r>
      </w:hyperlink>
      <w:r w:rsidRPr="00ED057B">
        <w:rPr>
          <w:rFonts w:ascii="Arial" w:hAnsi="Arial" w:cs="Arial"/>
          <w:sz w:val="28"/>
          <w:szCs w:val="28"/>
        </w:rPr>
        <w:t> dà conto della conclusione del previsto ciclo di audizioni.</w:t>
      </w:r>
    </w:p>
    <w:p w14:paraId="1110FCB6"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Dichiara quindi aperta la discussione generale.</w:t>
      </w:r>
    </w:p>
    <w:p w14:paraId="53BB8FEF"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Ha quindi la parola il senatore </w:t>
      </w:r>
      <w:hyperlink r:id="rId9" w:tooltip="Il link apre una nuova finestra" w:history="1">
        <w:r w:rsidRPr="00ED057B">
          <w:rPr>
            <w:rFonts w:ascii="Arial" w:eastAsia="Times New Roman" w:hAnsi="Arial" w:cs="Arial"/>
            <w:sz w:val="28"/>
            <w:szCs w:val="28"/>
            <w:lang w:eastAsia="it-IT"/>
          </w:rPr>
          <w:t>MAZZELLA</w:t>
        </w:r>
      </w:hyperlink>
      <w:r w:rsidRPr="00ED057B">
        <w:rPr>
          <w:rFonts w:ascii="Arial" w:eastAsia="Times New Roman" w:hAnsi="Arial" w:cs="Arial"/>
          <w:sz w:val="28"/>
          <w:szCs w:val="28"/>
          <w:lang w:eastAsia="it-IT"/>
        </w:rPr>
        <w:t> (</w:t>
      </w:r>
      <w:r w:rsidRPr="00ED057B">
        <w:rPr>
          <w:rFonts w:ascii="Arial" w:eastAsia="Times New Roman" w:hAnsi="Arial" w:cs="Arial"/>
          <w:i/>
          <w:iCs/>
          <w:sz w:val="28"/>
          <w:szCs w:val="28"/>
          <w:lang w:eastAsia="it-IT"/>
        </w:rPr>
        <w:t>M5S</w:t>
      </w:r>
      <w:r w:rsidRPr="00ED057B">
        <w:rPr>
          <w:rFonts w:ascii="Arial" w:eastAsia="Times New Roman" w:hAnsi="Arial" w:cs="Arial"/>
          <w:sz w:val="28"/>
          <w:szCs w:val="28"/>
          <w:lang w:eastAsia="it-IT"/>
        </w:rPr>
        <w:t xml:space="preserve">), il quale richiama lo spirito di condivisione delle finalità alla base di una determinazione politica di portata storica come l'istituzione del Servizio sanitario nazionale, contraddistinta dall'essere risultante da un'ampia partecipazione delle forze parlamentari. Osserva che un intervento di riforma sulla medesima materia richiede dunque </w:t>
      </w:r>
      <w:r w:rsidRPr="00ED057B">
        <w:rPr>
          <w:rFonts w:ascii="Arial" w:eastAsia="Times New Roman" w:hAnsi="Arial" w:cs="Arial"/>
          <w:sz w:val="28"/>
          <w:szCs w:val="28"/>
          <w:lang w:eastAsia="it-IT"/>
        </w:rPr>
        <w:lastRenderedPageBreak/>
        <w:t>un approccio ispirato a tale precedente, presupponendo la condivisione degli obiettivi fondamentali.</w:t>
      </w:r>
    </w:p>
    <w:p w14:paraId="5D8D980B"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Ritiene pertanto inadeguato il ricorso a una delega legislativa imperniata su principi particolarmente vaghi e la cui attuazione è incerta, stante l'attuale fase della legislatura. Evidenzia che l'apporto delle Commissioni parlamentari, relativamente agli atti di legislazione delegata, è poi particolarmente limitato.</w:t>
      </w:r>
    </w:p>
    <w:p w14:paraId="1C0EBE22"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Trova che il disegno riformatore del Governo abbia inoltre il difetto di non derivare da un confronto preventivo con le regioni e sia prevedibilmente destinato a risultare privo di effetti concreti in assenza del necessario impiego di risorse.</w:t>
      </w:r>
    </w:p>
    <w:p w14:paraId="7CA0D38C"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Rimarca la tendenza del Governo a privilegiare le proprie iniziative legislative, marginalizzando il ruolo della Commissione, anche nelle sue componenti di maggioranza.</w:t>
      </w:r>
    </w:p>
    <w:p w14:paraId="40E0A0B7"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La presidente </w:t>
      </w:r>
      <w:hyperlink r:id="rId10" w:tooltip="Il link apre una nuova finestra" w:history="1">
        <w:r w:rsidRPr="00ED057B">
          <w:rPr>
            <w:rFonts w:ascii="Arial" w:eastAsia="Times New Roman" w:hAnsi="Arial" w:cs="Arial"/>
            <w:sz w:val="28"/>
            <w:szCs w:val="28"/>
            <w:lang w:eastAsia="it-IT"/>
          </w:rPr>
          <w:t>CANTU'</w:t>
        </w:r>
      </w:hyperlink>
      <w:r w:rsidRPr="00ED057B">
        <w:rPr>
          <w:rFonts w:ascii="Arial" w:eastAsia="Times New Roman" w:hAnsi="Arial" w:cs="Arial"/>
          <w:sz w:val="28"/>
          <w:szCs w:val="28"/>
          <w:lang w:eastAsia="it-IT"/>
        </w:rPr>
        <w:t> invita a una valutazione maggiormente serena dell'attività articolata svolta dalla Commissione.</w:t>
      </w:r>
    </w:p>
    <w:p w14:paraId="048253E4"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La senatrice </w:t>
      </w:r>
      <w:hyperlink r:id="rId11" w:tooltip="Il link apre una nuova finestra" w:history="1">
        <w:r w:rsidRPr="00ED057B">
          <w:rPr>
            <w:rFonts w:ascii="Arial" w:eastAsia="Times New Roman" w:hAnsi="Arial" w:cs="Arial"/>
            <w:sz w:val="28"/>
            <w:szCs w:val="28"/>
            <w:lang w:eastAsia="it-IT"/>
          </w:rPr>
          <w:t>GUIDOLIN</w:t>
        </w:r>
      </w:hyperlink>
      <w:r w:rsidRPr="00ED057B">
        <w:rPr>
          <w:rFonts w:ascii="Arial" w:eastAsia="Times New Roman" w:hAnsi="Arial" w:cs="Arial"/>
          <w:sz w:val="28"/>
          <w:szCs w:val="28"/>
          <w:lang w:eastAsia="it-IT"/>
        </w:rPr>
        <w:t> (</w:t>
      </w:r>
      <w:r w:rsidRPr="00ED057B">
        <w:rPr>
          <w:rFonts w:ascii="Arial" w:eastAsia="Times New Roman" w:hAnsi="Arial" w:cs="Arial"/>
          <w:i/>
          <w:iCs/>
          <w:sz w:val="28"/>
          <w:szCs w:val="28"/>
          <w:lang w:eastAsia="it-IT"/>
        </w:rPr>
        <w:t>M5S</w:t>
      </w:r>
      <w:r w:rsidRPr="00ED057B">
        <w:rPr>
          <w:rFonts w:ascii="Arial" w:eastAsia="Times New Roman" w:hAnsi="Arial" w:cs="Arial"/>
          <w:sz w:val="28"/>
          <w:szCs w:val="28"/>
          <w:lang w:eastAsia="it-IT"/>
        </w:rPr>
        <w:t>) giudica il disegno di legge in esame un'occasione perduta per provvedere all'ormai indifferibile riforma del settore delle residenze sanitarie assistenziali. Il provvedimento in esame si limita infatti, a suo avviso, a un richiamo generico all'obiettivo dell'innalzamento della qualità del servizio e non risulta espressivo di un impegno concreto, corroborato da risorse adeguate. Rileva che risulta urgente adeguare le strutture anche ai nuovi rischi pandemici, tenuto conto delle carenze diffuse nell'applicazione dei protocolli in materia di igiene.</w:t>
      </w:r>
    </w:p>
    <w:p w14:paraId="16D90947"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Soggiunge che il provvedimento presenta analoghe lacune riguardo all'investimento nelle case della comunità e, in generale, risente della mancanza del necessario confronto con le realtà territoriali.</w:t>
      </w:r>
    </w:p>
    <w:p w14:paraId="1F45AC28"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r w:rsidRPr="00ED057B">
        <w:rPr>
          <w:rFonts w:ascii="Arial" w:eastAsia="Times New Roman" w:hAnsi="Arial" w:cs="Arial"/>
          <w:sz w:val="28"/>
          <w:szCs w:val="28"/>
          <w:lang w:eastAsia="it-IT"/>
        </w:rPr>
        <w:t>Il seguito dell'esame è quindi rinviato</w:t>
      </w:r>
      <w:r>
        <w:rPr>
          <w:rFonts w:ascii="Arial" w:eastAsia="Times New Roman" w:hAnsi="Arial" w:cs="Arial"/>
          <w:sz w:val="28"/>
          <w:szCs w:val="28"/>
          <w:lang w:eastAsia="it-IT"/>
        </w:rPr>
        <w:t>”</w:t>
      </w:r>
      <w:r w:rsidRPr="00ED057B">
        <w:rPr>
          <w:rFonts w:ascii="Arial" w:eastAsia="Times New Roman" w:hAnsi="Arial" w:cs="Arial"/>
          <w:sz w:val="28"/>
          <w:szCs w:val="28"/>
          <w:lang w:eastAsia="it-IT"/>
        </w:rPr>
        <w:t>.</w:t>
      </w:r>
    </w:p>
    <w:p w14:paraId="4EEA3952" w14:textId="77777777" w:rsidR="00371D6A" w:rsidRPr="00ED057B" w:rsidRDefault="00371D6A" w:rsidP="00371D6A">
      <w:pPr>
        <w:spacing w:before="30" w:after="30" w:line="240" w:lineRule="auto"/>
        <w:ind w:left="30"/>
        <w:jc w:val="both"/>
        <w:rPr>
          <w:rFonts w:ascii="Arial" w:eastAsia="Times New Roman" w:hAnsi="Arial" w:cs="Arial"/>
          <w:sz w:val="28"/>
          <w:szCs w:val="28"/>
          <w:lang w:eastAsia="it-IT"/>
        </w:rPr>
      </w:pPr>
    </w:p>
    <w:p w14:paraId="0AA5E0E0"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p>
    <w:p w14:paraId="18B09BF0" w14:textId="77777777" w:rsidR="00371D6A" w:rsidRPr="00ED057B" w:rsidRDefault="00371D6A" w:rsidP="00371D6A">
      <w:pPr>
        <w:shd w:val="clear" w:color="auto" w:fill="FEFEFE"/>
        <w:spacing w:before="30" w:after="30" w:line="240" w:lineRule="auto"/>
        <w:ind w:left="30"/>
        <w:jc w:val="both"/>
        <w:rPr>
          <w:rFonts w:ascii="Arial" w:eastAsia="Times New Roman" w:hAnsi="Arial" w:cs="Arial"/>
          <w:sz w:val="28"/>
          <w:szCs w:val="28"/>
          <w:lang w:eastAsia="it-IT"/>
        </w:rPr>
      </w:pPr>
    </w:p>
    <w:p w14:paraId="4A5B0042" w14:textId="77777777" w:rsidR="00371D6A" w:rsidRPr="00ED057B" w:rsidRDefault="00371D6A" w:rsidP="00371D6A">
      <w:pPr>
        <w:spacing w:before="100" w:beforeAutospacing="1" w:after="100" w:afterAutospacing="1" w:line="240" w:lineRule="auto"/>
        <w:jc w:val="both"/>
        <w:rPr>
          <w:rFonts w:ascii="Arial" w:eastAsia="Times New Roman" w:hAnsi="Arial" w:cs="Arial"/>
          <w:b/>
          <w:bCs/>
          <w:sz w:val="28"/>
          <w:szCs w:val="28"/>
          <w:lang w:eastAsia="it-IT"/>
        </w:rPr>
      </w:pPr>
    </w:p>
    <w:p w14:paraId="133286D8" w14:textId="77777777" w:rsidR="00371D6A" w:rsidRDefault="00371D6A"/>
    <w:sectPr w:rsidR="00371D6A" w:rsidSect="00371D6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D6A"/>
    <w:rsid w:val="00371D6A"/>
    <w:rsid w:val="00502409"/>
    <w:rsid w:val="00AB5BF8"/>
    <w:rsid w:val="00B244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A2061"/>
  <w15:chartTrackingRefBased/>
  <w15:docId w15:val="{DCC5C505-DA96-46E1-B3E7-5F62CD6F2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D6A"/>
    <w:pPr>
      <w:spacing w:line="259" w:lineRule="auto"/>
    </w:pPr>
    <w:rPr>
      <w:kern w:val="0"/>
      <w:sz w:val="22"/>
      <w:szCs w:val="22"/>
      <w14:ligatures w14:val="none"/>
    </w:rPr>
  </w:style>
  <w:style w:type="paragraph" w:styleId="Titolo1">
    <w:name w:val="heading 1"/>
    <w:basedOn w:val="Normale"/>
    <w:next w:val="Normale"/>
    <w:link w:val="Titolo1Carattere"/>
    <w:uiPriority w:val="9"/>
    <w:qFormat/>
    <w:rsid w:val="00371D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olo2">
    <w:name w:val="heading 2"/>
    <w:basedOn w:val="Normale"/>
    <w:next w:val="Normale"/>
    <w:link w:val="Titolo2Carattere"/>
    <w:uiPriority w:val="9"/>
    <w:semiHidden/>
    <w:unhideWhenUsed/>
    <w:qFormat/>
    <w:rsid w:val="00371D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olo3">
    <w:name w:val="heading 3"/>
    <w:basedOn w:val="Normale"/>
    <w:next w:val="Normale"/>
    <w:link w:val="Titolo3Carattere"/>
    <w:uiPriority w:val="9"/>
    <w:semiHidden/>
    <w:unhideWhenUsed/>
    <w:qFormat/>
    <w:rsid w:val="00371D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olo4">
    <w:name w:val="heading 4"/>
    <w:basedOn w:val="Normale"/>
    <w:next w:val="Normale"/>
    <w:link w:val="Titolo4Carattere"/>
    <w:uiPriority w:val="9"/>
    <w:semiHidden/>
    <w:unhideWhenUsed/>
    <w:qFormat/>
    <w:rsid w:val="00371D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olo5">
    <w:name w:val="heading 5"/>
    <w:basedOn w:val="Normale"/>
    <w:next w:val="Normale"/>
    <w:link w:val="Titolo5Carattere"/>
    <w:uiPriority w:val="9"/>
    <w:semiHidden/>
    <w:unhideWhenUsed/>
    <w:qFormat/>
    <w:rsid w:val="00371D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olo6">
    <w:name w:val="heading 6"/>
    <w:basedOn w:val="Normale"/>
    <w:next w:val="Normale"/>
    <w:link w:val="Titolo6Carattere"/>
    <w:uiPriority w:val="9"/>
    <w:semiHidden/>
    <w:unhideWhenUsed/>
    <w:qFormat/>
    <w:rsid w:val="00371D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olo7">
    <w:name w:val="heading 7"/>
    <w:basedOn w:val="Normale"/>
    <w:next w:val="Normale"/>
    <w:link w:val="Titolo7Carattere"/>
    <w:uiPriority w:val="9"/>
    <w:semiHidden/>
    <w:unhideWhenUsed/>
    <w:qFormat/>
    <w:rsid w:val="00371D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olo8">
    <w:name w:val="heading 8"/>
    <w:basedOn w:val="Normale"/>
    <w:next w:val="Normale"/>
    <w:link w:val="Titolo8Carattere"/>
    <w:uiPriority w:val="9"/>
    <w:semiHidden/>
    <w:unhideWhenUsed/>
    <w:qFormat/>
    <w:rsid w:val="00371D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olo9">
    <w:name w:val="heading 9"/>
    <w:basedOn w:val="Normale"/>
    <w:next w:val="Normale"/>
    <w:link w:val="Titolo9Carattere"/>
    <w:uiPriority w:val="9"/>
    <w:semiHidden/>
    <w:unhideWhenUsed/>
    <w:qFormat/>
    <w:rsid w:val="00371D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71D6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71D6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71D6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71D6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71D6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71D6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71D6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71D6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71D6A"/>
    <w:rPr>
      <w:rFonts w:eastAsiaTheme="majorEastAsia" w:cstheme="majorBidi"/>
      <w:color w:val="272727" w:themeColor="text1" w:themeTint="D8"/>
    </w:rPr>
  </w:style>
  <w:style w:type="paragraph" w:styleId="Titolo">
    <w:name w:val="Title"/>
    <w:basedOn w:val="Normale"/>
    <w:next w:val="Normale"/>
    <w:link w:val="TitoloCarattere"/>
    <w:uiPriority w:val="10"/>
    <w:qFormat/>
    <w:rsid w:val="00371D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oloCarattere">
    <w:name w:val="Titolo Carattere"/>
    <w:basedOn w:val="Carpredefinitoparagrafo"/>
    <w:link w:val="Titolo"/>
    <w:uiPriority w:val="10"/>
    <w:rsid w:val="00371D6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71D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uiPriority w:val="11"/>
    <w:rsid w:val="00371D6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71D6A"/>
    <w:pPr>
      <w:spacing w:before="160" w:line="278" w:lineRule="auto"/>
      <w:jc w:val="center"/>
    </w:pPr>
    <w:rPr>
      <w:i/>
      <w:iCs/>
      <w:color w:val="404040" w:themeColor="text1" w:themeTint="BF"/>
      <w:kern w:val="2"/>
      <w:sz w:val="24"/>
      <w:szCs w:val="24"/>
      <w14:ligatures w14:val="standardContextual"/>
    </w:rPr>
  </w:style>
  <w:style w:type="character" w:customStyle="1" w:styleId="CitazioneCarattere">
    <w:name w:val="Citazione Carattere"/>
    <w:basedOn w:val="Carpredefinitoparagrafo"/>
    <w:link w:val="Citazione"/>
    <w:uiPriority w:val="29"/>
    <w:rsid w:val="00371D6A"/>
    <w:rPr>
      <w:i/>
      <w:iCs/>
      <w:color w:val="404040" w:themeColor="text1" w:themeTint="BF"/>
    </w:rPr>
  </w:style>
  <w:style w:type="paragraph" w:styleId="Paragrafoelenco">
    <w:name w:val="List Paragraph"/>
    <w:basedOn w:val="Normale"/>
    <w:uiPriority w:val="34"/>
    <w:qFormat/>
    <w:rsid w:val="00371D6A"/>
    <w:pPr>
      <w:spacing w:line="278" w:lineRule="auto"/>
      <w:ind w:left="720"/>
      <w:contextualSpacing/>
    </w:pPr>
    <w:rPr>
      <w:kern w:val="2"/>
      <w:sz w:val="24"/>
      <w:szCs w:val="24"/>
      <w14:ligatures w14:val="standardContextual"/>
    </w:rPr>
  </w:style>
  <w:style w:type="character" w:styleId="Enfasiintensa">
    <w:name w:val="Intense Emphasis"/>
    <w:basedOn w:val="Carpredefinitoparagrafo"/>
    <w:uiPriority w:val="21"/>
    <w:qFormat/>
    <w:rsid w:val="00371D6A"/>
    <w:rPr>
      <w:i/>
      <w:iCs/>
      <w:color w:val="0F4761" w:themeColor="accent1" w:themeShade="BF"/>
    </w:rPr>
  </w:style>
  <w:style w:type="paragraph" w:styleId="Citazioneintensa">
    <w:name w:val="Intense Quote"/>
    <w:basedOn w:val="Normale"/>
    <w:next w:val="Normale"/>
    <w:link w:val="CitazioneintensaCarattere"/>
    <w:uiPriority w:val="30"/>
    <w:qFormat/>
    <w:rsid w:val="00371D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zioneintensaCarattere">
    <w:name w:val="Citazione intensa Carattere"/>
    <w:basedOn w:val="Carpredefinitoparagrafo"/>
    <w:link w:val="Citazioneintensa"/>
    <w:uiPriority w:val="30"/>
    <w:rsid w:val="00371D6A"/>
    <w:rPr>
      <w:i/>
      <w:iCs/>
      <w:color w:val="0F4761" w:themeColor="accent1" w:themeShade="BF"/>
    </w:rPr>
  </w:style>
  <w:style w:type="character" w:styleId="Riferimentointenso">
    <w:name w:val="Intense Reference"/>
    <w:basedOn w:val="Carpredefinitoparagrafo"/>
    <w:uiPriority w:val="32"/>
    <w:qFormat/>
    <w:rsid w:val="00371D6A"/>
    <w:rPr>
      <w:b/>
      <w:bCs/>
      <w:smallCaps/>
      <w:color w:val="0F4761" w:themeColor="accent1" w:themeShade="BF"/>
      <w:spacing w:val="5"/>
    </w:rPr>
  </w:style>
  <w:style w:type="paragraph" w:styleId="NormaleWeb">
    <w:name w:val="Normal (Web)"/>
    <w:basedOn w:val="Normale"/>
    <w:uiPriority w:val="99"/>
    <w:unhideWhenUsed/>
    <w:rsid w:val="00371D6A"/>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ato.it/loc/link.asp?leg=19&amp;tipodoc=sanasen&amp;id=325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senato.it/loc/link.asp?leg=19&amp;tipodoc=sanasen&amp;id=327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o.it/loc/link.asp?leg=19&amp;tipodoc=sanasen&amp;id=32600" TargetMode="External"/><Relationship Id="rId11" Type="http://schemas.openxmlformats.org/officeDocument/2006/relationships/hyperlink" Target="https://www.senato.it/loc/link.asp?leg=19&amp;tipodoc=sanasen&amp;id=32644" TargetMode="External"/><Relationship Id="rId5" Type="http://schemas.openxmlformats.org/officeDocument/2006/relationships/hyperlink" Target="https://www.senato.it/loc/link.asp?leg=19&amp;tipodoc=sanasen&amp;id=32732" TargetMode="External"/><Relationship Id="rId10" Type="http://schemas.openxmlformats.org/officeDocument/2006/relationships/hyperlink" Target="https://www.senato.it/loc/link.asp?leg=19&amp;tipodoc=sanasen&amp;id=32598" TargetMode="External"/><Relationship Id="rId4" Type="http://schemas.openxmlformats.org/officeDocument/2006/relationships/hyperlink" Target="https://www.senato.it/loc/link.asp?leg=19&amp;tipodoc=sanasen&amp;id=32598" TargetMode="External"/><Relationship Id="rId9" Type="http://schemas.openxmlformats.org/officeDocument/2006/relationships/hyperlink" Target="https://www.senato.it/loc/link.asp?leg=19&amp;tipodoc=sanasen&amp;id=36406"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844</Words>
  <Characters>4815</Characters>
  <Application>Microsoft Office Word</Application>
  <DocSecurity>0</DocSecurity>
  <Lines>40</Lines>
  <Paragraphs>11</Paragraphs>
  <ScaleCrop>false</ScaleCrop>
  <Company>FNOMCeO</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Marcello Fontana</cp:lastModifiedBy>
  <cp:revision>2</cp:revision>
  <dcterms:created xsi:type="dcterms:W3CDTF">2026-05-20T06:47:00Z</dcterms:created>
  <dcterms:modified xsi:type="dcterms:W3CDTF">2026-05-20T06:52:00Z</dcterms:modified>
</cp:coreProperties>
</file>