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0291" w14:textId="77777777" w:rsidR="005D09F6" w:rsidRPr="009E4215" w:rsidRDefault="005D09F6" w:rsidP="009E4215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9E4215">
        <w:rPr>
          <w:b/>
          <w:bCs/>
          <w:sz w:val="36"/>
          <w:szCs w:val="36"/>
        </w:rPr>
        <w:t>COMUNICATO STAMPA</w:t>
      </w:r>
    </w:p>
    <w:p w14:paraId="3B53B084" w14:textId="1089D531" w:rsidR="005D09F6" w:rsidRPr="006D3701" w:rsidRDefault="006D3701" w:rsidP="006D3701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6D3701">
        <w:rPr>
          <w:b/>
          <w:bCs/>
          <w:sz w:val="36"/>
          <w:szCs w:val="36"/>
        </w:rPr>
        <w:t xml:space="preserve">AUTONOMIA DIFFERENZIATA IN SANITÀ: </w:t>
      </w:r>
      <w:bookmarkStart w:id="0" w:name="_GoBack"/>
      <w:bookmarkEnd w:id="0"/>
      <w:r w:rsidRPr="006D3701">
        <w:rPr>
          <w:b/>
          <w:bCs/>
          <w:sz w:val="36"/>
          <w:szCs w:val="36"/>
        </w:rPr>
        <w:t>STESSE RICHIESTE DI LOMBARDIA, VENETO, PIEMONTE E LIGURIA NONOSTANTE PROFONDE DIFFERENZE SU LEA, ACCESSO ALLE CURE E PERSONALE.</w:t>
      </w:r>
      <w:r>
        <w:rPr>
          <w:b/>
          <w:bCs/>
          <w:sz w:val="36"/>
          <w:szCs w:val="36"/>
        </w:rPr>
        <w:br/>
      </w:r>
      <w:r w:rsidRPr="006D3701">
        <w:rPr>
          <w:b/>
          <w:bCs/>
          <w:sz w:val="36"/>
          <w:szCs w:val="36"/>
        </w:rPr>
        <w:t>SENZA LEP SANITARI E MONITORAGGIO DELL’EQUITÀ SI RISCHIA DI AMPLIARE DISEGUAGLIANZE E PRIVATIZZAZIONE.</w:t>
      </w:r>
      <w:r>
        <w:rPr>
          <w:b/>
          <w:bCs/>
          <w:sz w:val="36"/>
          <w:szCs w:val="36"/>
        </w:rPr>
        <w:br/>
      </w:r>
      <w:r w:rsidRPr="006D3701">
        <w:rPr>
          <w:b/>
          <w:bCs/>
          <w:sz w:val="36"/>
          <w:szCs w:val="36"/>
        </w:rPr>
        <w:t>LA FONDAZIONE GIMBE CHIEDE DI SOSPENDERE L’ITER</w:t>
      </w:r>
      <w:r w:rsidR="0055123E">
        <w:rPr>
          <w:b/>
          <w:bCs/>
          <w:sz w:val="36"/>
          <w:szCs w:val="36"/>
        </w:rPr>
        <w:br/>
      </w:r>
      <w:r w:rsidR="005D09F6" w:rsidRPr="009E4215"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C915E1">
        <w:rPr>
          <w:rFonts w:ascii="Calibri" w:eastAsia="Calibri" w:hAnsi="Calibri" w:cs="Times New Roman"/>
          <w:b/>
          <w:bCs/>
          <w:sz w:val="24"/>
          <w:szCs w:val="24"/>
        </w:rPr>
        <w:t>0</w:t>
      </w:r>
      <w:r w:rsidR="005D09F6" w:rsidRPr="009E4215">
        <w:rPr>
          <w:rFonts w:ascii="Calibri" w:eastAsia="Calibri" w:hAnsi="Calibri" w:cs="Times New Roman"/>
          <w:b/>
          <w:bCs/>
          <w:sz w:val="24"/>
          <w:szCs w:val="24"/>
        </w:rPr>
        <w:t xml:space="preserve"> giugno 2026 – Fondazione GIMBE, Roma</w:t>
      </w:r>
    </w:p>
    <w:p w14:paraId="14A78129" w14:textId="76403682" w:rsidR="009E4215" w:rsidRDefault="009E4215" w:rsidP="009E4215">
      <w:pPr>
        <w:jc w:val="both"/>
      </w:pPr>
      <w:r w:rsidRPr="007F7471">
        <w:t>Le quattro Regioni che hanno sottoscritto gli schemi di intesa preliminare – Lombardia, Veneto, Piemonte e Liguria – per ottenere ulteriori autonomi</w:t>
      </w:r>
      <w:r w:rsidR="00B33D55" w:rsidRPr="007F7471">
        <w:t>e</w:t>
      </w:r>
      <w:r w:rsidRPr="007F7471">
        <w:t xml:space="preserve"> in materia di tutela della salute presentano profonde differenze nelle performance sanitarie, nell’accesso alle cure e nella capacità di attrarre pazienti. </w:t>
      </w:r>
      <w:r w:rsidR="00B33D55" w:rsidRPr="007F7471">
        <w:t xml:space="preserve">E le maggiori competenze richieste dalle Regioni rischiano di aumentare diseguaglianze di accesso e privatizzazione. </w:t>
      </w:r>
      <w:r w:rsidRPr="007F7471">
        <w:t xml:space="preserve">È quanto emerge dall’audizione odierna della Fondazione GIMBE presso la Commissione Affari Costituzionali del Senato sugli schemi di pre-intesa per l’autonomia differenziata, anche alla luce delle evidenze illustrate </w:t>
      </w:r>
      <w:r w:rsidR="00C915E1" w:rsidRPr="007F7471">
        <w:t xml:space="preserve">ieri </w:t>
      </w:r>
      <w:r w:rsidR="00796EE8" w:rsidRPr="007F7471">
        <w:t>alla</w:t>
      </w:r>
      <w:r w:rsidRPr="007F7471">
        <w:t xml:space="preserve"> Commissione Affari Sociali della Camera nell’ambito dell’indagine conoscitiva sull’attuazione dei Livelli Essenziali di Assistenza (LEA)</w:t>
      </w:r>
      <w:r w:rsidR="00B05D7E" w:rsidRPr="007F7471">
        <w:t>,</w:t>
      </w:r>
      <w:r w:rsidR="00B05D7E" w:rsidRPr="007F7471">
        <w:rPr>
          <w:rFonts w:eastAsia="Times New Roman" w:cstheme="minorHAnsi"/>
        </w:rPr>
        <w:t xml:space="preserve"> </w:t>
      </w:r>
      <w:r w:rsidR="00B05D7E" w:rsidRPr="0069120B">
        <w:rPr>
          <w:rFonts w:eastAsia="Times New Roman" w:cstheme="minorHAnsi"/>
        </w:rPr>
        <w:t>ovvero le prestazioni sanitarie che Regioni e Province Autonome devono garantire gratuitamente o previo il pagamento del ticket</w:t>
      </w:r>
      <w:r w:rsidRPr="0069120B">
        <w:t>.</w:t>
      </w:r>
    </w:p>
    <w:p w14:paraId="679A9F0E" w14:textId="13A56D48" w:rsidR="00796EE8" w:rsidRPr="009E4215" w:rsidRDefault="00BE64C9" w:rsidP="00796EE8">
      <w:pPr>
        <w:jc w:val="both"/>
      </w:pPr>
      <w:r>
        <w:t xml:space="preserve">La Fondazione GIMBE ha </w:t>
      </w:r>
      <w:r w:rsidR="00796EE8">
        <w:t xml:space="preserve">ricordato </w:t>
      </w:r>
      <w:r w:rsidR="002801AE">
        <w:t xml:space="preserve">che la Corte </w:t>
      </w:r>
      <w:r w:rsidR="004035F4">
        <w:t>Costituzionale</w:t>
      </w:r>
      <w:r w:rsidR="002801AE">
        <w:t xml:space="preserve">, con </w:t>
      </w:r>
      <w:r>
        <w:t xml:space="preserve">le sentenze </w:t>
      </w:r>
      <w:r w:rsidRPr="00BE64C9">
        <w:t>n. 192/2024 e n. 10/2025</w:t>
      </w:r>
      <w:r w:rsidR="00796EE8">
        <w:t>,</w:t>
      </w:r>
      <w:r w:rsidR="002801AE">
        <w:t xml:space="preserve"> ha </w:t>
      </w:r>
      <w:r>
        <w:t xml:space="preserve">chiarito che il trasferimento di funzioni alle Regioni non può essere giustificato in modo generico, ma richiede un’istruttoria puntuale e motivata per ciascuna funzione oggetto di devoluzione, fondata sul principio di sussidiarietà e sulla dimostrazione che l’esercizio regionale </w:t>
      </w:r>
      <w:r w:rsidR="00796EE8">
        <w:t xml:space="preserve">sia in grado di perseguire meglio </w:t>
      </w:r>
      <w:r>
        <w:t xml:space="preserve">l’interesse pubblico. </w:t>
      </w:r>
      <w:r w:rsidRPr="009E4215">
        <w:t>«</w:t>
      </w:r>
      <w:r>
        <w:t xml:space="preserve">Desta </w:t>
      </w:r>
      <w:r w:rsidR="002801AE">
        <w:t xml:space="preserve">forti </w:t>
      </w:r>
      <w:r>
        <w:t xml:space="preserve">perplessità </w:t>
      </w:r>
      <w:r w:rsidRPr="009E4215">
        <w:t xml:space="preserve">– dichiara Nino Cartabellotta, Presidente della Fondazione GIMBE – </w:t>
      </w:r>
      <w:r w:rsidR="00796EE8">
        <w:t xml:space="preserve">che </w:t>
      </w:r>
      <w:r>
        <w:t xml:space="preserve">i quattro </w:t>
      </w:r>
      <w:r w:rsidR="00796EE8">
        <w:t>schemi di</w:t>
      </w:r>
      <w:r>
        <w:t xml:space="preserve"> pre-</w:t>
      </w:r>
      <w:r w:rsidR="00796EE8">
        <w:t>intesa siano sostanzialmente sovrapponibili</w:t>
      </w:r>
      <w:r w:rsidRPr="009E4215">
        <w:t xml:space="preserve">, nonostante riguardino Regioni </w:t>
      </w:r>
      <w:r w:rsidR="00796EE8">
        <w:t>con caratteristiche</w:t>
      </w:r>
      <w:r w:rsidRPr="009E4215">
        <w:t xml:space="preserve"> epidemiologiche, demografiche, organizzative e assistenziali</w:t>
      </w:r>
      <w:r w:rsidR="00796EE8">
        <w:t xml:space="preserve"> profondamente diverse</w:t>
      </w:r>
      <w:r w:rsidRPr="009E4215">
        <w:t>».</w:t>
      </w:r>
      <w:r>
        <w:t xml:space="preserve"> </w:t>
      </w:r>
    </w:p>
    <w:p w14:paraId="561396D7" w14:textId="1A9A45ED" w:rsidR="00796EE8" w:rsidRPr="009E4215" w:rsidRDefault="00BE64C9" w:rsidP="00796EE8">
      <w:pPr>
        <w:jc w:val="both"/>
      </w:pPr>
      <w:r w:rsidRPr="009E4215">
        <w:rPr>
          <w:b/>
          <w:bCs/>
        </w:rPr>
        <w:t>LEA: differenze marcate tra le quattro Regioni</w:t>
      </w:r>
      <w:r w:rsidR="009E4215" w:rsidRPr="009E4215">
        <w:rPr>
          <w:b/>
          <w:bCs/>
        </w:rPr>
        <w:t>.</w:t>
      </w:r>
      <w:r w:rsidR="009E4215" w:rsidRPr="009E4215">
        <w:t xml:space="preserve"> </w:t>
      </w:r>
      <w:r w:rsidR="00B05D7E">
        <w:t>Nel Nuovo Sistema di Garanzia 2023</w:t>
      </w:r>
      <w:r w:rsidR="002801AE">
        <w:t xml:space="preserve"> (ultimo anno disponibile) </w:t>
      </w:r>
      <w:r w:rsidR="00B05D7E">
        <w:t>la Liguria non raggiunge</w:t>
      </w:r>
      <w:r w:rsidR="002801AE">
        <w:t>va</w:t>
      </w:r>
      <w:r w:rsidR="00B05D7E">
        <w:t xml:space="preserve"> la soglia minima prevista in una delle tre macro-aree di valutazione</w:t>
      </w:r>
      <w:r w:rsidR="00B46CB4">
        <w:t>,</w:t>
      </w:r>
      <w:r w:rsidR="00B05D7E">
        <w:t xml:space="preserve"> risulta</w:t>
      </w:r>
      <w:r w:rsidR="00B46CB4">
        <w:t xml:space="preserve">ndo </w:t>
      </w:r>
      <w:r w:rsidR="00B05D7E">
        <w:t xml:space="preserve">pertanto inadempiente. Il Veneto </w:t>
      </w:r>
      <w:r w:rsidR="00D32731">
        <w:t>ha</w:t>
      </w:r>
      <w:r w:rsidR="00B05D7E">
        <w:t xml:space="preserve"> invece</w:t>
      </w:r>
      <w:r w:rsidR="00D32731">
        <w:t xml:space="preserve"> raggiunto</w:t>
      </w:r>
      <w:r w:rsidR="00B05D7E">
        <w:t xml:space="preserve"> </w:t>
      </w:r>
      <w:r w:rsidR="002801AE">
        <w:t xml:space="preserve">il </w:t>
      </w:r>
      <w:r w:rsidR="00B05D7E">
        <w:t xml:space="preserve">punteggio complessivo </w:t>
      </w:r>
      <w:r w:rsidR="002801AE">
        <w:t xml:space="preserve">più elevato </w:t>
      </w:r>
      <w:r w:rsidR="00A105E1">
        <w:t>(</w:t>
      </w:r>
      <w:r w:rsidR="00B05D7E">
        <w:t>288 punti</w:t>
      </w:r>
      <w:r w:rsidR="00A105E1">
        <w:t>)</w:t>
      </w:r>
      <w:r w:rsidR="00B05D7E">
        <w:t xml:space="preserve">, seguito da Piemonte </w:t>
      </w:r>
      <w:r w:rsidR="00A105E1">
        <w:t>(</w:t>
      </w:r>
      <w:r w:rsidR="00B05D7E">
        <w:t>270</w:t>
      </w:r>
      <w:r w:rsidR="00A105E1">
        <w:t>)</w:t>
      </w:r>
      <w:r w:rsidR="00B05D7E">
        <w:t xml:space="preserve"> e Lombardia </w:t>
      </w:r>
      <w:r w:rsidR="00A105E1">
        <w:t>(</w:t>
      </w:r>
      <w:r w:rsidR="00B05D7E">
        <w:t>257</w:t>
      </w:r>
      <w:r w:rsidR="00A105E1">
        <w:t>)</w:t>
      </w:r>
      <w:r w:rsidR="00B05D7E">
        <w:t>, mentre la Liguria si ferma</w:t>
      </w:r>
      <w:r w:rsidR="002801AE">
        <w:t>va</w:t>
      </w:r>
      <w:r w:rsidR="00B05D7E">
        <w:t xml:space="preserve"> a 219 punti. Nella recente audizione sull’attuazione dei LEA, la Fondazione GIMBE ha inoltre evidenziato come </w:t>
      </w:r>
      <w:r w:rsidR="00A105E1">
        <w:t xml:space="preserve">l’attuale </w:t>
      </w:r>
      <w:r w:rsidR="00B05D7E">
        <w:t>sistema di monitoraggio nazionale presenti limiti rilevanti nel cogliere le effettive diseguaglianze regionali nell’erogazione delle prestazioni</w:t>
      </w:r>
      <w:r w:rsidR="002801AE">
        <w:t xml:space="preserve"> e </w:t>
      </w:r>
      <w:r w:rsidR="00A105E1">
        <w:t>si sia progressivamente trasformato in</w:t>
      </w:r>
      <w:r w:rsidR="002801AE">
        <w:t xml:space="preserve"> uno strumento di </w:t>
      </w:r>
      <w:proofErr w:type="spellStart"/>
      <w:r w:rsidR="002801AE">
        <w:rPr>
          <w:i/>
          <w:iCs/>
        </w:rPr>
        <w:t>political</w:t>
      </w:r>
      <w:proofErr w:type="spellEnd"/>
      <w:r w:rsidR="002801AE">
        <w:rPr>
          <w:i/>
          <w:iCs/>
        </w:rPr>
        <w:t xml:space="preserve"> </w:t>
      </w:r>
      <w:proofErr w:type="spellStart"/>
      <w:r w:rsidR="002801AE">
        <w:rPr>
          <w:i/>
          <w:iCs/>
        </w:rPr>
        <w:t>agreement</w:t>
      </w:r>
      <w:proofErr w:type="spellEnd"/>
      <w:r w:rsidR="002801AE">
        <w:rPr>
          <w:i/>
          <w:iCs/>
        </w:rPr>
        <w:t xml:space="preserve"> </w:t>
      </w:r>
      <w:r w:rsidR="002801AE">
        <w:t>tra Governo e Regioni</w:t>
      </w:r>
      <w:r w:rsidR="00B05D7E">
        <w:t xml:space="preserve">. </w:t>
      </w:r>
      <w:bookmarkStart w:id="1" w:name="_Hlk231838739"/>
      <w:r w:rsidR="00B05D7E">
        <w:t>«</w:t>
      </w:r>
      <w:r w:rsidR="00A105E1">
        <w:t>Le</w:t>
      </w:r>
      <w:r w:rsidR="00B05D7E">
        <w:t xml:space="preserve"> quattro Regioni che chiedono le stesse ulteriori competenze in sanità – commenta Cartabellotta – </w:t>
      </w:r>
      <w:r w:rsidR="00A105E1">
        <w:t xml:space="preserve">partono da situazioni molto diverse: </w:t>
      </w:r>
      <w:r w:rsidR="00B05D7E">
        <w:t xml:space="preserve">una risulta inadempiente sui LEA, mentre le altre presentano livelli di performance </w:t>
      </w:r>
      <w:r w:rsidR="00A105E1">
        <w:t>distanti tra loro</w:t>
      </w:r>
      <w:r w:rsidR="00B05D7E">
        <w:t xml:space="preserve">. </w:t>
      </w:r>
      <w:r w:rsidR="00A105E1" w:rsidRPr="00A105E1">
        <w:t>È quindi difficile comprendere come schemi di intesa sostanzialmente identici possano rispondere a realtà assistenziali così eterogenee. Proprio queste differenze avrebbero richiesto istruttorie specifiche e puntualmente motivate</w:t>
      </w:r>
      <w:r w:rsidR="00D32731">
        <w:t>, perché</w:t>
      </w:r>
      <w:r w:rsidR="00A105E1" w:rsidRPr="00A105E1">
        <w:t xml:space="preserve"> prima di attribuire nuove competenze occorre garantire che i diritti già previsti siano realmente esigibili in modo uniforme su tutto il territorio nazionale</w:t>
      </w:r>
      <w:r w:rsidR="00B05D7E">
        <w:t>».</w:t>
      </w:r>
    </w:p>
    <w:bookmarkEnd w:id="1"/>
    <w:p w14:paraId="11483CEE" w14:textId="2B795730" w:rsidR="00506ED9" w:rsidRPr="009E4215" w:rsidRDefault="00BE64C9" w:rsidP="009E4215">
      <w:pPr>
        <w:jc w:val="both"/>
      </w:pPr>
      <w:r w:rsidRPr="009E4215">
        <w:rPr>
          <w:b/>
          <w:bCs/>
        </w:rPr>
        <w:lastRenderedPageBreak/>
        <w:t>Mobilità sanitaria: Lombardia e Veneto attraggono pazienti, Piemonte e Liguria perdono risorse</w:t>
      </w:r>
      <w:r w:rsidR="009E4215" w:rsidRPr="009E4215">
        <w:rPr>
          <w:b/>
          <w:bCs/>
        </w:rPr>
        <w:t>.</w:t>
      </w:r>
      <w:r w:rsidR="009E4215" w:rsidRPr="009E4215">
        <w:t xml:space="preserve"> Nel 2023 la Lombardia ha registrato un saldo positivo della mobilità sanitaria di € 645,8 milioni, il Veneto di € 212,1 milioni. Piemonte e Liguria mostrano invece saldi negativi rispettivamente per € 20,7 milioni e € 74,4 milioni. In termini pro-capite il saldo è pari a € 65 per la Lombardia e € 44 per il Veneto, mentre scende a -€ 5 per il Piemonte e a -€ 49 per la Liguria.</w:t>
      </w:r>
      <w:r w:rsidR="000A2C80">
        <w:t xml:space="preserve"> </w:t>
      </w:r>
      <w:r w:rsidR="009E4215" w:rsidRPr="009E4215">
        <w:t xml:space="preserve">«La mobilità sanitaria </w:t>
      </w:r>
      <w:r w:rsidR="000A2C80" w:rsidRPr="009E4215">
        <w:t xml:space="preserve">– </w:t>
      </w:r>
      <w:r w:rsidR="000A2C80">
        <w:t>evidenzia</w:t>
      </w:r>
      <w:r w:rsidR="000A2C80" w:rsidRPr="009E4215">
        <w:t xml:space="preserve"> Cartabellotta – </w:t>
      </w:r>
      <w:r w:rsidR="00506ED9">
        <w:t>è</w:t>
      </w:r>
      <w:r w:rsidR="00506ED9" w:rsidRPr="009E4215">
        <w:t xml:space="preserve"> </w:t>
      </w:r>
      <w:r w:rsidR="009E4215" w:rsidRPr="009E4215">
        <w:t xml:space="preserve">uno dei più </w:t>
      </w:r>
      <w:r w:rsidR="00506ED9">
        <w:t>chiari</w:t>
      </w:r>
      <w:r w:rsidR="00506ED9" w:rsidRPr="009E4215">
        <w:t xml:space="preserve"> </w:t>
      </w:r>
      <w:r w:rsidR="009E4215" w:rsidRPr="009E4215">
        <w:t xml:space="preserve">indicatori delle diseguaglianze regionali. </w:t>
      </w:r>
      <w:r w:rsidR="000A2C80" w:rsidRPr="000A2C80">
        <w:t>Se due Regioni presentano saldi attivi e</w:t>
      </w:r>
      <w:r w:rsidR="000A2C80">
        <w:t>, viceversa,</w:t>
      </w:r>
      <w:r w:rsidR="000A2C80" w:rsidRPr="000A2C80">
        <w:t xml:space="preserve"> due registrano saldi negativi, è difficile sostenere che abbiano le stesse esigenze organizzative e assistenziali</w:t>
      </w:r>
      <w:r w:rsidR="00506ED9" w:rsidRPr="00506ED9">
        <w:t xml:space="preserve">. Per questo lascia perplessi </w:t>
      </w:r>
      <w:r w:rsidR="00506ED9">
        <w:t xml:space="preserve">che </w:t>
      </w:r>
      <w:r w:rsidR="000A2C80" w:rsidRPr="000A2C80">
        <w:t xml:space="preserve">le richieste di autonomia in sanità </w:t>
      </w:r>
      <w:r w:rsidR="00506ED9">
        <w:t>siano</w:t>
      </w:r>
      <w:r w:rsidR="00506ED9" w:rsidRPr="000A2C80">
        <w:t xml:space="preserve"> </w:t>
      </w:r>
      <w:r w:rsidR="000A2C80" w:rsidRPr="000A2C80">
        <w:t>pressoché sovrapponibili</w:t>
      </w:r>
      <w:r w:rsidR="009E4215" w:rsidRPr="009E4215">
        <w:t>».</w:t>
      </w:r>
    </w:p>
    <w:p w14:paraId="1FE0A91A" w14:textId="7B15D147" w:rsidR="00506ED9" w:rsidRPr="00217C8E" w:rsidRDefault="00BE64C9" w:rsidP="009E4215">
      <w:pPr>
        <w:jc w:val="both"/>
        <w:rPr>
          <w:b/>
          <w:bCs/>
        </w:rPr>
      </w:pPr>
      <w:r w:rsidRPr="009E4215">
        <w:rPr>
          <w:b/>
          <w:bCs/>
        </w:rPr>
        <w:t xml:space="preserve">Rinuncia alle </w:t>
      </w:r>
      <w:r w:rsidR="002801AE">
        <w:rPr>
          <w:b/>
          <w:bCs/>
        </w:rPr>
        <w:t>prestazioni sanitarie</w:t>
      </w:r>
      <w:r w:rsidRPr="009E4215">
        <w:rPr>
          <w:b/>
          <w:bCs/>
        </w:rPr>
        <w:t xml:space="preserve">: </w:t>
      </w:r>
      <w:r w:rsidR="007F7471">
        <w:rPr>
          <w:b/>
          <w:bCs/>
        </w:rPr>
        <w:t>Lombardia e Liguria oltre il 10%</w:t>
      </w:r>
      <w:r w:rsidR="009E4215" w:rsidRPr="009E4215">
        <w:rPr>
          <w:b/>
          <w:bCs/>
        </w:rPr>
        <w:t>.</w:t>
      </w:r>
      <w:r w:rsidR="009E4215" w:rsidRPr="009E4215">
        <w:t xml:space="preserve"> </w:t>
      </w:r>
      <w:r w:rsidR="00CD08CB" w:rsidRPr="00CD08CB">
        <w:t xml:space="preserve">Secondo l’indagine ISTAT 2024, ha rinunciato a prestazioni sanitarie il 10,3% della popolazione lombarda, il 10,1% di quella ligure, il 9,2% di quella piemontese e il 7,9% di quella veneta. «La rinuncia alle prestazioni sanitarie – osserva Cartabellotta – </w:t>
      </w:r>
      <w:r w:rsidR="00506ED9">
        <w:t>è la cartina al tornasole</w:t>
      </w:r>
      <w:r w:rsidR="00CD08CB" w:rsidRPr="00CD08CB">
        <w:t xml:space="preserve"> delle difficoltà di accesso alle cure. </w:t>
      </w:r>
      <w:r w:rsidR="00506ED9" w:rsidRPr="00506ED9">
        <w:t xml:space="preserve">Se milioni di cittadini già oggi rinunciano a visite ed esami, significa che i diritti garantiti sulla carta non sono sempre esigibili nella realtà. </w:t>
      </w:r>
      <w:r w:rsidR="00CD08CB" w:rsidRPr="00CD08CB">
        <w:t xml:space="preserve">Prima di </w:t>
      </w:r>
      <w:r w:rsidR="00506ED9">
        <w:t>attribuire</w:t>
      </w:r>
      <w:r w:rsidR="00506ED9" w:rsidRPr="00CD08CB">
        <w:t xml:space="preserve"> </w:t>
      </w:r>
      <w:r w:rsidR="00506ED9">
        <w:t>nuove</w:t>
      </w:r>
      <w:r w:rsidR="00506ED9" w:rsidRPr="00CD08CB">
        <w:t xml:space="preserve"> </w:t>
      </w:r>
      <w:r w:rsidR="00CD08CB" w:rsidRPr="00CD08CB">
        <w:t>competenze alle Regioni occorre garantire livelli essenziali realmente esigibili e monitorare l’equità di accesso ai servizi, altrimenti il rischio è spingere sempre più cittadini verso il settore privato».</w:t>
      </w:r>
    </w:p>
    <w:p w14:paraId="542166BF" w14:textId="13F3978C" w:rsidR="009E4215" w:rsidRPr="009E4215" w:rsidRDefault="00BE64C9" w:rsidP="009E4215">
      <w:pPr>
        <w:jc w:val="both"/>
      </w:pPr>
      <w:r w:rsidRPr="009E4215">
        <w:rPr>
          <w:b/>
          <w:bCs/>
        </w:rPr>
        <w:t>Personale sanitario: carenze e forti differenze regionali</w:t>
      </w:r>
      <w:r w:rsidR="009E4215" w:rsidRPr="009E4215">
        <w:rPr>
          <w:b/>
          <w:bCs/>
        </w:rPr>
        <w:t>.</w:t>
      </w:r>
      <w:r w:rsidR="009E4215" w:rsidRPr="009E4215">
        <w:t xml:space="preserve"> </w:t>
      </w:r>
      <w:r w:rsidR="00162C28" w:rsidRPr="00162C28">
        <w:t xml:space="preserve">Persistono rilevanti differenze nella disponibilità di professionisti sanitari e nella capacità di coprire il fabbisogno di </w:t>
      </w:r>
      <w:r w:rsidR="00162C28">
        <w:t>medici e pediatri di famiglia</w:t>
      </w:r>
      <w:r w:rsidR="00162C28" w:rsidRPr="00162C28">
        <w:t>. Particolarmente marcata la variabilità nella dotazione di infermieri dipendenti, che passa da 6,86 ogni 1.000 abitanti in Liguria a 3,80 in Lombardia.</w:t>
      </w:r>
      <w:r w:rsidR="00CD08CB" w:rsidRPr="00CD08CB">
        <w:t xml:space="preserve"> «In assenza di LEP sanitari definiti e finanziati – commenta Cartabellotta – ulteriori margini di autonomia sul personale rischiano di accentuare la competizione tra Regioni e di ampliare le difficoltà di accesso </w:t>
      </w:r>
      <w:r w:rsidR="00171C32">
        <w:t>al servizio pubblico</w:t>
      </w:r>
      <w:r w:rsidR="00CD08CB" w:rsidRPr="00CD08CB">
        <w:t>».</w:t>
      </w:r>
    </w:p>
    <w:p w14:paraId="33D0D248" w14:textId="21D0CAD7" w:rsidR="00171C32" w:rsidRDefault="00217C8E" w:rsidP="00171C32">
      <w:pPr>
        <w:jc w:val="both"/>
      </w:pPr>
      <w:r w:rsidRPr="00D32731">
        <w:rPr>
          <w:b/>
          <w:bCs/>
        </w:rPr>
        <w:t>Maggiori a</w:t>
      </w:r>
      <w:r w:rsidR="00BE64C9" w:rsidRPr="00D32731">
        <w:rPr>
          <w:b/>
          <w:bCs/>
        </w:rPr>
        <w:t>utonomi</w:t>
      </w:r>
      <w:r w:rsidRPr="00D32731">
        <w:rPr>
          <w:b/>
          <w:bCs/>
        </w:rPr>
        <w:t>e</w:t>
      </w:r>
      <w:r w:rsidR="00BE64C9" w:rsidRPr="00D32731">
        <w:rPr>
          <w:b/>
          <w:bCs/>
        </w:rPr>
        <w:t xml:space="preserve"> e rischio di ampliare i divari</w:t>
      </w:r>
      <w:r w:rsidR="009E4215" w:rsidRPr="00D32731">
        <w:rPr>
          <w:b/>
          <w:bCs/>
        </w:rPr>
        <w:t>.</w:t>
      </w:r>
      <w:r w:rsidR="009E4215" w:rsidRPr="009E4215">
        <w:t xml:space="preserve"> </w:t>
      </w:r>
      <w:r w:rsidR="0095099A">
        <w:t>L</w:t>
      </w:r>
      <w:r w:rsidR="007D45A1" w:rsidRPr="007D45A1">
        <w:t xml:space="preserve">e competenze richieste dalle Regioni – tariffe regionali differenziate, gestione autonoma delle risorse </w:t>
      </w:r>
      <w:r w:rsidR="009140B1" w:rsidRPr="009140B1">
        <w:t>statali per edilizia sanitaria e tecnologie</w:t>
      </w:r>
      <w:r w:rsidR="007D45A1" w:rsidRPr="007D45A1">
        <w:t xml:space="preserve">, istituzione di fondi sanitari integrativi regionali, maggiori margini per assunzioni </w:t>
      </w:r>
      <w:r w:rsidR="0095099A">
        <w:t xml:space="preserve">di personale </w:t>
      </w:r>
      <w:r w:rsidR="007D45A1" w:rsidRPr="007D45A1">
        <w:t>e prestazioni aggiuntive e riallocazione di risorse nazionali vincolate – potrebbero produrre effetti rilevanti sull’equità e sull’uniformità del S</w:t>
      </w:r>
      <w:r w:rsidR="00171C32">
        <w:t xml:space="preserve">ervizio </w:t>
      </w:r>
      <w:r w:rsidR="007D45A1" w:rsidRPr="007D45A1">
        <w:t>S</w:t>
      </w:r>
      <w:r w:rsidR="00171C32">
        <w:t xml:space="preserve">anitario </w:t>
      </w:r>
      <w:r w:rsidR="007D45A1" w:rsidRPr="007D45A1">
        <w:t>N</w:t>
      </w:r>
      <w:r w:rsidR="00171C32">
        <w:t>azionale (SSN)</w:t>
      </w:r>
      <w:r w:rsidR="007D45A1" w:rsidRPr="007D45A1">
        <w:t xml:space="preserve">. Tariffe di rimborso e remunerazione superiori a quelle nazionali potrebbero aumentare la capacità </w:t>
      </w:r>
      <w:r w:rsidR="00171C32">
        <w:t xml:space="preserve">delle Regioni più forti </w:t>
      </w:r>
      <w:r w:rsidR="007D45A1" w:rsidRPr="007D45A1">
        <w:t>di attrarre erogatori, professionisti e pazienti, alimentando fenomeni di competizione tariffaria e</w:t>
      </w:r>
      <w:r w:rsidR="009140B1">
        <w:t>/o</w:t>
      </w:r>
      <w:r w:rsidR="007D45A1" w:rsidRPr="007D45A1">
        <w:t xml:space="preserve"> </w:t>
      </w:r>
      <w:r w:rsidR="005A6700" w:rsidRPr="005A6700">
        <w:t>incentivando la concentrazione sulle</w:t>
      </w:r>
      <w:r w:rsidR="007D45A1" w:rsidRPr="007D45A1">
        <w:t xml:space="preserve"> prestazioni più remunerativ</w:t>
      </w:r>
      <w:r w:rsidR="0095099A">
        <w:t>e e spostandole verso il privato convenzionato</w:t>
      </w:r>
      <w:r w:rsidR="007D45A1" w:rsidRPr="007D45A1">
        <w:t>. La gestione autonoma d</w:t>
      </w:r>
      <w:r w:rsidR="009140B1">
        <w:t>i risorse statali</w:t>
      </w:r>
      <w:r w:rsidR="007D45A1" w:rsidRPr="007D45A1">
        <w:t xml:space="preserve"> </w:t>
      </w:r>
      <w:r w:rsidR="005A6700">
        <w:t xml:space="preserve">per edilizia sanitaria e tecnologie </w:t>
      </w:r>
      <w:r w:rsidR="007D45A1" w:rsidRPr="007D45A1">
        <w:t xml:space="preserve">rischia di indebolire la funzione perequativa della programmazione nazionale, orientando </w:t>
      </w:r>
      <w:r w:rsidR="009140B1">
        <w:t>gli investimenti</w:t>
      </w:r>
      <w:r w:rsidR="007D45A1" w:rsidRPr="007D45A1">
        <w:t xml:space="preserve"> verso </w:t>
      </w:r>
      <w:r w:rsidR="007D45A1" w:rsidRPr="00003DE3">
        <w:t xml:space="preserve">interventi </w:t>
      </w:r>
      <w:r w:rsidR="00366FEA">
        <w:t xml:space="preserve">a maggiore consenso politico </w:t>
      </w:r>
      <w:r w:rsidR="005A6700">
        <w:t xml:space="preserve">piuttosto che verso priorità strategiche quali </w:t>
      </w:r>
      <w:r w:rsidR="007D45A1" w:rsidRPr="007D45A1">
        <w:t xml:space="preserve">assistenza territoriale, </w:t>
      </w:r>
      <w:proofErr w:type="spellStart"/>
      <w:r w:rsidR="007D45A1" w:rsidRPr="007D45A1">
        <w:t>domiciliarità</w:t>
      </w:r>
      <w:proofErr w:type="spellEnd"/>
      <w:r w:rsidR="007D45A1" w:rsidRPr="007D45A1">
        <w:t xml:space="preserve">, salute mentale, prevenzione e interoperabilità digitale. Anche </w:t>
      </w:r>
      <w:r w:rsidR="005A6700">
        <w:t>l’istituzione d</w:t>
      </w:r>
      <w:r w:rsidR="007D45A1" w:rsidRPr="007D45A1">
        <w:t xml:space="preserve">i fondi sanitari integrativi regionali potrebbe favorire una progressiva segmentazione dell’accesso alle cure, </w:t>
      </w:r>
      <w:r w:rsidR="00E2292E" w:rsidRPr="00E2292E">
        <w:t>offr</w:t>
      </w:r>
      <w:r w:rsidR="00E2292E">
        <w:t xml:space="preserve">endo </w:t>
      </w:r>
      <w:r w:rsidR="00E2292E" w:rsidRPr="00E2292E">
        <w:t>coperture che incidono su tempi, modalità e condizioni di accesso alle prestazioni</w:t>
      </w:r>
      <w:r w:rsidR="00E2292E">
        <w:t xml:space="preserve"> e </w:t>
      </w:r>
      <w:r w:rsidR="00E2292E" w:rsidRPr="00E2292E">
        <w:t xml:space="preserve">aumentando </w:t>
      </w:r>
      <w:r w:rsidR="00E2292E">
        <w:t xml:space="preserve">le </w:t>
      </w:r>
      <w:r w:rsidR="00E2292E" w:rsidRPr="00E2292E">
        <w:t>diseguaglianz</w:t>
      </w:r>
      <w:r w:rsidR="00E2292E">
        <w:t>e</w:t>
      </w:r>
      <w:r w:rsidR="007F7471">
        <w:t xml:space="preserve"> </w:t>
      </w:r>
      <w:r w:rsidR="007F7471" w:rsidRPr="007F7471">
        <w:t>tra chi può beneficiare di tali strumenti e chi ne resta escluso</w:t>
      </w:r>
      <w:r w:rsidR="007D45A1" w:rsidRPr="007D45A1">
        <w:t xml:space="preserve">. </w:t>
      </w:r>
      <w:r w:rsidR="005A6700">
        <w:t>Analogamente</w:t>
      </w:r>
      <w:r w:rsidR="007D45A1" w:rsidRPr="007D45A1">
        <w:t xml:space="preserve">, maggiori margini di spesa per personale e prestazioni aggiuntive </w:t>
      </w:r>
      <w:r w:rsidR="005A6700">
        <w:t>potrebbero</w:t>
      </w:r>
      <w:r w:rsidR="005A6700" w:rsidRPr="009140B1">
        <w:t xml:space="preserve"> </w:t>
      </w:r>
      <w:r w:rsidR="009140B1" w:rsidRPr="009140B1">
        <w:t xml:space="preserve">ridurre i tempi di attesa nelle Regioni più forti senza aumentare la capacità produttiva </w:t>
      </w:r>
      <w:r w:rsidR="005A6700">
        <w:t>di quelle</w:t>
      </w:r>
      <w:r w:rsidR="009140B1" w:rsidRPr="009140B1">
        <w:t xml:space="preserve"> più </w:t>
      </w:r>
      <w:r w:rsidR="005A6700">
        <w:t>fragili</w:t>
      </w:r>
      <w:r w:rsidR="009140B1" w:rsidRPr="009140B1">
        <w:t>, amplificando le diseguaglianze e</w:t>
      </w:r>
      <w:r w:rsidR="005A6700">
        <w:t xml:space="preserve"> alimentando ulteriormente la</w:t>
      </w:r>
      <w:r w:rsidR="009140B1" w:rsidRPr="009140B1">
        <w:t xml:space="preserve"> mobilità sanitaria</w:t>
      </w:r>
      <w:r w:rsidR="005A6700">
        <w:t>,</w:t>
      </w:r>
      <w:r w:rsidR="009140B1" w:rsidRPr="009140B1">
        <w:t xml:space="preserve"> con </w:t>
      </w:r>
      <w:r w:rsidR="005A6700">
        <w:t>possibili</w:t>
      </w:r>
      <w:r w:rsidR="005A6700" w:rsidRPr="009140B1">
        <w:t xml:space="preserve"> </w:t>
      </w:r>
      <w:r w:rsidR="009140B1" w:rsidRPr="009140B1">
        <w:t>effett</w:t>
      </w:r>
      <w:r w:rsidR="005A6700">
        <w:t>i</w:t>
      </w:r>
      <w:r w:rsidR="009140B1" w:rsidRPr="009140B1">
        <w:t xml:space="preserve"> boo</w:t>
      </w:r>
      <w:r w:rsidR="009140B1">
        <w:t xml:space="preserve">merang </w:t>
      </w:r>
      <w:r w:rsidR="005A6700">
        <w:t xml:space="preserve">anche </w:t>
      </w:r>
      <w:r w:rsidR="009140B1">
        <w:t xml:space="preserve">per le Regioni più </w:t>
      </w:r>
      <w:r w:rsidR="00003DE3">
        <w:t>attrattive</w:t>
      </w:r>
      <w:r w:rsidR="009140B1">
        <w:t>. Infine</w:t>
      </w:r>
      <w:r w:rsidR="007D45A1" w:rsidRPr="007D45A1">
        <w:t xml:space="preserve">, la possibilità di riallocare </w:t>
      </w:r>
      <w:r w:rsidR="009140B1" w:rsidRPr="009140B1">
        <w:t>risorse nazionali vincolate verso finalità diverse da quelle originari</w:t>
      </w:r>
      <w:r w:rsidR="00366FEA">
        <w:t>e</w:t>
      </w:r>
      <w:r w:rsidR="007D45A1" w:rsidRPr="007D45A1">
        <w:t xml:space="preserve"> </w:t>
      </w:r>
      <w:r w:rsidR="00D32731">
        <w:t>rischia di</w:t>
      </w:r>
      <w:r w:rsidR="005A6700">
        <w:t xml:space="preserve"> compromettere</w:t>
      </w:r>
      <w:r w:rsidR="007D45A1" w:rsidRPr="007D45A1">
        <w:t xml:space="preserve"> obiettivi strategici </w:t>
      </w:r>
      <w:r w:rsidR="00003DE3">
        <w:t>i</w:t>
      </w:r>
      <w:r w:rsidR="00003DE3" w:rsidRPr="00003DE3">
        <w:t xml:space="preserve">n settori dove i risultati richiedono investimenti continuativi e di lungo periodo: </w:t>
      </w:r>
      <w:r w:rsidR="007D45A1" w:rsidRPr="007D45A1">
        <w:t>prevenzione, screening, liste di attesa, assistenza territoriale e non autosufficienza.</w:t>
      </w:r>
    </w:p>
    <w:p w14:paraId="38DB10C2" w14:textId="164F168D" w:rsidR="00410C48" w:rsidRPr="009E4215" w:rsidRDefault="00366FEA" w:rsidP="009E4215">
      <w:pPr>
        <w:jc w:val="both"/>
      </w:pPr>
      <w:r w:rsidRPr="00366FEA">
        <w:t xml:space="preserve">«La criticità – continua Cartabellotta – non </w:t>
      </w:r>
      <w:r w:rsidR="00410C48">
        <w:t xml:space="preserve">è </w:t>
      </w:r>
      <w:r w:rsidR="00D32731">
        <w:t>l’</w:t>
      </w:r>
      <w:r w:rsidRPr="00366FEA">
        <w:t xml:space="preserve">autonomia amministrativa </w:t>
      </w:r>
      <w:r w:rsidR="00410C48">
        <w:t>sé, ma il</w:t>
      </w:r>
      <w:r w:rsidRPr="00366FEA">
        <w:t xml:space="preserve"> </w:t>
      </w:r>
      <w:r w:rsidR="00410C48" w:rsidRPr="00410C48">
        <w:t>contesto in cui si vorrebbe applicarla</w:t>
      </w:r>
      <w:r w:rsidR="00410C48">
        <w:t xml:space="preserve">. </w:t>
      </w:r>
      <w:r w:rsidR="001302FB">
        <w:t>T</w:t>
      </w:r>
      <w:r w:rsidRPr="00366FEA">
        <w:t xml:space="preserve">rasferire ulteriori competenze sanitarie </w:t>
      </w:r>
      <w:r w:rsidR="001302FB" w:rsidRPr="00410C48">
        <w:t xml:space="preserve">a Regioni che già oggi partono da condizioni molto diverse significa intervenire </w:t>
      </w:r>
      <w:r w:rsidR="00D03694">
        <w:t>su</w:t>
      </w:r>
      <w:r w:rsidR="00D03694" w:rsidRPr="00366FEA">
        <w:t xml:space="preserve"> </w:t>
      </w:r>
      <w:r w:rsidRPr="00366FEA">
        <w:t xml:space="preserve">un </w:t>
      </w:r>
      <w:r>
        <w:t>SSN</w:t>
      </w:r>
      <w:r w:rsidRPr="00366FEA">
        <w:t xml:space="preserve"> </w:t>
      </w:r>
      <w:r w:rsidR="00D03694">
        <w:t>segnato</w:t>
      </w:r>
      <w:r w:rsidRPr="00366FEA">
        <w:t xml:space="preserve"> da </w:t>
      </w:r>
      <w:proofErr w:type="spellStart"/>
      <w:r w:rsidRPr="00366FEA">
        <w:t>sottofinanziamento</w:t>
      </w:r>
      <w:proofErr w:type="spellEnd"/>
      <w:r w:rsidRPr="00366FEA">
        <w:t xml:space="preserve">, persistenti difficoltà nel garantire i LEA e crescente ricorso alla spesa privata. </w:t>
      </w:r>
      <w:r w:rsidR="00D03694" w:rsidRPr="00410C48">
        <w:t xml:space="preserve">In questo scenario, le </w:t>
      </w:r>
      <w:r w:rsidR="00D03694">
        <w:t xml:space="preserve">stesse </w:t>
      </w:r>
      <w:r w:rsidRPr="00366FEA">
        <w:t>competenze richieste possono produrre effetti molto diversi a seconda della capacità organizzativa</w:t>
      </w:r>
      <w:r w:rsidR="00D03694">
        <w:t>, amministrativa</w:t>
      </w:r>
      <w:r w:rsidRPr="00366FEA">
        <w:t xml:space="preserve"> e finanziaria delle </w:t>
      </w:r>
      <w:r w:rsidR="00D03694">
        <w:lastRenderedPageBreak/>
        <w:t xml:space="preserve">singole </w:t>
      </w:r>
      <w:r w:rsidRPr="00366FEA">
        <w:t xml:space="preserve">Regioni: senza adeguati meccanismi di garanzia e </w:t>
      </w:r>
      <w:r w:rsidR="00D03694">
        <w:t>perequazione</w:t>
      </w:r>
      <w:r w:rsidR="00D03694" w:rsidRPr="00366FEA">
        <w:t xml:space="preserve"> </w:t>
      </w:r>
      <w:r w:rsidRPr="00366FEA">
        <w:t xml:space="preserve">il rischio è </w:t>
      </w:r>
      <w:r w:rsidR="00D03694" w:rsidRPr="00410C48">
        <w:t>che l’autonomia differenziata rafforzi ulteriormente chi è già più forte e renda ancora più difficile colmare i</w:t>
      </w:r>
      <w:r w:rsidRPr="00366FEA">
        <w:t xml:space="preserve"> divari esistenti».</w:t>
      </w:r>
    </w:p>
    <w:p w14:paraId="75C27E47" w14:textId="326059CA" w:rsidR="009E4215" w:rsidRDefault="009E4215" w:rsidP="002801AE">
      <w:pPr>
        <w:jc w:val="both"/>
      </w:pPr>
      <w:r w:rsidRPr="009E4215">
        <w:t xml:space="preserve">«La garanzia formale dei LEA – conclude Cartabellotta – non </w:t>
      </w:r>
      <w:r w:rsidR="004035F4" w:rsidRPr="004035F4">
        <w:t>basta se milioni di cittadini continuano a incontrare ostacoli nell’accesso alle cure</w:t>
      </w:r>
      <w:r w:rsidRPr="009E4215">
        <w:t xml:space="preserve">. Prima di trasferire ulteriori competenze alle Regioni è indispensabile definire e finanziare i LEP sanitari, misurare gli effetti delle autonomie su accesso ed equità e istituire un sistema pubblico e indipendente di monitoraggio. </w:t>
      </w:r>
      <w:r w:rsidR="008607C7" w:rsidRPr="008607C7">
        <w:t xml:space="preserve">Del resto, la stessa Corte </w:t>
      </w:r>
      <w:r w:rsidR="008607C7">
        <w:t>C</w:t>
      </w:r>
      <w:r w:rsidR="008607C7" w:rsidRPr="008607C7">
        <w:t>ostituzionale ha chiarito che l’autonomia differenziata richiede una rigorosa istruttoria funzione per funzione e adeguate garanzie di uniformità dei diritti sul</w:t>
      </w:r>
      <w:r w:rsidR="004035F4">
        <w:t>l’intero</w:t>
      </w:r>
      <w:r w:rsidR="008607C7" w:rsidRPr="008607C7">
        <w:t xml:space="preserve"> territorio nazionale.</w:t>
      </w:r>
      <w:r w:rsidR="008607C7">
        <w:t xml:space="preserve"> </w:t>
      </w:r>
      <w:r w:rsidRPr="009E4215">
        <w:t>In assenza di queste condizioni</w:t>
      </w:r>
      <w:r w:rsidR="004035F4">
        <w:t>,</w:t>
      </w:r>
      <w:r w:rsidRPr="009E4215">
        <w:t xml:space="preserve"> il rischio </w:t>
      </w:r>
      <w:r w:rsidR="004035F4">
        <w:t xml:space="preserve">non </w:t>
      </w:r>
      <w:r w:rsidRPr="009E4215">
        <w:t xml:space="preserve">è </w:t>
      </w:r>
      <w:r w:rsidR="004035F4">
        <w:t>soltanto di ampliare</w:t>
      </w:r>
      <w:r w:rsidRPr="009E4215">
        <w:t xml:space="preserve"> le diseguaglianze nell’accesso alle cure</w:t>
      </w:r>
      <w:r w:rsidR="004035F4">
        <w:t>, ma anche di legittimarle</w:t>
      </w:r>
      <w:r w:rsidR="002801AE">
        <w:t xml:space="preserve">. Per </w:t>
      </w:r>
      <w:r w:rsidR="004035F4">
        <w:t>questo</w:t>
      </w:r>
      <w:r w:rsidR="002801AE">
        <w:t xml:space="preserve"> l</w:t>
      </w:r>
      <w:r w:rsidR="002801AE" w:rsidRPr="002801AE">
        <w:t xml:space="preserve">a Fondazione GIMBE </w:t>
      </w:r>
      <w:r w:rsidR="002801AE">
        <w:t xml:space="preserve">ha chiesto </w:t>
      </w:r>
      <w:r w:rsidR="002801AE" w:rsidRPr="002801AE">
        <w:t>di sospendere l’iter o di subordinarl</w:t>
      </w:r>
      <w:r w:rsidR="002801AE">
        <w:t>o</w:t>
      </w:r>
      <w:r w:rsidR="002801AE" w:rsidRPr="002801AE">
        <w:t xml:space="preserve"> a</w:t>
      </w:r>
      <w:r w:rsidR="002801AE">
        <w:t>d</w:t>
      </w:r>
      <w:r w:rsidR="002801AE" w:rsidRPr="002801AE">
        <w:t xml:space="preserve"> una moratoria fino alla</w:t>
      </w:r>
      <w:r w:rsidR="002801AE">
        <w:t xml:space="preserve"> </w:t>
      </w:r>
      <w:r w:rsidR="002801AE" w:rsidRPr="002801AE">
        <w:t>definizione dei LEP sanitar</w:t>
      </w:r>
      <w:r w:rsidR="002801AE">
        <w:t xml:space="preserve">i, alla </w:t>
      </w:r>
      <w:r w:rsidR="002801AE" w:rsidRPr="002801AE">
        <w:t>quantificazione dei relativi costi standard</w:t>
      </w:r>
      <w:r w:rsidR="002801AE">
        <w:t xml:space="preserve"> e all’</w:t>
      </w:r>
      <w:r w:rsidR="002801AE" w:rsidRPr="002801AE">
        <w:t>adozione di un sistema nazionale di monitoraggio dell’impatto delle maggiori autonomie su salute, accesso ed equità</w:t>
      </w:r>
      <w:r w:rsidRPr="009E4215">
        <w:t>».</w:t>
      </w:r>
    </w:p>
    <w:p w14:paraId="41735949" w14:textId="68806440" w:rsidR="008607C7" w:rsidRDefault="008607C7" w:rsidP="009E4215">
      <w:pPr>
        <w:jc w:val="both"/>
      </w:pPr>
    </w:p>
    <w:p w14:paraId="01352A27" w14:textId="77777777" w:rsidR="008607C7" w:rsidRPr="00483EF2" w:rsidRDefault="008607C7" w:rsidP="008607C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483EF2">
        <w:rPr>
          <w:rFonts w:ascii="Calibri" w:eastAsia="Calibri" w:hAnsi="Calibri" w:cs="Times New Roman"/>
          <w:b/>
          <w:bCs/>
        </w:rPr>
        <w:t>Fondazione GIMBE</w:t>
      </w:r>
      <w:r w:rsidRPr="00483EF2">
        <w:rPr>
          <w:rFonts w:ascii="Trebuchet MS" w:eastAsia="Calibri" w:hAnsi="Trebuchet MS" w:cs="Times New Roman"/>
        </w:rPr>
        <w:br/>
      </w:r>
      <w:r w:rsidRPr="00483EF2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6F9ECB78" w14:textId="77777777" w:rsidR="008607C7" w:rsidRPr="00483EF2" w:rsidRDefault="008607C7" w:rsidP="008607C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483EF2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39F0A85E" w14:textId="77777777" w:rsidR="008607C7" w:rsidRPr="009E4215" w:rsidRDefault="008607C7" w:rsidP="008607C7">
      <w:pPr>
        <w:jc w:val="both"/>
      </w:pPr>
      <w:r w:rsidRPr="00483EF2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6" w:history="1">
        <w:r w:rsidRPr="00483EF2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6077E135" w14:textId="77777777" w:rsidR="001C21B3" w:rsidRDefault="001C21B3" w:rsidP="009E4215">
      <w:pPr>
        <w:jc w:val="both"/>
      </w:pPr>
    </w:p>
    <w:sectPr w:rsidR="001C2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17A73" w14:textId="77777777" w:rsidR="00FA7C9C" w:rsidRDefault="00FA7C9C" w:rsidP="00C915E1">
      <w:pPr>
        <w:spacing w:after="0" w:line="240" w:lineRule="auto"/>
      </w:pPr>
      <w:r>
        <w:separator/>
      </w:r>
    </w:p>
  </w:endnote>
  <w:endnote w:type="continuationSeparator" w:id="0">
    <w:p w14:paraId="6E79D774" w14:textId="77777777" w:rsidR="00FA7C9C" w:rsidRDefault="00FA7C9C" w:rsidP="00C9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200A" w14:textId="77777777" w:rsidR="00FA7C9C" w:rsidRDefault="00FA7C9C" w:rsidP="00C915E1">
      <w:pPr>
        <w:spacing w:after="0" w:line="240" w:lineRule="auto"/>
      </w:pPr>
      <w:r>
        <w:separator/>
      </w:r>
    </w:p>
  </w:footnote>
  <w:footnote w:type="continuationSeparator" w:id="0">
    <w:p w14:paraId="4591AE0F" w14:textId="77777777" w:rsidR="00FA7C9C" w:rsidRDefault="00FA7C9C" w:rsidP="00C91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F6"/>
    <w:rsid w:val="00003DE3"/>
    <w:rsid w:val="000A2C80"/>
    <w:rsid w:val="00127E3E"/>
    <w:rsid w:val="001302FB"/>
    <w:rsid w:val="00162C28"/>
    <w:rsid w:val="00171C32"/>
    <w:rsid w:val="001C21B3"/>
    <w:rsid w:val="00217C8E"/>
    <w:rsid w:val="002801AE"/>
    <w:rsid w:val="00366FEA"/>
    <w:rsid w:val="00376135"/>
    <w:rsid w:val="003C5E21"/>
    <w:rsid w:val="003F5800"/>
    <w:rsid w:val="004035F4"/>
    <w:rsid w:val="00410C48"/>
    <w:rsid w:val="004407B9"/>
    <w:rsid w:val="00506ED9"/>
    <w:rsid w:val="00543959"/>
    <w:rsid w:val="0055123E"/>
    <w:rsid w:val="005A6700"/>
    <w:rsid w:val="005A703F"/>
    <w:rsid w:val="005D09F6"/>
    <w:rsid w:val="0064530E"/>
    <w:rsid w:val="006476CC"/>
    <w:rsid w:val="0069120B"/>
    <w:rsid w:val="006D3701"/>
    <w:rsid w:val="006E31B5"/>
    <w:rsid w:val="00796EE8"/>
    <w:rsid w:val="007D45A1"/>
    <w:rsid w:val="007E77BE"/>
    <w:rsid w:val="007F7471"/>
    <w:rsid w:val="00807A86"/>
    <w:rsid w:val="008607C7"/>
    <w:rsid w:val="008D0838"/>
    <w:rsid w:val="009140B1"/>
    <w:rsid w:val="0095099A"/>
    <w:rsid w:val="00963781"/>
    <w:rsid w:val="009E4215"/>
    <w:rsid w:val="00A06BA8"/>
    <w:rsid w:val="00A105E1"/>
    <w:rsid w:val="00B05D7E"/>
    <w:rsid w:val="00B10976"/>
    <w:rsid w:val="00B32D5F"/>
    <w:rsid w:val="00B33D55"/>
    <w:rsid w:val="00B46CB4"/>
    <w:rsid w:val="00BE0ECF"/>
    <w:rsid w:val="00BE64C9"/>
    <w:rsid w:val="00BE6F63"/>
    <w:rsid w:val="00C456DE"/>
    <w:rsid w:val="00C915E1"/>
    <w:rsid w:val="00CD08CB"/>
    <w:rsid w:val="00D03694"/>
    <w:rsid w:val="00D32731"/>
    <w:rsid w:val="00DC3ACE"/>
    <w:rsid w:val="00E2292E"/>
    <w:rsid w:val="00F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E97"/>
  <w15:chartTrackingRefBased/>
  <w15:docId w15:val="{7931FC49-49B9-4230-A92A-D3958AA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07C7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607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607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607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07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07C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7C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91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5E1"/>
  </w:style>
  <w:style w:type="paragraph" w:styleId="Pidipagina">
    <w:name w:val="footer"/>
    <w:basedOn w:val="Normale"/>
    <w:link w:val="PidipaginaCarattere"/>
    <w:uiPriority w:val="99"/>
    <w:unhideWhenUsed/>
    <w:rsid w:val="00C91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stampa@gimb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Luceri</dc:creator>
  <cp:keywords/>
  <dc:description/>
  <cp:lastModifiedBy>Roberto Luceri</cp:lastModifiedBy>
  <cp:revision>28</cp:revision>
  <dcterms:created xsi:type="dcterms:W3CDTF">2026-06-08T12:12:00Z</dcterms:created>
  <dcterms:modified xsi:type="dcterms:W3CDTF">2026-06-10T06:37:00Z</dcterms:modified>
</cp:coreProperties>
</file>