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26F1" w14:textId="288BB6A0" w:rsidR="00A51155" w:rsidRPr="00156901" w:rsidRDefault="00A51155" w:rsidP="00A51155">
      <w:pPr>
        <w:spacing w:before="100" w:beforeAutospacing="1" w:after="100" w:afterAutospacing="1" w:line="240" w:lineRule="auto"/>
        <w:outlineLvl w:val="2"/>
        <w:rPr>
          <w:rFonts w:ascii="Arial" w:eastAsia="Times New Roman" w:hAnsi="Arial" w:cs="Arial"/>
          <w:b/>
          <w:bCs/>
          <w:kern w:val="0"/>
          <w:lang w:eastAsia="it-IT"/>
          <w14:ligatures w14:val="none"/>
        </w:rPr>
      </w:pPr>
      <w:r w:rsidRPr="00156901">
        <w:rPr>
          <w:rFonts w:ascii="Arial" w:eastAsia="Times New Roman" w:hAnsi="Arial" w:cs="Arial"/>
          <w:b/>
          <w:bCs/>
          <w:kern w:val="0"/>
          <w:lang w:eastAsia="it-IT"/>
          <w14:ligatures w14:val="none"/>
        </w:rPr>
        <w:t>Corte di Cassazione Sezione L Civile Ordinanza 9 giugno 2026 n. 18657</w:t>
      </w:r>
    </w:p>
    <w:p w14:paraId="1EF1BAA1" w14:textId="77777777" w:rsidR="00A51155" w:rsidRPr="00156901" w:rsidRDefault="00A51155" w:rsidP="00A51155">
      <w:pPr>
        <w:spacing w:after="0"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REPUBBLICA ITALIANA</w:t>
      </w:r>
      <w:r w:rsidRPr="00156901">
        <w:rPr>
          <w:rFonts w:ascii="Arial" w:eastAsia="Times New Roman" w:hAnsi="Arial" w:cs="Arial"/>
          <w:kern w:val="0"/>
          <w:lang w:eastAsia="it-IT"/>
          <w14:ligatures w14:val="none"/>
        </w:rPr>
        <w:br/>
      </w:r>
      <w:r w:rsidRPr="00156901">
        <w:rPr>
          <w:rFonts w:ascii="Arial" w:eastAsia="Times New Roman" w:hAnsi="Arial" w:cs="Arial"/>
          <w:kern w:val="0"/>
          <w:lang w:eastAsia="it-IT"/>
          <w14:ligatures w14:val="none"/>
        </w:rPr>
        <w:br/>
        <w:t>LA CORTE SUPREMA DI CASSAZIONE</w:t>
      </w:r>
      <w:r w:rsidRPr="00156901">
        <w:rPr>
          <w:rFonts w:ascii="Arial" w:eastAsia="Times New Roman" w:hAnsi="Arial" w:cs="Arial"/>
          <w:kern w:val="0"/>
          <w:lang w:eastAsia="it-IT"/>
          <w14:ligatures w14:val="none"/>
        </w:rPr>
        <w:br/>
      </w:r>
      <w:r w:rsidRPr="00156901">
        <w:rPr>
          <w:rFonts w:ascii="Arial" w:eastAsia="Times New Roman" w:hAnsi="Arial" w:cs="Arial"/>
          <w:kern w:val="0"/>
          <w:lang w:eastAsia="it-IT"/>
          <w14:ligatures w14:val="none"/>
        </w:rPr>
        <w:br/>
        <w:t>SEZIONE LAVORO CIVILE</w:t>
      </w:r>
      <w:r w:rsidRPr="00156901">
        <w:rPr>
          <w:rFonts w:ascii="Arial" w:eastAsia="Times New Roman" w:hAnsi="Arial" w:cs="Arial"/>
          <w:kern w:val="0"/>
          <w:lang w:eastAsia="it-IT"/>
          <w14:ligatures w14:val="none"/>
        </w:rPr>
        <w:br/>
      </w:r>
      <w:r w:rsidRPr="00156901">
        <w:rPr>
          <w:rFonts w:ascii="Arial" w:eastAsia="Times New Roman" w:hAnsi="Arial" w:cs="Arial"/>
          <w:kern w:val="0"/>
          <w:lang w:eastAsia="it-IT"/>
          <w14:ligatures w14:val="none"/>
        </w:rPr>
        <w:br/>
        <w:t xml:space="preserve">Composta dagli Ill.mi </w:t>
      </w:r>
      <w:proofErr w:type="spellStart"/>
      <w:r w:rsidRPr="00156901">
        <w:rPr>
          <w:rFonts w:ascii="Arial" w:eastAsia="Times New Roman" w:hAnsi="Arial" w:cs="Arial"/>
          <w:kern w:val="0"/>
          <w:lang w:eastAsia="it-IT"/>
          <w14:ligatures w14:val="none"/>
        </w:rPr>
        <w:t>Sigg.ri</w:t>
      </w:r>
      <w:proofErr w:type="spellEnd"/>
      <w:r w:rsidRPr="00156901">
        <w:rPr>
          <w:rFonts w:ascii="Arial" w:eastAsia="Times New Roman" w:hAnsi="Arial" w:cs="Arial"/>
          <w:kern w:val="0"/>
          <w:lang w:eastAsia="it-IT"/>
          <w14:ligatures w14:val="none"/>
        </w:rPr>
        <w:t xml:space="preserve"> Magistrati:</w:t>
      </w:r>
      <w:r w:rsidRPr="00156901">
        <w:rPr>
          <w:rFonts w:ascii="Arial" w:eastAsia="Times New Roman" w:hAnsi="Arial" w:cs="Arial"/>
          <w:kern w:val="0"/>
          <w:lang w:eastAsia="it-IT"/>
          <w14:ligatures w14:val="none"/>
        </w:rPr>
        <w:br/>
      </w:r>
      <w:r w:rsidRPr="00156901">
        <w:rPr>
          <w:rFonts w:ascii="Arial" w:eastAsia="Times New Roman" w:hAnsi="Arial" w:cs="Arial"/>
          <w:kern w:val="0"/>
          <w:lang w:eastAsia="it-IT"/>
          <w14:ligatures w14:val="none"/>
        </w:rPr>
        <w:br/>
        <w:t>Dott. TRICOMI Irene - Presidente</w:t>
      </w:r>
      <w:r w:rsidRPr="00156901">
        <w:rPr>
          <w:rFonts w:ascii="Arial" w:eastAsia="Times New Roman" w:hAnsi="Arial" w:cs="Arial"/>
          <w:kern w:val="0"/>
          <w:lang w:eastAsia="it-IT"/>
          <w14:ligatures w14:val="none"/>
        </w:rPr>
        <w:br/>
      </w:r>
      <w:r w:rsidRPr="00156901">
        <w:rPr>
          <w:rFonts w:ascii="Arial" w:eastAsia="Times New Roman" w:hAnsi="Arial" w:cs="Arial"/>
          <w:kern w:val="0"/>
          <w:lang w:eastAsia="it-IT"/>
          <w14:ligatures w14:val="none"/>
        </w:rPr>
        <w:br/>
        <w:t>Dott. CONTE Dario - Rel. Consigliere</w:t>
      </w:r>
      <w:r w:rsidRPr="00156901">
        <w:rPr>
          <w:rFonts w:ascii="Arial" w:eastAsia="Times New Roman" w:hAnsi="Arial" w:cs="Arial"/>
          <w:kern w:val="0"/>
          <w:lang w:eastAsia="it-IT"/>
          <w14:ligatures w14:val="none"/>
        </w:rPr>
        <w:br/>
      </w:r>
      <w:r w:rsidRPr="00156901">
        <w:rPr>
          <w:rFonts w:ascii="Arial" w:eastAsia="Times New Roman" w:hAnsi="Arial" w:cs="Arial"/>
          <w:kern w:val="0"/>
          <w:lang w:eastAsia="it-IT"/>
          <w14:ligatures w14:val="none"/>
        </w:rPr>
        <w:br/>
        <w:t>Dott. MICHELINI Gualtiero - Consigliere</w:t>
      </w:r>
      <w:r w:rsidRPr="00156901">
        <w:rPr>
          <w:rFonts w:ascii="Arial" w:eastAsia="Times New Roman" w:hAnsi="Arial" w:cs="Arial"/>
          <w:kern w:val="0"/>
          <w:lang w:eastAsia="it-IT"/>
          <w14:ligatures w14:val="none"/>
        </w:rPr>
        <w:br/>
      </w:r>
      <w:r w:rsidRPr="00156901">
        <w:rPr>
          <w:rFonts w:ascii="Arial" w:eastAsia="Times New Roman" w:hAnsi="Arial" w:cs="Arial"/>
          <w:kern w:val="0"/>
          <w:lang w:eastAsia="it-IT"/>
          <w14:ligatures w14:val="none"/>
        </w:rPr>
        <w:br/>
        <w:t>Dott. GARRI Guglielmo - Consigliere</w:t>
      </w:r>
      <w:r w:rsidRPr="00156901">
        <w:rPr>
          <w:rFonts w:ascii="Arial" w:eastAsia="Times New Roman" w:hAnsi="Arial" w:cs="Arial"/>
          <w:kern w:val="0"/>
          <w:lang w:eastAsia="it-IT"/>
          <w14:ligatures w14:val="none"/>
        </w:rPr>
        <w:br/>
      </w:r>
      <w:r w:rsidRPr="00156901">
        <w:rPr>
          <w:rFonts w:ascii="Arial" w:eastAsia="Times New Roman" w:hAnsi="Arial" w:cs="Arial"/>
          <w:kern w:val="0"/>
          <w:lang w:eastAsia="it-IT"/>
          <w14:ligatures w14:val="none"/>
        </w:rPr>
        <w:br/>
        <w:t>Dott. ARMONE Giovanni Maria - Consigliere</w:t>
      </w:r>
      <w:r w:rsidRPr="00156901">
        <w:rPr>
          <w:rFonts w:ascii="Arial" w:eastAsia="Times New Roman" w:hAnsi="Arial" w:cs="Arial"/>
          <w:kern w:val="0"/>
          <w:lang w:eastAsia="it-IT"/>
          <w14:ligatures w14:val="none"/>
        </w:rPr>
        <w:br/>
      </w:r>
      <w:r w:rsidRPr="00156901">
        <w:rPr>
          <w:rFonts w:ascii="Arial" w:eastAsia="Times New Roman" w:hAnsi="Arial" w:cs="Arial"/>
          <w:kern w:val="0"/>
          <w:lang w:eastAsia="it-IT"/>
          <w14:ligatures w14:val="none"/>
        </w:rPr>
        <w:br/>
        <w:t>ha pronunciato la seguente</w:t>
      </w:r>
    </w:p>
    <w:p w14:paraId="3A91678A"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ORDINANZA</w:t>
      </w:r>
    </w:p>
    <w:p w14:paraId="773DE3AF"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sul ricorso 1455-2022 proposto da:</w:t>
      </w:r>
    </w:p>
    <w:p w14:paraId="1C54A684"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AZIENDA USL TOSCANA SUD EST, in persona del legale rappresentante pro tempore, rappresentata e difesa dall'avvocato GA.MA.;</w:t>
      </w:r>
    </w:p>
    <w:p w14:paraId="7684C5D4"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ricorrente -</w:t>
      </w:r>
    </w:p>
    <w:p w14:paraId="5EA658D7"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contro</w:t>
      </w:r>
    </w:p>
    <w:p w14:paraId="2EAB0FA4"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proofErr w:type="spellStart"/>
      <w:r w:rsidRPr="00156901">
        <w:rPr>
          <w:rFonts w:ascii="Arial" w:eastAsia="Times New Roman" w:hAnsi="Arial" w:cs="Arial"/>
          <w:kern w:val="0"/>
          <w:lang w:eastAsia="it-IT"/>
          <w14:ligatures w14:val="none"/>
        </w:rPr>
        <w:t>Tr.Su</w:t>
      </w:r>
      <w:proofErr w:type="spellEnd"/>
      <w:r w:rsidRPr="00156901">
        <w:rPr>
          <w:rFonts w:ascii="Arial" w:eastAsia="Times New Roman" w:hAnsi="Arial" w:cs="Arial"/>
          <w:kern w:val="0"/>
          <w:lang w:eastAsia="it-IT"/>
          <w14:ligatures w14:val="none"/>
        </w:rPr>
        <w:t>., rappresentata e difesa dall'avvocato MA.MO.;</w:t>
      </w:r>
    </w:p>
    <w:p w14:paraId="7383D0C1"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controricorrente -</w:t>
      </w:r>
    </w:p>
    <w:p w14:paraId="22EC7593"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avverso la sentenza n. 706/2021 della CORTE D'APPELLO di FIRENZE, depositata il 02/11/2021 R.G.N. 651/2020;</w:t>
      </w:r>
    </w:p>
    <w:p w14:paraId="64674CCF"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udita la relazione della causa svolta nella camera di consiglio del 10/04/2026 dal Consigliere Dott. DARIO CONTE.</w:t>
      </w:r>
    </w:p>
    <w:p w14:paraId="69FA9B2E"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FATTI DI CAUSA</w:t>
      </w:r>
    </w:p>
    <w:p w14:paraId="4E2028D3"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1. Con ordinanza ingiunzione dell'agosto 2019 l'Azienda USL Toscana Sud Est intimava a </w:t>
      </w:r>
      <w:proofErr w:type="spellStart"/>
      <w:r w:rsidRPr="00156901">
        <w:rPr>
          <w:rFonts w:ascii="Arial" w:eastAsia="Times New Roman" w:hAnsi="Arial" w:cs="Arial"/>
          <w:kern w:val="0"/>
          <w:lang w:eastAsia="it-IT"/>
          <w14:ligatures w14:val="none"/>
        </w:rPr>
        <w:t>Tr.Su</w:t>
      </w:r>
      <w:proofErr w:type="spellEnd"/>
      <w:r w:rsidRPr="00156901">
        <w:rPr>
          <w:rFonts w:ascii="Arial" w:eastAsia="Times New Roman" w:hAnsi="Arial" w:cs="Arial"/>
          <w:kern w:val="0"/>
          <w:lang w:eastAsia="it-IT"/>
          <w14:ligatures w14:val="none"/>
        </w:rPr>
        <w:t xml:space="preserve">. il pagamento della somma di </w:t>
      </w:r>
      <w:proofErr w:type="gramStart"/>
      <w:r w:rsidRPr="00156901">
        <w:rPr>
          <w:rFonts w:ascii="Arial" w:eastAsia="Times New Roman" w:hAnsi="Arial" w:cs="Arial"/>
          <w:kern w:val="0"/>
          <w:lang w:eastAsia="it-IT"/>
          <w14:ligatures w14:val="none"/>
        </w:rPr>
        <w:t>Euro</w:t>
      </w:r>
      <w:proofErr w:type="gramEnd"/>
      <w:r w:rsidRPr="00156901">
        <w:rPr>
          <w:rFonts w:ascii="Arial" w:eastAsia="Times New Roman" w:hAnsi="Arial" w:cs="Arial"/>
          <w:kern w:val="0"/>
          <w:lang w:eastAsia="it-IT"/>
          <w14:ligatures w14:val="none"/>
        </w:rPr>
        <w:t>. 12.585,00 a titolo di indennità di mancato preavviso.</w:t>
      </w:r>
    </w:p>
    <w:p w14:paraId="42CAFCD2"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2. </w:t>
      </w:r>
      <w:proofErr w:type="spellStart"/>
      <w:r w:rsidRPr="00156901">
        <w:rPr>
          <w:rFonts w:ascii="Arial" w:eastAsia="Times New Roman" w:hAnsi="Arial" w:cs="Arial"/>
          <w:kern w:val="0"/>
          <w:lang w:eastAsia="it-IT"/>
          <w14:ligatures w14:val="none"/>
        </w:rPr>
        <w:t>Tr.Su</w:t>
      </w:r>
      <w:proofErr w:type="spellEnd"/>
      <w:r w:rsidRPr="00156901">
        <w:rPr>
          <w:rFonts w:ascii="Arial" w:eastAsia="Times New Roman" w:hAnsi="Arial" w:cs="Arial"/>
          <w:kern w:val="0"/>
          <w:lang w:eastAsia="it-IT"/>
          <w14:ligatures w14:val="none"/>
        </w:rPr>
        <w:t xml:space="preserve">., assunta a tempo indeterminato come dirigente medico nel luglio 2017, superato il periodo di prova nel febbraio successivo, avendo ottenuto varie proposte di assunzione a </w:t>
      </w:r>
      <w:r w:rsidRPr="00156901">
        <w:rPr>
          <w:rFonts w:ascii="Arial" w:eastAsia="Times New Roman" w:hAnsi="Arial" w:cs="Arial"/>
          <w:kern w:val="0"/>
          <w:lang w:eastAsia="it-IT"/>
          <w14:ligatures w14:val="none"/>
        </w:rPr>
        <w:lastRenderedPageBreak/>
        <w:t>tempo determinato da diverse aziende sanitarie di Roma, aveva reiteratamente (a marzo, agosto e novembre 2018) chiesto l'aspettativa di cui all'art. 10, comma 8, lett. b) del CCNL 2004, che le era stata negata. Si era quindi dimessa in tronco nel dicembre 2018 per giusta causa che l'Azienda aveva contestato con ordinanza ingiunzione intimante il pagamento dell'indennità di mancato preavviso.</w:t>
      </w:r>
    </w:p>
    <w:p w14:paraId="0051D9C9"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3. Il Tribunale di Arezzo, con sentenza resa l'8/9/2020, rigettava il ricorso sull'assunto, per quanto ancora rileva, che l'aspettativa formasse oggetto di una facoltà e non di un obbligo da parte dell'Azienda, secondo quanto previsto dal CCNL 1996 come sostituito dal CCNL 1997.</w:t>
      </w:r>
    </w:p>
    <w:p w14:paraId="5F1CB129"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4. </w:t>
      </w:r>
      <w:proofErr w:type="spellStart"/>
      <w:r w:rsidRPr="00156901">
        <w:rPr>
          <w:rFonts w:ascii="Arial" w:eastAsia="Times New Roman" w:hAnsi="Arial" w:cs="Arial"/>
          <w:kern w:val="0"/>
          <w:lang w:eastAsia="it-IT"/>
          <w14:ligatures w14:val="none"/>
        </w:rPr>
        <w:t>Tr.Su</w:t>
      </w:r>
      <w:proofErr w:type="spellEnd"/>
      <w:r w:rsidRPr="00156901">
        <w:rPr>
          <w:rFonts w:ascii="Arial" w:eastAsia="Times New Roman" w:hAnsi="Arial" w:cs="Arial"/>
          <w:kern w:val="0"/>
          <w:lang w:eastAsia="it-IT"/>
          <w14:ligatures w14:val="none"/>
        </w:rPr>
        <w:t xml:space="preserve">. aveva proposto appello censurando la mancata distinzione tra ente pubblico non economico ed economico; l'erronea applicazione del CCNL 1996 invece del CCNL 2004; l'omessa pronuncia sulla contestazione inerente </w:t>
      </w:r>
      <w:proofErr w:type="gramStart"/>
      <w:r w:rsidRPr="00156901">
        <w:rPr>
          <w:rFonts w:ascii="Arial" w:eastAsia="Times New Roman" w:hAnsi="Arial" w:cs="Arial"/>
          <w:kern w:val="0"/>
          <w:lang w:eastAsia="it-IT"/>
          <w14:ligatures w14:val="none"/>
        </w:rPr>
        <w:t>il</w:t>
      </w:r>
      <w:proofErr w:type="gramEnd"/>
      <w:r w:rsidRPr="00156901">
        <w:rPr>
          <w:rFonts w:ascii="Arial" w:eastAsia="Times New Roman" w:hAnsi="Arial" w:cs="Arial"/>
          <w:kern w:val="0"/>
          <w:lang w:eastAsia="it-IT"/>
          <w14:ligatures w14:val="none"/>
        </w:rPr>
        <w:t xml:space="preserve"> carattere incongruo del motivo del rifiuto, ed il carattere discriminatorio dello stesso; il </w:t>
      </w:r>
      <w:proofErr w:type="gramStart"/>
      <w:r w:rsidRPr="00156901">
        <w:rPr>
          <w:rFonts w:ascii="Arial" w:eastAsia="Times New Roman" w:hAnsi="Arial" w:cs="Arial"/>
          <w:kern w:val="0"/>
          <w:lang w:eastAsia="it-IT"/>
          <w14:ligatures w14:val="none"/>
        </w:rPr>
        <w:t>mancato accoglimento</w:t>
      </w:r>
      <w:proofErr w:type="gramEnd"/>
      <w:r w:rsidRPr="00156901">
        <w:rPr>
          <w:rFonts w:ascii="Arial" w:eastAsia="Times New Roman" w:hAnsi="Arial" w:cs="Arial"/>
          <w:kern w:val="0"/>
          <w:lang w:eastAsia="it-IT"/>
          <w14:ligatures w14:val="none"/>
        </w:rPr>
        <w:t xml:space="preserve"> della domanda risarcitoria; la condanna alle spese. </w:t>
      </w:r>
    </w:p>
    <w:p w14:paraId="6AC55420"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5. La Corte di appello di Firenze, con sentenza n. 701 del 2/11/2021, accoglieva parzialmente il gravame, annullando l'ordinanza-ingiunzione opposta e condannando l'Azienda al pagamento in favore della lavoratrice dell'indennità di mancato preavviso.</w:t>
      </w:r>
    </w:p>
    <w:p w14:paraId="2F393CDF"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6. A fondamento della decisione, la Corte territoriale assumeva, per quanto ancora rileva, che la fattispecie fosse regolata esclusivamente, ratione temporis, dall'art. 10 del CCNL per la dirigenza medico-veterinaria del SSN del 10/2/2004, come sostituito dall'art. 24, comma 13, del CCNL 3/11/2005. Questo prevedeva, al comma 1, che "Al dirigente con rapporto di lavoro a tempo indeterminato che ne faccia formale motivata richiesta, compatibilmente con le esigenze di servizio, possono essere concessi periodi di aspettativa per esigenze personali o di famiglia senza retribuzione e senza ricorrenza dell'anzianità, per una durata complessiva di 12 mesi in un triennio"; ed al comma 8: "L'aspettativa senza retribuzione e senza decorrenza dell'anzianità è altresì concessa al dirigente con rapporto di lavoro a tempo indeterminato, a domanda, per...</w:t>
      </w:r>
    </w:p>
    <w:p w14:paraId="41E10A8F"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B) Tutta la durata del contratto di lavoro a termine se assunto con rapporto di lavoro ed incarico a tempo determinato presso la stessa o altra azienda o ente del comparto, ovvero in altre pubbliche amministrazioni di diverso comparto, o in organismi dell'Unione Europea, con rapporto di lavoro ed incarico a tempo determinato. L'aspettativa prevista dall'</w:t>
      </w:r>
      <w:hyperlink r:id="rId4" w:history="1">
        <w:r w:rsidRPr="00156901">
          <w:rPr>
            <w:rFonts w:ascii="Arial" w:eastAsia="Times New Roman" w:hAnsi="Arial" w:cs="Arial"/>
            <w:kern w:val="0"/>
            <w:lang w:eastAsia="it-IT"/>
            <w14:ligatures w14:val="none"/>
          </w:rPr>
          <w:t xml:space="preserve">art. 23 bis del </w:t>
        </w:r>
        <w:proofErr w:type="spellStart"/>
        <w:r w:rsidRPr="00156901">
          <w:rPr>
            <w:rFonts w:ascii="Arial" w:eastAsia="Times New Roman" w:hAnsi="Arial" w:cs="Arial"/>
            <w:kern w:val="0"/>
            <w:lang w:eastAsia="it-IT"/>
            <w14:ligatures w14:val="none"/>
          </w:rPr>
          <w:t>D.Lgs.</w:t>
        </w:r>
        <w:proofErr w:type="spellEnd"/>
        <w:r w:rsidRPr="00156901">
          <w:rPr>
            <w:rFonts w:ascii="Arial" w:eastAsia="Times New Roman" w:hAnsi="Arial" w:cs="Arial"/>
            <w:kern w:val="0"/>
            <w:lang w:eastAsia="it-IT"/>
            <w14:ligatures w14:val="none"/>
          </w:rPr>
          <w:t xml:space="preserve"> 165 del 2001</w:t>
        </w:r>
      </w:hyperlink>
      <w:r w:rsidRPr="00156901">
        <w:rPr>
          <w:rFonts w:ascii="Arial" w:eastAsia="Times New Roman" w:hAnsi="Arial" w:cs="Arial"/>
          <w:kern w:val="0"/>
          <w:lang w:eastAsia="it-IT"/>
          <w14:ligatures w14:val="none"/>
        </w:rPr>
        <w:t xml:space="preserve"> per attuare la mobilità pubblico privato si applica esclusivamente nei casi in cui l'incarico sia conferito da organismi pubblici o privati della Unione europea o da ospedali pubblici dei paesi dell'Unione stessa o da organismi internazionali".</w:t>
      </w:r>
    </w:p>
    <w:p w14:paraId="715ED7BA"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La Corte di merito assumeva che la diversa dizione ("è altresì concessa" invece di "possono essere concessi") e la separata allocazione della lettera b) del comma 8, convergessero nel senso che nel caso in esame la concessione fosse obbligatoria; che tale conclusione fosse avvalorata dal carattere qualificato, in termini di consistenza dell'interesse, dei casi previsti dal comma 8.</w:t>
      </w:r>
    </w:p>
    <w:p w14:paraId="5E86FB3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Osservava ancora che il riferimento del contratto all'</w:t>
      </w:r>
      <w:hyperlink r:id="rId5" w:history="1">
        <w:r w:rsidRPr="00156901">
          <w:rPr>
            <w:rFonts w:ascii="Arial" w:eastAsia="Times New Roman" w:hAnsi="Arial" w:cs="Arial"/>
            <w:kern w:val="0"/>
            <w:lang w:eastAsia="it-IT"/>
            <w14:ligatures w14:val="none"/>
          </w:rPr>
          <w:t xml:space="preserve">art. 23 bis del </w:t>
        </w:r>
        <w:proofErr w:type="spellStart"/>
        <w:r w:rsidRPr="00156901">
          <w:rPr>
            <w:rFonts w:ascii="Arial" w:eastAsia="Times New Roman" w:hAnsi="Arial" w:cs="Arial"/>
            <w:kern w:val="0"/>
            <w:lang w:eastAsia="it-IT"/>
            <w14:ligatures w14:val="none"/>
          </w:rPr>
          <w:t>D.Lgs.</w:t>
        </w:r>
        <w:proofErr w:type="spellEnd"/>
        <w:r w:rsidRPr="00156901">
          <w:rPr>
            <w:rFonts w:ascii="Arial" w:eastAsia="Times New Roman" w:hAnsi="Arial" w:cs="Arial"/>
            <w:kern w:val="0"/>
            <w:lang w:eastAsia="it-IT"/>
            <w14:ligatures w14:val="none"/>
          </w:rPr>
          <w:t xml:space="preserve"> n.165/2001, introdotto nel 2002</w:t>
        </w:r>
      </w:hyperlink>
      <w:r w:rsidRPr="00156901">
        <w:rPr>
          <w:rFonts w:ascii="Arial" w:eastAsia="Times New Roman" w:hAnsi="Arial" w:cs="Arial"/>
          <w:kern w:val="0"/>
          <w:lang w:eastAsia="it-IT"/>
          <w14:ligatures w14:val="none"/>
        </w:rPr>
        <w:t xml:space="preserve">, che prevedeva la possibilità di un "motivato diniego", solo quanto agli impieghi in ambito extranazionale, portava a ritenere che la possibilità di tale diniego fosse stata limitata esclusivamente a questi ultimi; tanto più che il </w:t>
      </w:r>
      <w:proofErr w:type="spellStart"/>
      <w:r w:rsidRPr="00156901">
        <w:rPr>
          <w:rFonts w:ascii="Arial" w:eastAsia="Times New Roman" w:hAnsi="Arial" w:cs="Arial"/>
          <w:kern w:val="0"/>
          <w:lang w:eastAsia="it-IT"/>
          <w14:ligatures w14:val="none"/>
        </w:rPr>
        <w:t>proprium</w:t>
      </w:r>
      <w:proofErr w:type="spellEnd"/>
      <w:r w:rsidRPr="00156901">
        <w:rPr>
          <w:rFonts w:ascii="Arial" w:eastAsia="Times New Roman" w:hAnsi="Arial" w:cs="Arial"/>
          <w:kern w:val="0"/>
          <w:lang w:eastAsia="it-IT"/>
          <w14:ligatures w14:val="none"/>
        </w:rPr>
        <w:t xml:space="preserve"> dell'art. 23 bis era </w:t>
      </w:r>
      <w:r w:rsidRPr="00156901">
        <w:rPr>
          <w:rFonts w:ascii="Arial" w:eastAsia="Times New Roman" w:hAnsi="Arial" w:cs="Arial"/>
          <w:kern w:val="0"/>
          <w:lang w:eastAsia="it-IT"/>
          <w14:ligatures w14:val="none"/>
        </w:rPr>
        <w:lastRenderedPageBreak/>
        <w:t>una deroga all'art. 60 del D.P.R. n. 3/57 quanto alla possibilità di lavorare per privati; mentre l'assenza di discrezionalità, anche secondo avviso espresso dall'ARAN nel 2002, era espressione di un favor verso la più ampia mobilità e flessibilità del personale dirigenziale, favorito dalla possibilità dell'amministrazione di provenienza di ricoprire a sua volta il posto con un contratto a termine.</w:t>
      </w:r>
    </w:p>
    <w:p w14:paraId="7B608EE6"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Né era pertinente il richiamo a Cass. n. 4878/2015, che riguardava un caso regolato da contratti del Comparto Sanità. Giudicava pertanto, anche alla luce della reiterazione della richiesta, che fosse integrata la fattispecie della giusta causa di dimissioni.</w:t>
      </w:r>
    </w:p>
    <w:p w14:paraId="4256FB8D"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7. Per la cassazione della sentenza ricorre l'Azienda USL Toscana Sud Est con atto affidato a quattro motivi.</w:t>
      </w:r>
    </w:p>
    <w:p w14:paraId="1DFD1C94"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8. Resiste </w:t>
      </w:r>
      <w:proofErr w:type="spellStart"/>
      <w:r w:rsidRPr="00156901">
        <w:rPr>
          <w:rFonts w:ascii="Arial" w:eastAsia="Times New Roman" w:hAnsi="Arial" w:cs="Arial"/>
          <w:kern w:val="0"/>
          <w:lang w:eastAsia="it-IT"/>
          <w14:ligatures w14:val="none"/>
        </w:rPr>
        <w:t>Tr.Su</w:t>
      </w:r>
      <w:proofErr w:type="spellEnd"/>
      <w:r w:rsidRPr="00156901">
        <w:rPr>
          <w:rFonts w:ascii="Arial" w:eastAsia="Times New Roman" w:hAnsi="Arial" w:cs="Arial"/>
          <w:kern w:val="0"/>
          <w:lang w:eastAsia="it-IT"/>
          <w14:ligatures w14:val="none"/>
        </w:rPr>
        <w:t>. con controricorso.</w:t>
      </w:r>
    </w:p>
    <w:p w14:paraId="123E10C4"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9. Entrambe le parti hanno presentato memoria.</w:t>
      </w:r>
    </w:p>
    <w:p w14:paraId="7215EF1D"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RAGIONI DELLA DECISIONE</w:t>
      </w:r>
    </w:p>
    <w:p w14:paraId="4E83296A"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 Il primo motivo denuncia, in relazione al n. 4 del primo comma dell'</w:t>
      </w:r>
      <w:hyperlink r:id="rId6" w:history="1">
        <w:r w:rsidRPr="00156901">
          <w:rPr>
            <w:rFonts w:ascii="Arial" w:eastAsia="Times New Roman" w:hAnsi="Arial" w:cs="Arial"/>
            <w:kern w:val="0"/>
            <w:lang w:eastAsia="it-IT"/>
            <w14:ligatures w14:val="none"/>
          </w:rPr>
          <w:t>art. 360 c.p.c.</w:t>
        </w:r>
      </w:hyperlink>
      <w:r w:rsidRPr="00156901">
        <w:rPr>
          <w:rFonts w:ascii="Arial" w:eastAsia="Times New Roman" w:hAnsi="Arial" w:cs="Arial"/>
          <w:kern w:val="0"/>
          <w:lang w:eastAsia="it-IT"/>
          <w14:ligatures w14:val="none"/>
        </w:rPr>
        <w:t>, violazione e falsa applicazione degli artt. 3, 24, e 111, comma 6 della Costituzione, dell'</w:t>
      </w:r>
      <w:hyperlink r:id="rId7" w:history="1">
        <w:r w:rsidRPr="00156901">
          <w:rPr>
            <w:rFonts w:ascii="Arial" w:eastAsia="Times New Roman" w:hAnsi="Arial" w:cs="Arial"/>
            <w:kern w:val="0"/>
            <w:lang w:eastAsia="it-IT"/>
            <w14:ligatures w14:val="none"/>
          </w:rPr>
          <w:t>art. 132, comma 2, n. 4 c.p.c.</w:t>
        </w:r>
      </w:hyperlink>
      <w:r w:rsidRPr="00156901">
        <w:rPr>
          <w:rFonts w:ascii="Arial" w:eastAsia="Times New Roman" w:hAnsi="Arial" w:cs="Arial"/>
          <w:kern w:val="0"/>
          <w:lang w:eastAsia="it-IT"/>
          <w14:ligatures w14:val="none"/>
        </w:rPr>
        <w:t>, dell'</w:t>
      </w:r>
      <w:hyperlink r:id="rId8" w:history="1">
        <w:r w:rsidRPr="00156901">
          <w:rPr>
            <w:rFonts w:ascii="Arial" w:eastAsia="Times New Roman" w:hAnsi="Arial" w:cs="Arial"/>
            <w:kern w:val="0"/>
            <w:lang w:eastAsia="it-IT"/>
            <w14:ligatures w14:val="none"/>
          </w:rPr>
          <w:t>art. 1362 c.c., dell'art. 16, comma 11</w:t>
        </w:r>
      </w:hyperlink>
      <w:r w:rsidRPr="00156901">
        <w:rPr>
          <w:rFonts w:ascii="Arial" w:eastAsia="Times New Roman" w:hAnsi="Arial" w:cs="Arial"/>
          <w:kern w:val="0"/>
          <w:lang w:eastAsia="it-IT"/>
          <w14:ligatures w14:val="none"/>
        </w:rPr>
        <w:t>, del CCNL della Dirigenza Medica e Veterinaria del 5/12/2017 (1996), dell'art. 1 del CCNL della Dirigenza Medica e Veterinaria del 3/11/2005, e dell'art. 10, comma 8, del CCNL della Dirigenza Medica e Veterinaria del 10/2/2004, come integrato dall'art. 24 del CCNL del 3/11/2011 (2005).</w:t>
      </w:r>
    </w:p>
    <w:p w14:paraId="18D8A75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Si lamenta che infondatamente la Corte territoriale abbia ritenuto pacifico che la fattispecie fosse regolata dal CCNL 10/2/2004, posto che in appello l'Azienda aveva dedotto che infondatamente la lavoratrice sosteneva che l'art. 16, comma 11, del CCNL 5/12/96, come sostituito dall'att. 1 del CCNL 5/8/97, fosse stato abrogato dall'art. 19, comma 7, del CCNL 8/6/2000.</w:t>
      </w:r>
    </w:p>
    <w:p w14:paraId="4A989AA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2. Il secondo motivo denuncia, in relazione al n.3 del primo comma dell'</w:t>
      </w:r>
      <w:hyperlink r:id="rId9" w:history="1">
        <w:r w:rsidRPr="00156901">
          <w:rPr>
            <w:rFonts w:ascii="Arial" w:eastAsia="Times New Roman" w:hAnsi="Arial" w:cs="Arial"/>
            <w:kern w:val="0"/>
            <w:lang w:eastAsia="it-IT"/>
            <w14:ligatures w14:val="none"/>
          </w:rPr>
          <w:t>art. 360 c.p.c.</w:t>
        </w:r>
      </w:hyperlink>
      <w:r w:rsidRPr="00156901">
        <w:rPr>
          <w:rFonts w:ascii="Arial" w:eastAsia="Times New Roman" w:hAnsi="Arial" w:cs="Arial"/>
          <w:kern w:val="0"/>
          <w:lang w:eastAsia="it-IT"/>
          <w14:ligatures w14:val="none"/>
        </w:rPr>
        <w:t>, violazione e falsa applicazione dell'</w:t>
      </w:r>
      <w:hyperlink r:id="rId10" w:history="1">
        <w:r w:rsidRPr="00156901">
          <w:rPr>
            <w:rFonts w:ascii="Arial" w:eastAsia="Times New Roman" w:hAnsi="Arial" w:cs="Arial"/>
            <w:kern w:val="0"/>
            <w:lang w:eastAsia="it-IT"/>
            <w14:ligatures w14:val="none"/>
          </w:rPr>
          <w:t>art. 1362 c.c., dell'art. 16, comma 11</w:t>
        </w:r>
      </w:hyperlink>
      <w:r w:rsidRPr="00156901">
        <w:rPr>
          <w:rFonts w:ascii="Arial" w:eastAsia="Times New Roman" w:hAnsi="Arial" w:cs="Arial"/>
          <w:kern w:val="0"/>
          <w:lang w:eastAsia="it-IT"/>
          <w14:ligatures w14:val="none"/>
        </w:rPr>
        <w:t>, del CCNL della Dirigenza Medica e Veterinaria del 5/12/2017 (1996), dell'art. 1 del CCNL della Dirigenza Medica e Veterinaria del 3/11/2005, e dell'art. 10, comma 8, del CCNL della Dirigenza Medica e Veterinaria del 10/2/2004, come integrato dall'art. 24 del CCNL del 3/11/2011 (2005).</w:t>
      </w:r>
    </w:p>
    <w:p w14:paraId="5B720801"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Si insiste sull'assunto che l'art. 16, comma 11, del CCNL 5/12/96 come introdotto dall'art. 1 del CCNL 5/8/97 non sarebbe stato abrogato, come la lavoratrice sosteneva, dall'art. 19, comma 7 del CCNL 8/6/2000.</w:t>
      </w:r>
    </w:p>
    <w:p w14:paraId="40A9FA8F"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Si assume inoltre che l'art. 16, comma 11, del CCNL 6/12/96 cit. non sarebbe stato abrogato dall'art.10, comma 8, del CCNL 10/2/2004 in quanto tale disposizione sarebbe compatibile con la precedente; dovendo essere interpretata insieme a questa, dunque, nel senso che anche nel caso di specie la concessione fosse discrezionale.</w:t>
      </w:r>
    </w:p>
    <w:p w14:paraId="53FE24E0"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3. Il terzo motivo denuncia, in relazione al n.3 del primo comma dell'</w:t>
      </w:r>
      <w:hyperlink r:id="rId11" w:history="1">
        <w:r w:rsidRPr="00156901">
          <w:rPr>
            <w:rFonts w:ascii="Arial" w:eastAsia="Times New Roman" w:hAnsi="Arial" w:cs="Arial"/>
            <w:kern w:val="0"/>
            <w:lang w:eastAsia="it-IT"/>
            <w14:ligatures w14:val="none"/>
          </w:rPr>
          <w:t>art.360 c.p.c.</w:t>
        </w:r>
      </w:hyperlink>
      <w:r w:rsidRPr="00156901">
        <w:rPr>
          <w:rFonts w:ascii="Arial" w:eastAsia="Times New Roman" w:hAnsi="Arial" w:cs="Arial"/>
          <w:kern w:val="0"/>
          <w:lang w:eastAsia="it-IT"/>
          <w14:ligatures w14:val="none"/>
        </w:rPr>
        <w:t>, violazione e falsa applicazione dell'</w:t>
      </w:r>
      <w:hyperlink r:id="rId12" w:history="1">
        <w:r w:rsidRPr="00156901">
          <w:rPr>
            <w:rFonts w:ascii="Arial" w:eastAsia="Times New Roman" w:hAnsi="Arial" w:cs="Arial"/>
            <w:kern w:val="0"/>
            <w:lang w:eastAsia="it-IT"/>
            <w14:ligatures w14:val="none"/>
          </w:rPr>
          <w:t>art. 1362 c.c., dell'art.16, comma 11</w:t>
        </w:r>
      </w:hyperlink>
      <w:r w:rsidRPr="00156901">
        <w:rPr>
          <w:rFonts w:ascii="Arial" w:eastAsia="Times New Roman" w:hAnsi="Arial" w:cs="Arial"/>
          <w:kern w:val="0"/>
          <w:lang w:eastAsia="it-IT"/>
          <w14:ligatures w14:val="none"/>
        </w:rPr>
        <w:t xml:space="preserve">, del CCNL della </w:t>
      </w:r>
      <w:r w:rsidRPr="00156901">
        <w:rPr>
          <w:rFonts w:ascii="Arial" w:eastAsia="Times New Roman" w:hAnsi="Arial" w:cs="Arial"/>
          <w:kern w:val="0"/>
          <w:lang w:eastAsia="it-IT"/>
          <w14:ligatures w14:val="none"/>
        </w:rPr>
        <w:lastRenderedPageBreak/>
        <w:t>Dirigenza Medica e Veterinaria del 5/12/2017 (1996), dell'art. 1 del CCNL della Dirigenza Medica e Veterinaria del 3/11/2005, e dell'art. 10, comma 8, del CCNL della Dirigenza Medica e Veterinaria del 10/2/2004, come integrato dall'art. 24 del CCNL del 3/11/2011 (2005).</w:t>
      </w:r>
    </w:p>
    <w:p w14:paraId="57D998EA"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Il capo di sentenza che ha ritenuto, in rapporto al CCNL 2004, obbligata la concessione dell'aspettativa è censurato per non aver tenuto conto del fatto che la disposizione parlava comunque di "concessione"; e che la diversa espressione poteva semmai implicare un grado diverso di rigore nella valutazione delle esigenze di servizio. </w:t>
      </w:r>
    </w:p>
    <w:p w14:paraId="51CC264B"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Si addita ad erroneità il riferimento motivo all'</w:t>
      </w:r>
      <w:hyperlink r:id="rId13" w:history="1">
        <w:r w:rsidRPr="00156901">
          <w:rPr>
            <w:rFonts w:ascii="Arial" w:eastAsia="Times New Roman" w:hAnsi="Arial" w:cs="Arial"/>
            <w:kern w:val="0"/>
            <w:lang w:eastAsia="it-IT"/>
            <w14:ligatures w14:val="none"/>
          </w:rPr>
          <w:t xml:space="preserve">art. 23 bis del </w:t>
        </w:r>
        <w:proofErr w:type="spellStart"/>
        <w:r w:rsidRPr="00156901">
          <w:rPr>
            <w:rFonts w:ascii="Arial" w:eastAsia="Times New Roman" w:hAnsi="Arial" w:cs="Arial"/>
            <w:kern w:val="0"/>
            <w:lang w:eastAsia="it-IT"/>
            <w14:ligatures w14:val="none"/>
          </w:rPr>
          <w:t>D.Lgs.</w:t>
        </w:r>
        <w:proofErr w:type="spellEnd"/>
        <w:r w:rsidRPr="00156901">
          <w:rPr>
            <w:rFonts w:ascii="Arial" w:eastAsia="Times New Roman" w:hAnsi="Arial" w:cs="Arial"/>
            <w:kern w:val="0"/>
            <w:lang w:eastAsia="it-IT"/>
            <w14:ligatures w14:val="none"/>
          </w:rPr>
          <w:t xml:space="preserve"> n.165/2001</w:t>
        </w:r>
      </w:hyperlink>
      <w:r w:rsidRPr="00156901">
        <w:rPr>
          <w:rFonts w:ascii="Arial" w:eastAsia="Times New Roman" w:hAnsi="Arial" w:cs="Arial"/>
          <w:kern w:val="0"/>
          <w:lang w:eastAsia="it-IT"/>
          <w14:ligatures w14:val="none"/>
        </w:rPr>
        <w:t>, argomentando ancora che l'inciso riferito agli incarichi extranazionali mirava solo a restringere una discrezionalità comunque conservata, come già giudicato in Cass. n. 4878/2015; e ad irrilevanza il parere dell'Aran.</w:t>
      </w:r>
    </w:p>
    <w:p w14:paraId="1FE5EA8F"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4. Il quarto motivo denuncia ancora, in relazione al n.3 del primo comma dell'</w:t>
      </w:r>
      <w:hyperlink r:id="rId14" w:history="1">
        <w:r w:rsidRPr="00156901">
          <w:rPr>
            <w:rFonts w:ascii="Arial" w:eastAsia="Times New Roman" w:hAnsi="Arial" w:cs="Arial"/>
            <w:kern w:val="0"/>
            <w:lang w:eastAsia="it-IT"/>
            <w14:ligatures w14:val="none"/>
          </w:rPr>
          <w:t>art. 360 c.p.c.</w:t>
        </w:r>
      </w:hyperlink>
      <w:r w:rsidRPr="00156901">
        <w:rPr>
          <w:rFonts w:ascii="Arial" w:eastAsia="Times New Roman" w:hAnsi="Arial" w:cs="Arial"/>
          <w:kern w:val="0"/>
          <w:lang w:eastAsia="it-IT"/>
          <w14:ligatures w14:val="none"/>
        </w:rPr>
        <w:t>, violazione e falsa applicazione dell'</w:t>
      </w:r>
      <w:hyperlink r:id="rId15" w:history="1">
        <w:r w:rsidRPr="00156901">
          <w:rPr>
            <w:rFonts w:ascii="Arial" w:eastAsia="Times New Roman" w:hAnsi="Arial" w:cs="Arial"/>
            <w:kern w:val="0"/>
            <w:lang w:eastAsia="it-IT"/>
            <w14:ligatures w14:val="none"/>
          </w:rPr>
          <w:t>art. 1362 c.c., dell'art. 16, comma 11</w:t>
        </w:r>
      </w:hyperlink>
      <w:r w:rsidRPr="00156901">
        <w:rPr>
          <w:rFonts w:ascii="Arial" w:eastAsia="Times New Roman" w:hAnsi="Arial" w:cs="Arial"/>
          <w:kern w:val="0"/>
          <w:lang w:eastAsia="it-IT"/>
          <w14:ligatures w14:val="none"/>
        </w:rPr>
        <w:t>, del CCNL della Dirigenza Medica e Veterinaria del 5/12/2017 (1996), dell'art. 1 del CCNL della Dirigenza Medica e Veterinaria del 3/11/2005, e dell'art. 10, comma 8, del CCNL della Dirigenza Medica e Veterinaria del 10/2/2004, come integrato dall'art. 24 del CCNL del 3/11/2011 (2005).</w:t>
      </w:r>
    </w:p>
    <w:p w14:paraId="52642539"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Si censura che la Corte territoriale abbia trascurato che l'Azienda aveva dedotto in appello che non aveva respinto le richieste di aspettativa, ma le aveva subordinate all'individuazione delle risorse necessarie per sopperire alle carenze di organico esistenti nel reparto in cui la </w:t>
      </w:r>
      <w:proofErr w:type="spellStart"/>
      <w:r w:rsidRPr="00156901">
        <w:rPr>
          <w:rFonts w:ascii="Arial" w:eastAsia="Times New Roman" w:hAnsi="Arial" w:cs="Arial"/>
          <w:kern w:val="0"/>
          <w:lang w:eastAsia="it-IT"/>
          <w14:ligatures w14:val="none"/>
        </w:rPr>
        <w:t>Tr.Su</w:t>
      </w:r>
      <w:proofErr w:type="spellEnd"/>
      <w:r w:rsidRPr="00156901">
        <w:rPr>
          <w:rFonts w:ascii="Arial" w:eastAsia="Times New Roman" w:hAnsi="Arial" w:cs="Arial"/>
          <w:kern w:val="0"/>
          <w:lang w:eastAsia="it-IT"/>
          <w14:ligatures w14:val="none"/>
        </w:rPr>
        <w:t>. prestava servizio, argomentando che ad erigere l'aspettativa a diritto come tale non sindacabile nemmeno per le più gravi ed ineludibili esigenze di servizio l'Amministrazione sarebbe stata impedita nello svolgimento della sua funzione, nella specie di servizio pubblico essenziale; e che l'Azienda aveva documentato che nonostante i numerosi tentativi effettuati, non era stato possibile ovviare alle carenze di organico.</w:t>
      </w:r>
    </w:p>
    <w:p w14:paraId="66F4DB2A"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5. Il ricorso, i cui motivi possono essere esaminati congiuntamente per connessione, è infondato.</w:t>
      </w:r>
    </w:p>
    <w:p w14:paraId="5A88C3D5"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6. Il CCNL dell'Area della dirigenza medica e veterinaria del Comparto Sanità del 5 dicembre 1996 (1994/1997) prevedeva, all'art. 28, quanto segue:</w:t>
      </w:r>
    </w:p>
    <w:p w14:paraId="4BCD999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 Al dirigente con rapporto di lavoro a tempo indeterminato che ne faccia formale e motivata richiesta possono essere concessi periodi di aspettativa per esigenze personali o di famiglia, senza retribuzione e senza decorrenza dell'anzianità, per un massimo di dodici mesi nel triennio. (omissis)</w:t>
      </w:r>
    </w:p>
    <w:p w14:paraId="298A468B"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5. L'aspettativa di cui al comma 1 è concessa per un periodo massimo di sei mesi, a richiesta, anche al dirigente al quale sia stato conferito un incarico di II livello, con rapporto quinquennale ai sensi dell'</w:t>
      </w:r>
      <w:hyperlink r:id="rId16" w:history="1">
        <w:r w:rsidRPr="00156901">
          <w:rPr>
            <w:rFonts w:ascii="Arial" w:eastAsia="Times New Roman" w:hAnsi="Arial" w:cs="Arial"/>
            <w:kern w:val="0"/>
            <w:lang w:eastAsia="it-IT"/>
            <w14:ligatures w14:val="none"/>
          </w:rPr>
          <w:t xml:space="preserve">art. 15 del </w:t>
        </w:r>
        <w:proofErr w:type="spellStart"/>
        <w:r w:rsidRPr="00156901">
          <w:rPr>
            <w:rFonts w:ascii="Arial" w:eastAsia="Times New Roman" w:hAnsi="Arial" w:cs="Arial"/>
            <w:kern w:val="0"/>
            <w:lang w:eastAsia="it-IT"/>
            <w14:ligatures w14:val="none"/>
          </w:rPr>
          <w:t>D.Lgs.</w:t>
        </w:r>
        <w:proofErr w:type="spellEnd"/>
        <w:r w:rsidRPr="00156901">
          <w:rPr>
            <w:rFonts w:ascii="Arial" w:eastAsia="Times New Roman" w:hAnsi="Arial" w:cs="Arial"/>
            <w:kern w:val="0"/>
            <w:lang w:eastAsia="it-IT"/>
            <w14:ligatures w14:val="none"/>
          </w:rPr>
          <w:t xml:space="preserve"> 502/1992</w:t>
        </w:r>
      </w:hyperlink>
      <w:r w:rsidRPr="00156901">
        <w:rPr>
          <w:rFonts w:ascii="Arial" w:eastAsia="Times New Roman" w:hAnsi="Arial" w:cs="Arial"/>
          <w:kern w:val="0"/>
          <w:lang w:eastAsia="it-IT"/>
          <w14:ligatures w14:val="none"/>
        </w:rPr>
        <w:t>, presso la stessa o altra azienda o ente".</w:t>
      </w:r>
    </w:p>
    <w:p w14:paraId="38C112AC"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L'aspettativa era prevista per due casi, quello "per esigenze personali o di famiglia", e quello per il conferimento di un incarico quinquennale di II livello secondo l'art. 15 del </w:t>
      </w:r>
      <w:proofErr w:type="gramStart"/>
      <w:r w:rsidRPr="00156901">
        <w:rPr>
          <w:rFonts w:ascii="Arial" w:eastAsia="Times New Roman" w:hAnsi="Arial" w:cs="Arial"/>
          <w:kern w:val="0"/>
          <w:lang w:eastAsia="it-IT"/>
          <w14:ligatures w14:val="none"/>
        </w:rPr>
        <w:t>D.Lgs</w:t>
      </w:r>
      <w:proofErr w:type="gramEnd"/>
      <w:r w:rsidRPr="00156901">
        <w:rPr>
          <w:rFonts w:ascii="Arial" w:eastAsia="Times New Roman" w:hAnsi="Arial" w:cs="Arial"/>
          <w:kern w:val="0"/>
          <w:lang w:eastAsia="it-IT"/>
          <w14:ligatures w14:val="none"/>
        </w:rPr>
        <w:t xml:space="preserve">.502/92. </w:t>
      </w:r>
    </w:p>
    <w:p w14:paraId="61F6119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lastRenderedPageBreak/>
        <w:t xml:space="preserve">Per il primo caso era chiaramente facoltativa ("possono essere concessi"). </w:t>
      </w:r>
    </w:p>
    <w:p w14:paraId="380DEE81"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Per il secondo, già del tutto plausibilmente, obbligatoria, come palesato dalla diversa dizione "è concessa...a richiesta", tenuto conto del fatto che nella prassi della normazione il tempo presente ha normalmente significato imperativo.</w:t>
      </w:r>
    </w:p>
    <w:p w14:paraId="09838F20"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7. Quanto alla disciplina dei contatti a tempo determinato, l'art. 16 non veniva ammesso al visto della Corte dei Conti, e le Parti Sociali convennero di rimandare la materia ad altra sessione negoziale, che si inverò nel CCNL integrativo 9 agosto 1997, che all'art. 1 sostituì l'art. 16 del CCNL 1996 disciplinando la materia, ed in particolare, quanto all'istituto della aspettativa, stabilì, al comma 11, che "Al Dirigente già a tempo indeterminato, assunto ai sensi del comma 1, può essere concesso, dall'azienda od ente di provenienza, un periodo di aspettativa, ai sensi dell'art. 28 e con i limiti ivi previsti, per la durata del contratto a tempo determinato stipulato con la stessa od altra azienda". </w:t>
      </w:r>
    </w:p>
    <w:p w14:paraId="17168450"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Venne così introdotto l'istituto dell'aspettativa per contratto a termine con la stessa o altra Azienda, in termini chiaramente facoltativi. Tale disposizione non riguardava il caso dell'assunzione di un incarico di secondo livello, che restava regolato, nel senso dell'obbligatorietà della concessione dell'aspettativa, dall'art. 28, comma 5, del CCNL 1996, come palesato dal comma 13 dell'art. 16 cit., come sostituito, nel prevedere che "Le disposizioni del presente articolo non trovano applicazione per l'assunzione dei Dirigenti di II livello del ruolo sanitario".</w:t>
      </w:r>
    </w:p>
    <w:p w14:paraId="55DEA1B1"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8. Il 31/7/1999 entrò in vigore l'art. 15-septies del </w:t>
      </w:r>
      <w:proofErr w:type="spellStart"/>
      <w:r w:rsidRPr="00156901">
        <w:rPr>
          <w:rFonts w:ascii="Arial" w:eastAsia="Times New Roman" w:hAnsi="Arial" w:cs="Arial"/>
          <w:kern w:val="0"/>
          <w:lang w:eastAsia="it-IT"/>
          <w14:ligatures w14:val="none"/>
        </w:rPr>
        <w:t>D.Lgs.</w:t>
      </w:r>
      <w:proofErr w:type="spellEnd"/>
      <w:r w:rsidRPr="00156901">
        <w:rPr>
          <w:rFonts w:ascii="Arial" w:eastAsia="Times New Roman" w:hAnsi="Arial" w:cs="Arial"/>
          <w:kern w:val="0"/>
          <w:lang w:eastAsia="it-IT"/>
          <w14:ligatures w14:val="none"/>
        </w:rPr>
        <w:t xml:space="preserve"> n.502/92, che prevedeva quanto segue:</w:t>
      </w:r>
    </w:p>
    <w:p w14:paraId="58EDD8B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 I direttori generali possono conferire incarichi per l'espletamento di funzioni di particolare rilevanza e di interesse strategico mediante la stipula di contratti a tempo determinato e con rapporto di lavoro esclusivo, entro il limite del due per cento della dotazione organica della dirigenza, a laureati di particolare e comprovata qualificazione professionale che abbiano svolto attività in organismi ed enti pubblici o privati o aziende pubbliche o private con esperienza acquisita per almeno un quinquennio in funzioni dirigenziali apicali o che abbiano conseguito una particolare specializzazione professionale, culturale e scientifica desumibile dalla formazione universitaria e post-universitaria, da pubblicazioni scientifiche o da concrete esperienze di lavoro e che non godano del trattamento di quiescenza. I contratti hanno durata non inferiore a due anni e non superiore a cinque anni, con facoltà di rinnovo" (OMISSIS)</w:t>
      </w:r>
    </w:p>
    <w:p w14:paraId="379FE762"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4. Per il periodo di durata del contratto di cui al comma 1 i dipendenti di pubbliche amministrazioni sono collocati in aspettativa senza assegni con riconoscimento dell'anzianità di servizio".</w:t>
      </w:r>
    </w:p>
    <w:p w14:paraId="0C7C5A9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Venne così introdotto un istituto volto a promuovere la mobilità extraziendale a termine dei dirigenti medici, e la legge, nel dire che, ove dipendenti di pubbliche amministrazioni, questi sono collocati in aspettativa senza assegni con riconoscimento dell'anzianità di servizio, fu del tutto inequivocabilmente chiara nel prevedere che la "concessione" dell'aspettativa fosse in tal caso obbligatoria.</w:t>
      </w:r>
    </w:p>
    <w:p w14:paraId="19AC315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9. L'intera disciplina dell'aspettativa venne poi riformulata dal CCNL 8 giugno 2000 (98/2001), il quale, all'art.19, previde quanto segue:</w:t>
      </w:r>
    </w:p>
    <w:p w14:paraId="7DEDB250"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lastRenderedPageBreak/>
        <w:t>"1. Al dirigente con rapporto di lavoro a tempo indeterminato, che ne faccia formale e motivata richiesta possono essere concessi periodi di aspettativa per esigenze personali o di famiglia senza retribuzione e senza decorrenza dell'anzianità, per un periodo massimo di dodici mesi nel triennio. OMISSIS</w:t>
      </w:r>
    </w:p>
    <w:p w14:paraId="22DEB3DB"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6. L'aspettativa è concessa per un periodo massimo di sei mesi, a richiesta, anche al dirigente assunto presso la stessa o altra azienda con rapporto di lavoro a tempo indeterminato ed incarico di direzione di struttura complessa, ai sensi dell'</w:t>
      </w:r>
      <w:hyperlink r:id="rId17" w:history="1">
        <w:r w:rsidRPr="00156901">
          <w:rPr>
            <w:rFonts w:ascii="Arial" w:eastAsia="Times New Roman" w:hAnsi="Arial" w:cs="Arial"/>
            <w:kern w:val="0"/>
            <w:lang w:eastAsia="it-IT"/>
            <w14:ligatures w14:val="none"/>
          </w:rPr>
          <w:t xml:space="preserve">art. 15 e segg. del </w:t>
        </w:r>
        <w:proofErr w:type="spellStart"/>
        <w:r w:rsidRPr="00156901">
          <w:rPr>
            <w:rFonts w:ascii="Arial" w:eastAsia="Times New Roman" w:hAnsi="Arial" w:cs="Arial"/>
            <w:kern w:val="0"/>
            <w:lang w:eastAsia="it-IT"/>
            <w14:ligatures w14:val="none"/>
          </w:rPr>
          <w:t>D.Lgs.</w:t>
        </w:r>
        <w:proofErr w:type="spellEnd"/>
        <w:r w:rsidRPr="00156901">
          <w:rPr>
            <w:rFonts w:ascii="Arial" w:eastAsia="Times New Roman" w:hAnsi="Arial" w:cs="Arial"/>
            <w:kern w:val="0"/>
            <w:lang w:eastAsia="it-IT"/>
            <w14:ligatures w14:val="none"/>
          </w:rPr>
          <w:t xml:space="preserve"> 502/1992</w:t>
        </w:r>
      </w:hyperlink>
      <w:r w:rsidRPr="00156901">
        <w:rPr>
          <w:rFonts w:ascii="Arial" w:eastAsia="Times New Roman" w:hAnsi="Arial" w:cs="Arial"/>
          <w:kern w:val="0"/>
          <w:lang w:eastAsia="it-IT"/>
          <w14:ligatures w14:val="none"/>
        </w:rPr>
        <w:t>.</w:t>
      </w:r>
    </w:p>
    <w:p w14:paraId="54A697B9"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7. In deroga a quanto previsto dai commi 1 e 6, al dirigente già a tempo indeterminato, assunto presso la stessa o altra azienda ovvero in altre pubbliche amministrazioni di diverso comparto o in organismi della comunità europea con rapporto di lavoro ed incarico a tempo determinato, l'aspettativa è concessa per tutta la durata del contratto di lavoro a termine anche nell'ipotesi di cui all'art. 18, commi 4 e 5.</w:t>
      </w:r>
    </w:p>
    <w:p w14:paraId="161772C5"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8. È disapplicato l'art. 28 del CCNL 5 dicembre 1996".</w:t>
      </w:r>
    </w:p>
    <w:p w14:paraId="1C9AABE3"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10. Nel nuovo regime la distinzione tra l'aspettativa per esigenze personali e di famiglia (che resta a concessione facoltativa: comma 1) e quella per il conferimento di incarico di struttura complessa (comma 6) risulta particolarmente accentuata per il fatto che essendo ormai indubitabile l'obbligatorietà della "concessione" della seconda, la (già debole) possibilità di far leva in senso contrario sull'uso di tale termine viene meno.</w:t>
      </w:r>
    </w:p>
    <w:p w14:paraId="74C0DF6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In tale contesto il comma 7 dell'art. 19, nel re disciplinare il caso (qui in esame) del dirigente a tempo indeterminato che sia (altrimenti) assunto presso la stessa o altra azienda con rapporto di lavoro od incarico a tempo determinato, prevedendo con uguale dizione che l'aspettativa è concessa per tutta la durata del contratto di lavoro a termine, già non poteva essere interpretato che nel senso che la "concessione" dell'aspettativa fosse (ugualmente) obbligatoria.</w:t>
      </w:r>
    </w:p>
    <w:p w14:paraId="26477E9C"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11. I possibili dubbi risultano comunque superati dalla nuova regolazione della materia introdotta dall'articolo 10 del CCNL integrativo del 10 febbraio 2004, prevedente quanto segue:</w:t>
      </w:r>
    </w:p>
    <w:p w14:paraId="1FD0FAD2"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 Al dirigente con rapporto di lavoro a tempo indeterminato che ne faccia formale e motivata richiesta, compatibilmente con le esigenze di servizio, possono essere concessi periodi di aspettativa per esigenze personali o di famiglia senza retribuzione e senza decorrenza dell'anzianità, per una durata complessiva di dodici mesi in un triennio OMISSIS</w:t>
      </w:r>
    </w:p>
    <w:p w14:paraId="2F32FD1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8. L'aspettativa senza retribuzione e senza decorrenza dell'anzianità è altresì concessa al dirigente con rapporto di lavoro a tempo indeterminato, a domanda, per:</w:t>
      </w:r>
    </w:p>
    <w:p w14:paraId="52243B0A"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a) un periodo massimo di sei mesi se assunto presso la stessa o altra azienda ovvero ente o amministrazione del comparto, con rapporto di lavoro a tempo indeterminato ed incarico di direzione di struttura complessa, ai sensi degli </w:t>
      </w:r>
      <w:hyperlink r:id="rId18" w:history="1">
        <w:r w:rsidRPr="00156901">
          <w:rPr>
            <w:rFonts w:ascii="Arial" w:eastAsia="Times New Roman" w:hAnsi="Arial" w:cs="Arial"/>
            <w:kern w:val="0"/>
            <w:lang w:eastAsia="it-IT"/>
            <w14:ligatures w14:val="none"/>
          </w:rPr>
          <w:t xml:space="preserve">artt. 15 e segg., del </w:t>
        </w:r>
        <w:proofErr w:type="spellStart"/>
        <w:r w:rsidRPr="00156901">
          <w:rPr>
            <w:rFonts w:ascii="Arial" w:eastAsia="Times New Roman" w:hAnsi="Arial" w:cs="Arial"/>
            <w:kern w:val="0"/>
            <w:lang w:eastAsia="it-IT"/>
            <w14:ligatures w14:val="none"/>
          </w:rPr>
          <w:t>D.Lgs.</w:t>
        </w:r>
        <w:proofErr w:type="spellEnd"/>
        <w:r w:rsidRPr="00156901">
          <w:rPr>
            <w:rFonts w:ascii="Arial" w:eastAsia="Times New Roman" w:hAnsi="Arial" w:cs="Arial"/>
            <w:kern w:val="0"/>
            <w:lang w:eastAsia="it-IT"/>
            <w14:ligatures w14:val="none"/>
          </w:rPr>
          <w:t xml:space="preserve"> 30 dicembre 1992, n. 502</w:t>
        </w:r>
      </w:hyperlink>
      <w:r w:rsidRPr="00156901">
        <w:rPr>
          <w:rFonts w:ascii="Arial" w:eastAsia="Times New Roman" w:hAnsi="Arial" w:cs="Arial"/>
          <w:kern w:val="0"/>
          <w:lang w:eastAsia="it-IT"/>
          <w14:ligatures w14:val="none"/>
        </w:rPr>
        <w:t>;</w:t>
      </w:r>
    </w:p>
    <w:p w14:paraId="52F9C6BF"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b) tutta la durata del contratto di lavoro a termine se assunto presso la stessa o altra azienda o ente del comparto, ovvero in altre pubbliche amministrazioni di diverso </w:t>
      </w:r>
      <w:r w:rsidRPr="00156901">
        <w:rPr>
          <w:rFonts w:ascii="Arial" w:eastAsia="Times New Roman" w:hAnsi="Arial" w:cs="Arial"/>
          <w:kern w:val="0"/>
          <w:lang w:eastAsia="it-IT"/>
          <w14:ligatures w14:val="none"/>
        </w:rPr>
        <w:lastRenderedPageBreak/>
        <w:t>comparto, o in organismi della Unione Europea, con rapporto di lavoro ed incarico a tempo determinato...;</w:t>
      </w:r>
    </w:p>
    <w:p w14:paraId="534A7E9A"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9. Il dirigente che non intende riprendere servizio, al termine dell'aspettativa di cui al comma 8, lett. b), è esonerato dal preavviso purché manifesti per iscritto la propria volontà 15 gg prima.... </w:t>
      </w:r>
    </w:p>
    <w:p w14:paraId="6BE7C564"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10. Il presente articolo sostituisce l'art. 19 del CCNL 8 giugno 2000 dalla data di entrata in vigore del presente contratto. Si conferma la disapplicazione dell'</w:t>
      </w:r>
      <w:hyperlink r:id="rId19" w:history="1">
        <w:r w:rsidRPr="00156901">
          <w:rPr>
            <w:rFonts w:ascii="Arial" w:eastAsia="Times New Roman" w:hAnsi="Arial" w:cs="Arial"/>
            <w:kern w:val="0"/>
            <w:lang w:eastAsia="it-IT"/>
            <w14:ligatures w14:val="none"/>
          </w:rPr>
          <w:t>art. 47 del D.P.R. 761/1979</w:t>
        </w:r>
      </w:hyperlink>
      <w:r w:rsidRPr="00156901">
        <w:rPr>
          <w:rFonts w:ascii="Arial" w:eastAsia="Times New Roman" w:hAnsi="Arial" w:cs="Arial"/>
          <w:kern w:val="0"/>
          <w:lang w:eastAsia="it-IT"/>
          <w14:ligatures w14:val="none"/>
        </w:rPr>
        <w:t>".</w:t>
      </w:r>
    </w:p>
    <w:p w14:paraId="358C794D"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12. Nella nuova disposizione agli argomenti già sopra svolti riguardo al carattere obbligatorio della concessione dell'aspettativa ("è concessa" anziché "possono essere concessi"; </w:t>
      </w:r>
      <w:proofErr w:type="spellStart"/>
      <w:r w:rsidRPr="00156901">
        <w:rPr>
          <w:rFonts w:ascii="Arial" w:eastAsia="Times New Roman" w:hAnsi="Arial" w:cs="Arial"/>
          <w:kern w:val="0"/>
          <w:lang w:eastAsia="it-IT"/>
          <w14:ligatures w14:val="none"/>
        </w:rPr>
        <w:t>accomunazione</w:t>
      </w:r>
      <w:proofErr w:type="spellEnd"/>
      <w:r w:rsidRPr="00156901">
        <w:rPr>
          <w:rFonts w:ascii="Arial" w:eastAsia="Times New Roman" w:hAnsi="Arial" w:cs="Arial"/>
          <w:kern w:val="0"/>
          <w:lang w:eastAsia="it-IT"/>
          <w14:ligatures w14:val="none"/>
        </w:rPr>
        <w:t xml:space="preserve"> nella terminologia al caso dell'incaricato di direzione di struttura complessa), si aggiungono, da un lato, l'ulteriore dato letterale fornito dal (solo) primo comma nello specificare, nel caso delle esigenze personali e familiari, che la concessione è data compatibilmente con le esigenze di servizio; dall'altro, dal fatto che i tre casi previsti dal comma 8 sono accomunati dalla medesima regola "concessoria", ed il terzo di essi (quello di cui alla lettera c) individua una fattispecie teoricamente rientrante in quella prevista dal primo comma, nell'essere giustificata da "esigenze personali e familiari", e tuttavia caratterizzata da maggiore e tipizzata gravità; e non di meno dalla prima distinta tanto da poter essere cumulata con quella.</w:t>
      </w:r>
    </w:p>
    <w:p w14:paraId="69164F12"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13. Successivamente, l'art. 24 del CCNL 3 novembre 2005 (2002/2005) ha sostituito l'art.10, comma 8, lett. b) cit., in detti termini: "tutta la durata del contratto di lavoro a termine se assunto presso la stessa o altra azienda o ente del comparto, ovvero in altre pubbliche amministrazioni di diverso comparto. L'aspettativa prevista dall'</w:t>
      </w:r>
      <w:hyperlink r:id="rId20" w:history="1">
        <w:r w:rsidRPr="00156901">
          <w:rPr>
            <w:rFonts w:ascii="Arial" w:eastAsia="Times New Roman" w:hAnsi="Arial" w:cs="Arial"/>
            <w:kern w:val="0"/>
            <w:lang w:eastAsia="it-IT"/>
            <w14:ligatures w14:val="none"/>
          </w:rPr>
          <w:t xml:space="preserve">art. 23 bis del </w:t>
        </w:r>
        <w:proofErr w:type="spellStart"/>
        <w:r w:rsidRPr="00156901">
          <w:rPr>
            <w:rFonts w:ascii="Arial" w:eastAsia="Times New Roman" w:hAnsi="Arial" w:cs="Arial"/>
            <w:kern w:val="0"/>
            <w:lang w:eastAsia="it-IT"/>
            <w14:ligatures w14:val="none"/>
          </w:rPr>
          <w:t>D.Lgs.</w:t>
        </w:r>
        <w:proofErr w:type="spellEnd"/>
        <w:r w:rsidRPr="00156901">
          <w:rPr>
            <w:rFonts w:ascii="Arial" w:eastAsia="Times New Roman" w:hAnsi="Arial" w:cs="Arial"/>
            <w:kern w:val="0"/>
            <w:lang w:eastAsia="it-IT"/>
            <w14:ligatures w14:val="none"/>
          </w:rPr>
          <w:t xml:space="preserve"> 165 del 2001</w:t>
        </w:r>
      </w:hyperlink>
      <w:r w:rsidRPr="00156901">
        <w:rPr>
          <w:rFonts w:ascii="Arial" w:eastAsia="Times New Roman" w:hAnsi="Arial" w:cs="Arial"/>
          <w:kern w:val="0"/>
          <w:lang w:eastAsia="it-IT"/>
          <w14:ligatures w14:val="none"/>
        </w:rPr>
        <w:t xml:space="preserve"> per attuare la mobilità pubblico - privato - si applica esclusivamente nei casi in cui l'incarico sia conferito da Organismi pubblici o privati della Unione Europea o da ospedali pubblici dei paesi dell'Unione stessa o da Organismi internazionali".... Anche tale dato contrattuale depone nel senso che la domanda di aspettativa per l'assunzione di un incarico a termine in Italia non fosse declinabile.</w:t>
      </w:r>
    </w:p>
    <w:p w14:paraId="17E4460D"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14. Nel senso del carattere obbligatorio dell'aspettativa prevista dall' art. 10, comma 8, lett. b) del CCNL 2004 come novellato nel 2005, depone, sia pure indirettamente, </w:t>
      </w:r>
      <w:hyperlink r:id="rId21" w:history="1">
        <w:r w:rsidRPr="00156901">
          <w:rPr>
            <w:rFonts w:ascii="Arial" w:eastAsia="Times New Roman" w:hAnsi="Arial" w:cs="Arial"/>
            <w:kern w:val="0"/>
            <w:lang w:eastAsia="it-IT"/>
            <w14:ligatures w14:val="none"/>
          </w:rPr>
          <w:t>Cass. n. 14457/2024</w:t>
        </w:r>
      </w:hyperlink>
      <w:r w:rsidRPr="00156901">
        <w:rPr>
          <w:rFonts w:ascii="Arial" w:eastAsia="Times New Roman" w:hAnsi="Arial" w:cs="Arial"/>
          <w:kern w:val="0"/>
          <w:lang w:eastAsia="it-IT"/>
          <w14:ligatures w14:val="none"/>
        </w:rPr>
        <w:t xml:space="preserve">, che ha scrutinato, con esito positivo, la compatibilità con la disciplina eurounitaria in materia di libertà di stabilimento di una normativa speciale (art. 15 - </w:t>
      </w:r>
      <w:proofErr w:type="spellStart"/>
      <w:r w:rsidRPr="00156901">
        <w:rPr>
          <w:rFonts w:ascii="Arial" w:eastAsia="Times New Roman" w:hAnsi="Arial" w:cs="Arial"/>
          <w:kern w:val="0"/>
          <w:lang w:eastAsia="it-IT"/>
          <w14:ligatures w14:val="none"/>
        </w:rPr>
        <w:t>septies</w:t>
      </w:r>
      <w:proofErr w:type="spellEnd"/>
      <w:r w:rsidRPr="00156901">
        <w:rPr>
          <w:rFonts w:ascii="Arial" w:eastAsia="Times New Roman" w:hAnsi="Arial" w:cs="Arial"/>
          <w:kern w:val="0"/>
          <w:lang w:eastAsia="it-IT"/>
          <w14:ligatures w14:val="none"/>
        </w:rPr>
        <w:t xml:space="preserve"> del </w:t>
      </w:r>
      <w:proofErr w:type="spellStart"/>
      <w:r w:rsidRPr="00156901">
        <w:rPr>
          <w:rFonts w:ascii="Arial" w:eastAsia="Times New Roman" w:hAnsi="Arial" w:cs="Arial"/>
          <w:kern w:val="0"/>
          <w:lang w:eastAsia="it-IT"/>
          <w14:ligatures w14:val="none"/>
        </w:rPr>
        <w:t>D.Lgs.</w:t>
      </w:r>
      <w:proofErr w:type="spellEnd"/>
      <w:r w:rsidRPr="00156901">
        <w:rPr>
          <w:rFonts w:ascii="Arial" w:eastAsia="Times New Roman" w:hAnsi="Arial" w:cs="Arial"/>
          <w:kern w:val="0"/>
          <w:lang w:eastAsia="it-IT"/>
          <w14:ligatures w14:val="none"/>
        </w:rPr>
        <w:t xml:space="preserve"> n.502/92; art. 10, comma 8 del CCNL 2004 come modificato nel 2005) che "non riconosce un diritto incondizionato" all'aspettativa per assumere incarichi in altri Paesi dell'UE; muovendo dal rilievo che il regime delle aspettative per incarichi interni "soddisfa l'esigenza propria della sanità pubblica di circolazione di professionalità all'interno del SSN"; e "si propone l'obiettivo di agevolare la circolazione di professionalità all'interno del SSN per condividere conoscenze specialistiche e migliorare la qualità e soprattutto l'omogeneità delle prestazioni e dei servizi resi a garanzia della salute dei cittadini".</w:t>
      </w:r>
    </w:p>
    <w:p w14:paraId="2B601267"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15. Quantomeno dalla vigenza del CCNL 2004, la distinzione tra l'aspettativa a concessione "facoltativa" prevista dal primo comma per generiche esigenze personali e familiari, e quella "a concessione obbligata" prevista per i casi tipizzati dal comma 8, trova fondamento univoco sul piano letterale, logico-sistemico, e per essi, della plausibile intenzione delle Parti Sociali. Il fatto che nelle tornate contrattuali siano intervenute modifiche anche quanto ai termini di durata delle aspettative non consente di neutralizzare </w:t>
      </w:r>
      <w:r w:rsidRPr="00156901">
        <w:rPr>
          <w:rFonts w:ascii="Arial" w:eastAsia="Times New Roman" w:hAnsi="Arial" w:cs="Arial"/>
          <w:kern w:val="0"/>
          <w:lang w:eastAsia="it-IT"/>
          <w14:ligatures w14:val="none"/>
        </w:rPr>
        <w:lastRenderedPageBreak/>
        <w:t>le evidenze esegetiche dei mutamenti intervenuti anche quanto al regime obbligatorio o discrezionale delle "concessioni". Né a diverse conclusioni può addivenirsi in ragione del perpetuarsi dell'uso del termine "concessione", che appartiene all'uso normativo di tutti i provvedimenti autorizzatori della sospensione del rapporto a domanda, e si trova usato nel contratto anche per casi in cui la "concessione" è chiaramente dovuta per legge; né in ragione della mancata formale abrogazione dell'art.1 del CCNL 9 agosto 1997, chiaramente determinata dall'originario inserimento dell'aspettativa per rapporto a termine con terzi nella disciplina dei rapporti a termine, superata già dal contratto successivo da discipline dell'aspettativa comprensive dello stesso istituto, ultima delle quali quella del 2004, la quale, come correttamente affermato dalla Corte territoriale, non può che trovare applicazione ratione temporis. L'invocazione in senso contrario di Cass. n. 4878/2015 non risulta pertinente, venendo lì in considerazione le regole dettate in materia dal Contratto Sanità per il personale non dirigenziale, che seguì dinamiche parzialmente simili ma non assimilabili sia per lettera che per ratio.</w:t>
      </w:r>
    </w:p>
    <w:p w14:paraId="1FAEBD4E"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16. Riconosciuta la correttezza dell'esegesi dei dati contrattuali compiuta dalla Corte di merito, sulla cui censura in diritto verte in sostanza il ricorso, le altre obiezioni perdono di consistenza.</w:t>
      </w:r>
    </w:p>
    <w:p w14:paraId="0DA1228B"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17. Con riguardo al primo motivo, la sentenza impugnata è motivata in modo chiaro rendendo palese la ratio </w:t>
      </w:r>
      <w:proofErr w:type="spellStart"/>
      <w:r w:rsidRPr="00156901">
        <w:rPr>
          <w:rFonts w:ascii="Arial" w:eastAsia="Times New Roman" w:hAnsi="Arial" w:cs="Arial"/>
          <w:kern w:val="0"/>
          <w:lang w:eastAsia="it-IT"/>
          <w14:ligatures w14:val="none"/>
        </w:rPr>
        <w:t>decidendi</w:t>
      </w:r>
      <w:proofErr w:type="spellEnd"/>
      <w:r w:rsidRPr="00156901">
        <w:rPr>
          <w:rFonts w:ascii="Arial" w:eastAsia="Times New Roman" w:hAnsi="Arial" w:cs="Arial"/>
          <w:kern w:val="0"/>
          <w:lang w:eastAsia="it-IT"/>
          <w14:ligatures w14:val="none"/>
        </w:rPr>
        <w:t xml:space="preserve">; il fatto che essa non abbia condiviso l'assunto della ricorrente secondo il quale le regole introdotte dopo il 1997 nella materia dell'aspettativa per contratti a termine non ne avrebbero immutato il carattere discrezionale non ne rende la motivazione apparente. Il fatto che la Corte di merito abbia dato per "pacifica" l'applicabilità ratione temporis del CCNL 2004 diviene irrilevante, una volta stabilito che tale statuizione è corretta in ragione di quanto sopra esposto. </w:t>
      </w:r>
    </w:p>
    <w:p w14:paraId="79B6F3BA"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18. Il quarto motivo è poi inammissibile, posto che, da un lato, sotto lo schermo della violazione di legge e di contratto collettivo si censura l'omessa valutazione, da parte della Corte di merito, di circostanze di fatto asseritamente addotte a sostegno delle difficoltà incontrate dall'Azienda nel trovare la sostituzione asseritamente necessaria ad assicurare la continuità del servizio; dall'altro, la Corte territoriale, a sostegno dell'affermazione che la ricorrente si era dimessa per giusta causa, ha affermato in fatto, in modo non certo censurabile sul piano della violazione della legge e del contratto collettivo, che l'Azienda nel corso del 2018 aveva respinto per tre volte la richiesta di aspettativa del ricorrente "ritenendo di avere il potere discrezionale di valutarne la compatibilità con le esigenze di servizio".</w:t>
      </w:r>
    </w:p>
    <w:p w14:paraId="7AB1207A"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19. In conclusione, il ricorso va respinto.</w:t>
      </w:r>
    </w:p>
    <w:p w14:paraId="7837D689"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20. Le spese, liquidate come da dispositivo, seguono la soccombenza.</w:t>
      </w:r>
    </w:p>
    <w:p w14:paraId="112E4D78"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P.Q.M.</w:t>
      </w:r>
    </w:p>
    <w:p w14:paraId="385EA646"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 xml:space="preserve">La Corte rigetta il ricorso. Condanna la ricorrente al pagamento, in favore della controricorrente, delle spese del giudizio di legittimità, che liquida in </w:t>
      </w:r>
      <w:proofErr w:type="gramStart"/>
      <w:r w:rsidRPr="00156901">
        <w:rPr>
          <w:rFonts w:ascii="Arial" w:eastAsia="Times New Roman" w:hAnsi="Arial" w:cs="Arial"/>
          <w:kern w:val="0"/>
          <w:lang w:eastAsia="it-IT"/>
          <w14:ligatures w14:val="none"/>
        </w:rPr>
        <w:t>Euro</w:t>
      </w:r>
      <w:proofErr w:type="gramEnd"/>
      <w:r w:rsidRPr="00156901">
        <w:rPr>
          <w:rFonts w:ascii="Arial" w:eastAsia="Times New Roman" w:hAnsi="Arial" w:cs="Arial"/>
          <w:kern w:val="0"/>
          <w:lang w:eastAsia="it-IT"/>
          <w14:ligatures w14:val="none"/>
        </w:rPr>
        <w:t xml:space="preserve">. 3.500,00 per compensi, </w:t>
      </w:r>
      <w:proofErr w:type="gramStart"/>
      <w:r w:rsidRPr="00156901">
        <w:rPr>
          <w:rFonts w:ascii="Arial" w:eastAsia="Times New Roman" w:hAnsi="Arial" w:cs="Arial"/>
          <w:kern w:val="0"/>
          <w:lang w:eastAsia="it-IT"/>
          <w14:ligatures w14:val="none"/>
        </w:rPr>
        <w:t>Euro</w:t>
      </w:r>
      <w:proofErr w:type="gramEnd"/>
      <w:r w:rsidRPr="00156901">
        <w:rPr>
          <w:rFonts w:ascii="Arial" w:eastAsia="Times New Roman" w:hAnsi="Arial" w:cs="Arial"/>
          <w:kern w:val="0"/>
          <w:lang w:eastAsia="it-IT"/>
          <w14:ligatures w14:val="none"/>
        </w:rPr>
        <w:t>. 200,00 per esborsi, oltre al 15% per spese forfettarie ed agli accessori di legge.</w:t>
      </w:r>
    </w:p>
    <w:p w14:paraId="221D8F51"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Ai sensi dell'</w:t>
      </w:r>
      <w:hyperlink r:id="rId22" w:history="1">
        <w:r w:rsidRPr="00156901">
          <w:rPr>
            <w:rFonts w:ascii="Arial" w:eastAsia="Times New Roman" w:hAnsi="Arial" w:cs="Arial"/>
            <w:kern w:val="0"/>
            <w:lang w:eastAsia="it-IT"/>
            <w14:ligatures w14:val="none"/>
          </w:rPr>
          <w:t>art.13 comma 1-quater del D.P.R. n. 115/2002</w:t>
        </w:r>
      </w:hyperlink>
      <w:r w:rsidRPr="00156901">
        <w:rPr>
          <w:rFonts w:ascii="Arial" w:eastAsia="Times New Roman" w:hAnsi="Arial" w:cs="Arial"/>
          <w:kern w:val="0"/>
          <w:lang w:eastAsia="it-IT"/>
          <w14:ligatures w14:val="none"/>
        </w:rPr>
        <w:t xml:space="preserve">, dà atto della sussistenza dei presupposti per il versamento, da parte della ricorrente, dell'ulteriore importo a titolo di </w:t>
      </w:r>
      <w:r w:rsidRPr="00156901">
        <w:rPr>
          <w:rFonts w:ascii="Arial" w:eastAsia="Times New Roman" w:hAnsi="Arial" w:cs="Arial"/>
          <w:kern w:val="0"/>
          <w:lang w:eastAsia="it-IT"/>
          <w14:ligatures w14:val="none"/>
        </w:rPr>
        <w:lastRenderedPageBreak/>
        <w:t>contributo unificato pari a quello previsto per il ricorso, a norma del comma 1-bis dello stesso articolo 13, se dovuto.</w:t>
      </w:r>
    </w:p>
    <w:p w14:paraId="630FDFA1"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Così deciso in Roma, nell'adunanza camerale della Sezione lavoro il 10 aprile 2026.</w:t>
      </w:r>
    </w:p>
    <w:p w14:paraId="73030F15" w14:textId="77777777" w:rsidR="00A51155" w:rsidRPr="00156901" w:rsidRDefault="00A51155" w:rsidP="00A51155">
      <w:pPr>
        <w:spacing w:before="100" w:beforeAutospacing="1" w:after="100" w:afterAutospacing="1" w:line="240" w:lineRule="auto"/>
        <w:rPr>
          <w:rFonts w:ascii="Arial" w:eastAsia="Times New Roman" w:hAnsi="Arial" w:cs="Arial"/>
          <w:kern w:val="0"/>
          <w:lang w:eastAsia="it-IT"/>
          <w14:ligatures w14:val="none"/>
        </w:rPr>
      </w:pPr>
      <w:r w:rsidRPr="00156901">
        <w:rPr>
          <w:rFonts w:ascii="Arial" w:eastAsia="Times New Roman" w:hAnsi="Arial" w:cs="Arial"/>
          <w:kern w:val="0"/>
          <w:lang w:eastAsia="it-IT"/>
          <w14:ligatures w14:val="none"/>
        </w:rPr>
        <w:t>Depositato in Cancelleria il 9 giugno 2026.</w:t>
      </w:r>
    </w:p>
    <w:p w14:paraId="55FD9BEB" w14:textId="77777777" w:rsidR="0028686D" w:rsidRPr="00A51155" w:rsidRDefault="0028686D">
      <w:pPr>
        <w:rPr>
          <w:rFonts w:ascii="Arial" w:hAnsi="Arial" w:cs="Arial"/>
        </w:rPr>
      </w:pPr>
    </w:p>
    <w:sectPr w:rsidR="0028686D" w:rsidRPr="00A511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55"/>
    <w:rsid w:val="0001695B"/>
    <w:rsid w:val="00156901"/>
    <w:rsid w:val="0028686D"/>
    <w:rsid w:val="00502409"/>
    <w:rsid w:val="005109CB"/>
    <w:rsid w:val="00715083"/>
    <w:rsid w:val="00A51155"/>
    <w:rsid w:val="00AB5BF8"/>
    <w:rsid w:val="00BE71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4F61"/>
  <w15:chartTrackingRefBased/>
  <w15:docId w15:val="{F87BADAA-3814-4421-B7CD-D4D48F3B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51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51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5115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5115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5115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511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11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11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11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115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5115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5115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115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5115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511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11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11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11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1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11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115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11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115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1155"/>
    <w:rPr>
      <w:i/>
      <w:iCs/>
      <w:color w:val="404040" w:themeColor="text1" w:themeTint="BF"/>
    </w:rPr>
  </w:style>
  <w:style w:type="paragraph" w:styleId="Paragrafoelenco">
    <w:name w:val="List Paragraph"/>
    <w:basedOn w:val="Normale"/>
    <w:uiPriority w:val="34"/>
    <w:qFormat/>
    <w:rsid w:val="00A51155"/>
    <w:pPr>
      <w:ind w:left="720"/>
      <w:contextualSpacing/>
    </w:pPr>
  </w:style>
  <w:style w:type="character" w:styleId="Enfasiintensa">
    <w:name w:val="Intense Emphasis"/>
    <w:basedOn w:val="Carpredefinitoparagrafo"/>
    <w:uiPriority w:val="21"/>
    <w:qFormat/>
    <w:rsid w:val="00A51155"/>
    <w:rPr>
      <w:i/>
      <w:iCs/>
      <w:color w:val="0F4761" w:themeColor="accent1" w:themeShade="BF"/>
    </w:rPr>
  </w:style>
  <w:style w:type="paragraph" w:styleId="Citazioneintensa">
    <w:name w:val="Intense Quote"/>
    <w:basedOn w:val="Normale"/>
    <w:next w:val="Normale"/>
    <w:link w:val="CitazioneintensaCarattere"/>
    <w:uiPriority w:val="30"/>
    <w:qFormat/>
    <w:rsid w:val="00A51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1155"/>
    <w:rPr>
      <w:i/>
      <w:iCs/>
      <w:color w:val="0F4761" w:themeColor="accent1" w:themeShade="BF"/>
    </w:rPr>
  </w:style>
  <w:style w:type="character" w:styleId="Riferimentointenso">
    <w:name w:val="Intense Reference"/>
    <w:basedOn w:val="Carpredefinitoparagrafo"/>
    <w:uiPriority w:val="32"/>
    <w:qFormat/>
    <w:rsid w:val="00A511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D:26145;1,27499;1" TargetMode="External"/><Relationship Id="rId13" Type="http://schemas.openxmlformats.org/officeDocument/2006/relationships/hyperlink" Target="ID:3527199;1" TargetMode="External"/><Relationship Id="rId18" Type="http://schemas.openxmlformats.org/officeDocument/2006/relationships/hyperlink" Target="ID:453871;1" TargetMode="External"/><Relationship Id="rId3" Type="http://schemas.openxmlformats.org/officeDocument/2006/relationships/webSettings" Target="webSettings.xml"/><Relationship Id="rId21" Type="http://schemas.openxmlformats.org/officeDocument/2006/relationships/hyperlink" Target="IDP:4876795;3" TargetMode="External"/><Relationship Id="rId7" Type="http://schemas.openxmlformats.org/officeDocument/2006/relationships/hyperlink" Target="ID:29354;1" TargetMode="External"/><Relationship Id="rId12" Type="http://schemas.openxmlformats.org/officeDocument/2006/relationships/hyperlink" Target="ID:26145;1,27499;1" TargetMode="External"/><Relationship Id="rId17" Type="http://schemas.openxmlformats.org/officeDocument/2006/relationships/hyperlink" Target="ID:453871;1" TargetMode="External"/><Relationship Id="rId2" Type="http://schemas.openxmlformats.org/officeDocument/2006/relationships/settings" Target="settings.xml"/><Relationship Id="rId16" Type="http://schemas.openxmlformats.org/officeDocument/2006/relationships/hyperlink" Target="ID:453871;1" TargetMode="External"/><Relationship Id="rId20" Type="http://schemas.openxmlformats.org/officeDocument/2006/relationships/hyperlink" Target="ID:3527199;1" TargetMode="External"/><Relationship Id="rId1" Type="http://schemas.openxmlformats.org/officeDocument/2006/relationships/styles" Target="styles.xml"/><Relationship Id="rId6" Type="http://schemas.openxmlformats.org/officeDocument/2006/relationships/hyperlink" Target="ID:29590;1" TargetMode="External"/><Relationship Id="rId11" Type="http://schemas.openxmlformats.org/officeDocument/2006/relationships/hyperlink" Target="ID:29590;1" TargetMode="External"/><Relationship Id="rId24" Type="http://schemas.openxmlformats.org/officeDocument/2006/relationships/theme" Target="theme/theme1.xml"/><Relationship Id="rId5" Type="http://schemas.openxmlformats.org/officeDocument/2006/relationships/hyperlink" Target="ID:3527199;1" TargetMode="External"/><Relationship Id="rId15" Type="http://schemas.openxmlformats.org/officeDocument/2006/relationships/hyperlink" Target="ID:26145;1,27499;1" TargetMode="External"/><Relationship Id="rId23" Type="http://schemas.openxmlformats.org/officeDocument/2006/relationships/fontTable" Target="fontTable.xml"/><Relationship Id="rId10" Type="http://schemas.openxmlformats.org/officeDocument/2006/relationships/hyperlink" Target="ID:26145;1,27499;1" TargetMode="External"/><Relationship Id="rId19" Type="http://schemas.openxmlformats.org/officeDocument/2006/relationships/hyperlink" Target="ID:257915;1" TargetMode="External"/><Relationship Id="rId4" Type="http://schemas.openxmlformats.org/officeDocument/2006/relationships/hyperlink" Target="ID:3527199;1" TargetMode="External"/><Relationship Id="rId9" Type="http://schemas.openxmlformats.org/officeDocument/2006/relationships/hyperlink" Target="ID:29590;1" TargetMode="External"/><Relationship Id="rId14" Type="http://schemas.openxmlformats.org/officeDocument/2006/relationships/hyperlink" Target="ID:29590;1" TargetMode="External"/><Relationship Id="rId22" Type="http://schemas.openxmlformats.org/officeDocument/2006/relationships/hyperlink" Target="ID:3498081;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3784</Words>
  <Characters>21572</Characters>
  <Application>Microsoft Office Word</Application>
  <DocSecurity>0</DocSecurity>
  <Lines>179</Lines>
  <Paragraphs>50</Paragraphs>
  <ScaleCrop>false</ScaleCrop>
  <Company>FNOMCeO</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4</cp:revision>
  <dcterms:created xsi:type="dcterms:W3CDTF">2026-07-09T06:56:00Z</dcterms:created>
  <dcterms:modified xsi:type="dcterms:W3CDTF">2026-07-13T15:36:00Z</dcterms:modified>
</cp:coreProperties>
</file>