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B427C" w14:textId="304F4178" w:rsidR="00F156AA" w:rsidRPr="00EA5571" w:rsidRDefault="00F156AA" w:rsidP="00F156AA">
      <w:pPr>
        <w:shd w:val="clear" w:color="auto" w:fill="FEFEFE"/>
        <w:spacing w:after="180" w:line="240" w:lineRule="auto"/>
        <w:rPr>
          <w:rFonts w:ascii="Arial" w:eastAsia="Times New Roman" w:hAnsi="Arial" w:cs="Arial"/>
          <w:color w:val="002060"/>
          <w:kern w:val="0"/>
          <w:highlight w:val="cyan"/>
          <w:lang w:eastAsia="it-IT"/>
          <w14:ligatures w14:val="none"/>
        </w:rPr>
      </w:pPr>
    </w:p>
    <w:p w14:paraId="2BE4558D" w14:textId="77777777" w:rsidR="00F156AA" w:rsidRPr="00EA5571" w:rsidRDefault="00F156AA" w:rsidP="00F156AA">
      <w:pPr>
        <w:shd w:val="clear" w:color="auto" w:fill="FEFEFE"/>
        <w:spacing w:after="180" w:line="240" w:lineRule="auto"/>
        <w:rPr>
          <w:rFonts w:ascii="Arial" w:eastAsia="Times New Roman" w:hAnsi="Arial" w:cs="Arial"/>
          <w:color w:val="002060"/>
          <w:kern w:val="0"/>
          <w:lang w:eastAsia="it-IT"/>
          <w14:ligatures w14:val="none"/>
        </w:rPr>
      </w:pPr>
    </w:p>
    <w:p w14:paraId="3829121A" w14:textId="21CB0166" w:rsidR="00D431B2" w:rsidRPr="00EA5571" w:rsidRDefault="00D431B2" w:rsidP="00D431B2">
      <w:pPr>
        <w:rPr>
          <w:rFonts w:ascii="Arial" w:hAnsi="Arial" w:cs="Arial"/>
          <w:color w:val="002060"/>
        </w:rPr>
      </w:pPr>
      <w:r w:rsidRPr="00EA5571">
        <w:rPr>
          <w:rFonts w:ascii="Arial" w:hAnsi="Arial" w:cs="Arial"/>
          <w:color w:val="002060"/>
        </w:rPr>
        <w:t>Corte di Cassazione Civile Sentenza</w:t>
      </w:r>
      <w:r w:rsidR="003D4BEA">
        <w:rPr>
          <w:rFonts w:ascii="Arial" w:hAnsi="Arial" w:cs="Arial"/>
          <w:color w:val="002060"/>
        </w:rPr>
        <w:t xml:space="preserve"> </w:t>
      </w:r>
      <w:r w:rsidRPr="00EA5571">
        <w:rPr>
          <w:rFonts w:ascii="Arial" w:hAnsi="Arial" w:cs="Arial"/>
          <w:color w:val="002060"/>
        </w:rPr>
        <w:t>16 luglio 2026 n. 23334</w:t>
      </w:r>
    </w:p>
    <w:p w14:paraId="1AA82F83" w14:textId="77777777" w:rsidR="00D431B2" w:rsidRPr="00EA5571" w:rsidRDefault="00D431B2" w:rsidP="00D431B2">
      <w:pPr>
        <w:rPr>
          <w:rFonts w:ascii="Arial" w:hAnsi="Arial" w:cs="Arial"/>
          <w:color w:val="002060"/>
        </w:rPr>
      </w:pPr>
    </w:p>
    <w:p w14:paraId="302D81C6" w14:textId="77777777" w:rsidR="00D431B2" w:rsidRPr="00EA5571" w:rsidRDefault="00D431B2" w:rsidP="00D431B2">
      <w:pPr>
        <w:rPr>
          <w:rFonts w:ascii="Arial" w:hAnsi="Arial" w:cs="Arial"/>
          <w:color w:val="002060"/>
        </w:rPr>
      </w:pPr>
    </w:p>
    <w:p w14:paraId="5CD84B3D" w14:textId="77777777" w:rsidR="00D431B2" w:rsidRPr="00EA5571" w:rsidRDefault="00D431B2" w:rsidP="00D431B2">
      <w:pPr>
        <w:rPr>
          <w:rFonts w:ascii="Arial" w:hAnsi="Arial" w:cs="Arial"/>
          <w:color w:val="002060"/>
        </w:rPr>
      </w:pPr>
      <w:r w:rsidRPr="00EA5571">
        <w:rPr>
          <w:rFonts w:ascii="Arial" w:hAnsi="Arial" w:cs="Arial"/>
          <w:color w:val="002060"/>
        </w:rPr>
        <w:t>REPUBBLICA ITALIANA</w:t>
      </w:r>
    </w:p>
    <w:p w14:paraId="70CB59D8" w14:textId="77777777" w:rsidR="00D431B2" w:rsidRPr="00EA5571" w:rsidRDefault="00D431B2" w:rsidP="00D431B2">
      <w:pPr>
        <w:rPr>
          <w:rFonts w:ascii="Arial" w:hAnsi="Arial" w:cs="Arial"/>
          <w:color w:val="002060"/>
        </w:rPr>
      </w:pPr>
    </w:p>
    <w:p w14:paraId="4442A8E2" w14:textId="77777777" w:rsidR="00D431B2" w:rsidRPr="00EA5571" w:rsidRDefault="00D431B2" w:rsidP="00D431B2">
      <w:pPr>
        <w:rPr>
          <w:rFonts w:ascii="Arial" w:hAnsi="Arial" w:cs="Arial"/>
          <w:color w:val="002060"/>
        </w:rPr>
      </w:pPr>
      <w:r w:rsidRPr="00EA5571">
        <w:rPr>
          <w:rFonts w:ascii="Arial" w:hAnsi="Arial" w:cs="Arial"/>
          <w:color w:val="002060"/>
        </w:rPr>
        <w:t>LA CORTE SUPREMA DI CASSAZIONE</w:t>
      </w:r>
    </w:p>
    <w:p w14:paraId="4C55B1DB" w14:textId="77777777" w:rsidR="00D431B2" w:rsidRPr="00EA5571" w:rsidRDefault="00D431B2" w:rsidP="00D431B2">
      <w:pPr>
        <w:rPr>
          <w:rFonts w:ascii="Arial" w:hAnsi="Arial" w:cs="Arial"/>
          <w:color w:val="002060"/>
        </w:rPr>
      </w:pPr>
    </w:p>
    <w:p w14:paraId="0E94EA8A" w14:textId="77777777" w:rsidR="00D431B2" w:rsidRPr="00EA5571" w:rsidRDefault="00D431B2" w:rsidP="00D431B2">
      <w:pPr>
        <w:rPr>
          <w:rFonts w:ascii="Arial" w:hAnsi="Arial" w:cs="Arial"/>
          <w:color w:val="002060"/>
        </w:rPr>
      </w:pPr>
      <w:r w:rsidRPr="00EA5571">
        <w:rPr>
          <w:rFonts w:ascii="Arial" w:hAnsi="Arial" w:cs="Arial"/>
          <w:color w:val="002060"/>
        </w:rPr>
        <w:t>SEZIONE LAVORO CIVILE</w:t>
      </w:r>
    </w:p>
    <w:p w14:paraId="01F66AA8" w14:textId="77777777" w:rsidR="00D431B2" w:rsidRPr="00EA5571" w:rsidRDefault="00D431B2" w:rsidP="00D431B2">
      <w:pPr>
        <w:rPr>
          <w:rFonts w:ascii="Arial" w:hAnsi="Arial" w:cs="Arial"/>
          <w:color w:val="002060"/>
        </w:rPr>
      </w:pPr>
    </w:p>
    <w:p w14:paraId="65665D2F" w14:textId="77777777" w:rsidR="00D431B2" w:rsidRPr="00EA5571" w:rsidRDefault="00D431B2" w:rsidP="00D431B2">
      <w:pPr>
        <w:rPr>
          <w:rFonts w:ascii="Arial" w:hAnsi="Arial" w:cs="Arial"/>
          <w:color w:val="002060"/>
        </w:rPr>
      </w:pPr>
      <w:r w:rsidRPr="00EA5571">
        <w:rPr>
          <w:rFonts w:ascii="Arial" w:hAnsi="Arial" w:cs="Arial"/>
          <w:color w:val="002060"/>
        </w:rPr>
        <w:t xml:space="preserve">Composta dagli Ill.mi </w:t>
      </w:r>
      <w:proofErr w:type="spellStart"/>
      <w:r w:rsidRPr="00EA5571">
        <w:rPr>
          <w:rFonts w:ascii="Arial" w:hAnsi="Arial" w:cs="Arial"/>
          <w:color w:val="002060"/>
        </w:rPr>
        <w:t>Sigg.ri</w:t>
      </w:r>
      <w:proofErr w:type="spellEnd"/>
      <w:r w:rsidRPr="00EA5571">
        <w:rPr>
          <w:rFonts w:ascii="Arial" w:hAnsi="Arial" w:cs="Arial"/>
          <w:color w:val="002060"/>
        </w:rPr>
        <w:t xml:space="preserve"> Magistrati:</w:t>
      </w:r>
    </w:p>
    <w:p w14:paraId="2311D016" w14:textId="77777777" w:rsidR="00D431B2" w:rsidRPr="00EA5571" w:rsidRDefault="00D431B2" w:rsidP="00D431B2">
      <w:pPr>
        <w:rPr>
          <w:rFonts w:ascii="Arial" w:hAnsi="Arial" w:cs="Arial"/>
          <w:color w:val="002060"/>
        </w:rPr>
      </w:pPr>
    </w:p>
    <w:p w14:paraId="7D6897B5" w14:textId="77777777" w:rsidR="00D431B2" w:rsidRPr="00EA5571" w:rsidRDefault="00D431B2" w:rsidP="00D431B2">
      <w:pPr>
        <w:rPr>
          <w:rFonts w:ascii="Arial" w:hAnsi="Arial" w:cs="Arial"/>
          <w:color w:val="002060"/>
        </w:rPr>
      </w:pPr>
      <w:r w:rsidRPr="00EA5571">
        <w:rPr>
          <w:rFonts w:ascii="Arial" w:hAnsi="Arial" w:cs="Arial"/>
          <w:color w:val="002060"/>
        </w:rPr>
        <w:t>Dott. DI PAOLANTONIO Annalisa - Presidente</w:t>
      </w:r>
    </w:p>
    <w:p w14:paraId="3090F20A" w14:textId="77777777" w:rsidR="00D431B2" w:rsidRPr="00EA5571" w:rsidRDefault="00D431B2" w:rsidP="00D431B2">
      <w:pPr>
        <w:rPr>
          <w:rFonts w:ascii="Arial" w:hAnsi="Arial" w:cs="Arial"/>
          <w:color w:val="002060"/>
        </w:rPr>
      </w:pPr>
    </w:p>
    <w:p w14:paraId="43A24A11" w14:textId="77777777" w:rsidR="00D431B2" w:rsidRPr="00EA5571" w:rsidRDefault="00D431B2" w:rsidP="00D431B2">
      <w:pPr>
        <w:rPr>
          <w:rFonts w:ascii="Arial" w:hAnsi="Arial" w:cs="Arial"/>
          <w:color w:val="002060"/>
        </w:rPr>
      </w:pPr>
      <w:r w:rsidRPr="00EA5571">
        <w:rPr>
          <w:rFonts w:ascii="Arial" w:hAnsi="Arial" w:cs="Arial"/>
          <w:color w:val="002060"/>
        </w:rPr>
        <w:t>Dott. MAROTTA Caterina - Consigliere</w:t>
      </w:r>
    </w:p>
    <w:p w14:paraId="44003F40" w14:textId="77777777" w:rsidR="00D431B2" w:rsidRPr="00EA5571" w:rsidRDefault="00D431B2" w:rsidP="00D431B2">
      <w:pPr>
        <w:rPr>
          <w:rFonts w:ascii="Arial" w:hAnsi="Arial" w:cs="Arial"/>
          <w:color w:val="002060"/>
        </w:rPr>
      </w:pPr>
    </w:p>
    <w:p w14:paraId="58874241" w14:textId="77777777" w:rsidR="00D431B2" w:rsidRPr="00EA5571" w:rsidRDefault="00D431B2" w:rsidP="00D431B2">
      <w:pPr>
        <w:rPr>
          <w:rFonts w:ascii="Arial" w:hAnsi="Arial" w:cs="Arial"/>
          <w:color w:val="002060"/>
        </w:rPr>
      </w:pPr>
      <w:r w:rsidRPr="00EA5571">
        <w:rPr>
          <w:rFonts w:ascii="Arial" w:hAnsi="Arial" w:cs="Arial"/>
          <w:color w:val="002060"/>
        </w:rPr>
        <w:t>Dott. CINQUE Guglielmo - Rel. Consigliere</w:t>
      </w:r>
    </w:p>
    <w:p w14:paraId="5805A6CE" w14:textId="77777777" w:rsidR="00D431B2" w:rsidRPr="00EA5571" w:rsidRDefault="00D431B2" w:rsidP="00D431B2">
      <w:pPr>
        <w:rPr>
          <w:rFonts w:ascii="Arial" w:hAnsi="Arial" w:cs="Arial"/>
          <w:color w:val="002060"/>
        </w:rPr>
      </w:pPr>
    </w:p>
    <w:p w14:paraId="6BDD1BF4" w14:textId="77777777" w:rsidR="00D431B2" w:rsidRPr="00EA5571" w:rsidRDefault="00D431B2" w:rsidP="00D431B2">
      <w:pPr>
        <w:rPr>
          <w:rFonts w:ascii="Arial" w:hAnsi="Arial" w:cs="Arial"/>
          <w:color w:val="002060"/>
        </w:rPr>
      </w:pPr>
      <w:r w:rsidRPr="00EA5571">
        <w:rPr>
          <w:rFonts w:ascii="Arial" w:hAnsi="Arial" w:cs="Arial"/>
          <w:color w:val="002060"/>
        </w:rPr>
        <w:t>Dott. CONTE Dario - Consigliere</w:t>
      </w:r>
    </w:p>
    <w:p w14:paraId="1C8647CB" w14:textId="77777777" w:rsidR="00D431B2" w:rsidRPr="00EA5571" w:rsidRDefault="00D431B2" w:rsidP="00D431B2">
      <w:pPr>
        <w:rPr>
          <w:rFonts w:ascii="Arial" w:hAnsi="Arial" w:cs="Arial"/>
          <w:color w:val="002060"/>
        </w:rPr>
      </w:pPr>
    </w:p>
    <w:p w14:paraId="667CFCCD" w14:textId="77777777" w:rsidR="00D431B2" w:rsidRPr="00EA5571" w:rsidRDefault="00D431B2" w:rsidP="00D431B2">
      <w:pPr>
        <w:rPr>
          <w:rFonts w:ascii="Arial" w:hAnsi="Arial" w:cs="Arial"/>
          <w:color w:val="002060"/>
        </w:rPr>
      </w:pPr>
      <w:r w:rsidRPr="00EA5571">
        <w:rPr>
          <w:rFonts w:ascii="Arial" w:hAnsi="Arial" w:cs="Arial"/>
          <w:color w:val="002060"/>
        </w:rPr>
        <w:t>Dott. FEDELE Ileana - Consigliere</w:t>
      </w:r>
    </w:p>
    <w:p w14:paraId="63FB3E4E" w14:textId="77777777" w:rsidR="00D431B2" w:rsidRPr="00EA5571" w:rsidRDefault="00D431B2" w:rsidP="00D431B2">
      <w:pPr>
        <w:rPr>
          <w:rFonts w:ascii="Arial" w:hAnsi="Arial" w:cs="Arial"/>
          <w:color w:val="002060"/>
        </w:rPr>
      </w:pPr>
    </w:p>
    <w:p w14:paraId="38921D83" w14:textId="77777777" w:rsidR="00D431B2" w:rsidRPr="00EA5571" w:rsidRDefault="00D431B2" w:rsidP="00D431B2">
      <w:pPr>
        <w:rPr>
          <w:rFonts w:ascii="Arial" w:hAnsi="Arial" w:cs="Arial"/>
          <w:color w:val="002060"/>
        </w:rPr>
      </w:pPr>
      <w:r w:rsidRPr="00EA5571">
        <w:rPr>
          <w:rFonts w:ascii="Arial" w:hAnsi="Arial" w:cs="Arial"/>
          <w:color w:val="002060"/>
        </w:rPr>
        <w:t>ha pronunciato la seguente</w:t>
      </w:r>
    </w:p>
    <w:p w14:paraId="58830900" w14:textId="77777777" w:rsidR="00D431B2" w:rsidRPr="00EA5571" w:rsidRDefault="00D431B2" w:rsidP="00D431B2">
      <w:pPr>
        <w:rPr>
          <w:rFonts w:ascii="Arial" w:hAnsi="Arial" w:cs="Arial"/>
          <w:color w:val="002060"/>
        </w:rPr>
      </w:pPr>
    </w:p>
    <w:p w14:paraId="35FD19BF" w14:textId="77777777" w:rsidR="00D431B2" w:rsidRPr="00EA5571" w:rsidRDefault="00D431B2" w:rsidP="00D431B2">
      <w:pPr>
        <w:rPr>
          <w:rFonts w:ascii="Arial" w:hAnsi="Arial" w:cs="Arial"/>
          <w:color w:val="002060"/>
        </w:rPr>
      </w:pPr>
      <w:r w:rsidRPr="00EA5571">
        <w:rPr>
          <w:rFonts w:ascii="Arial" w:hAnsi="Arial" w:cs="Arial"/>
          <w:color w:val="002060"/>
        </w:rPr>
        <w:t>SENTENZA</w:t>
      </w:r>
    </w:p>
    <w:p w14:paraId="49D17892" w14:textId="77777777" w:rsidR="00D431B2" w:rsidRPr="00EA5571" w:rsidRDefault="00D431B2" w:rsidP="00D431B2">
      <w:pPr>
        <w:rPr>
          <w:rFonts w:ascii="Arial" w:hAnsi="Arial" w:cs="Arial"/>
          <w:color w:val="002060"/>
        </w:rPr>
      </w:pPr>
    </w:p>
    <w:p w14:paraId="040B5E1F" w14:textId="77777777" w:rsidR="00D431B2" w:rsidRPr="00EA5571" w:rsidRDefault="00D431B2" w:rsidP="00D431B2">
      <w:pPr>
        <w:rPr>
          <w:rFonts w:ascii="Arial" w:hAnsi="Arial" w:cs="Arial"/>
          <w:color w:val="002060"/>
        </w:rPr>
      </w:pPr>
      <w:r w:rsidRPr="00EA5571">
        <w:rPr>
          <w:rFonts w:ascii="Arial" w:hAnsi="Arial" w:cs="Arial"/>
          <w:color w:val="002060"/>
        </w:rPr>
        <w:t>sul ricorso 2806-2025 proposto da:</w:t>
      </w:r>
    </w:p>
    <w:p w14:paraId="43268003" w14:textId="77777777" w:rsidR="00D431B2" w:rsidRPr="00EA5571" w:rsidRDefault="00D431B2" w:rsidP="00D431B2">
      <w:pPr>
        <w:rPr>
          <w:rFonts w:ascii="Arial" w:hAnsi="Arial" w:cs="Arial"/>
          <w:color w:val="002060"/>
        </w:rPr>
      </w:pPr>
    </w:p>
    <w:p w14:paraId="3709C822" w14:textId="77777777" w:rsidR="00D431B2" w:rsidRPr="00EA5571" w:rsidRDefault="00D431B2" w:rsidP="00D431B2">
      <w:pPr>
        <w:rPr>
          <w:rFonts w:ascii="Arial" w:hAnsi="Arial" w:cs="Arial"/>
          <w:color w:val="002060"/>
        </w:rPr>
      </w:pPr>
      <w:proofErr w:type="spellStart"/>
      <w:r w:rsidRPr="00EA5571">
        <w:rPr>
          <w:rFonts w:ascii="Arial" w:hAnsi="Arial" w:cs="Arial"/>
          <w:color w:val="002060"/>
        </w:rPr>
        <w:t>Ba.St</w:t>
      </w:r>
      <w:proofErr w:type="spellEnd"/>
      <w:r w:rsidRPr="00EA5571">
        <w:rPr>
          <w:rFonts w:ascii="Arial" w:hAnsi="Arial" w:cs="Arial"/>
          <w:color w:val="002060"/>
        </w:rPr>
        <w:t>., rappresentato e difeso dall' avvocato FL.SA.;</w:t>
      </w:r>
    </w:p>
    <w:p w14:paraId="0D4FA06A" w14:textId="77777777" w:rsidR="00D431B2" w:rsidRPr="00EA5571" w:rsidRDefault="00D431B2" w:rsidP="00D431B2">
      <w:pPr>
        <w:rPr>
          <w:rFonts w:ascii="Arial" w:hAnsi="Arial" w:cs="Arial"/>
          <w:color w:val="002060"/>
        </w:rPr>
      </w:pPr>
    </w:p>
    <w:p w14:paraId="42C9B0BD" w14:textId="77777777" w:rsidR="00D431B2" w:rsidRPr="00EA5571" w:rsidRDefault="00D431B2" w:rsidP="00D431B2">
      <w:pPr>
        <w:rPr>
          <w:rFonts w:ascii="Arial" w:hAnsi="Arial" w:cs="Arial"/>
          <w:color w:val="002060"/>
        </w:rPr>
      </w:pPr>
      <w:r w:rsidRPr="00EA5571">
        <w:rPr>
          <w:rFonts w:ascii="Arial" w:hAnsi="Arial" w:cs="Arial"/>
          <w:color w:val="002060"/>
        </w:rPr>
        <w:t>- ricorrente -</w:t>
      </w:r>
    </w:p>
    <w:p w14:paraId="4E8E1F45" w14:textId="77777777" w:rsidR="00D431B2" w:rsidRPr="00EA5571" w:rsidRDefault="00D431B2" w:rsidP="00D431B2">
      <w:pPr>
        <w:rPr>
          <w:rFonts w:ascii="Arial" w:hAnsi="Arial" w:cs="Arial"/>
          <w:color w:val="002060"/>
        </w:rPr>
      </w:pPr>
    </w:p>
    <w:p w14:paraId="3D528763" w14:textId="77777777" w:rsidR="00D431B2" w:rsidRPr="00EA5571" w:rsidRDefault="00D431B2" w:rsidP="00D431B2">
      <w:pPr>
        <w:rPr>
          <w:rFonts w:ascii="Arial" w:hAnsi="Arial" w:cs="Arial"/>
          <w:color w:val="002060"/>
        </w:rPr>
      </w:pPr>
      <w:r w:rsidRPr="00EA5571">
        <w:rPr>
          <w:rFonts w:ascii="Arial" w:hAnsi="Arial" w:cs="Arial"/>
          <w:color w:val="002060"/>
        </w:rPr>
        <w:t>contro</w:t>
      </w:r>
    </w:p>
    <w:p w14:paraId="2220BB55" w14:textId="77777777" w:rsidR="00D431B2" w:rsidRPr="00EA5571" w:rsidRDefault="00D431B2" w:rsidP="00D431B2">
      <w:pPr>
        <w:rPr>
          <w:rFonts w:ascii="Arial" w:hAnsi="Arial" w:cs="Arial"/>
          <w:color w:val="002060"/>
        </w:rPr>
      </w:pPr>
    </w:p>
    <w:p w14:paraId="5CBF619A" w14:textId="77777777" w:rsidR="00D431B2" w:rsidRPr="00EA5571" w:rsidRDefault="00D431B2" w:rsidP="00D431B2">
      <w:pPr>
        <w:rPr>
          <w:rFonts w:ascii="Arial" w:hAnsi="Arial" w:cs="Arial"/>
          <w:color w:val="002060"/>
        </w:rPr>
      </w:pPr>
      <w:r w:rsidRPr="00EA5571">
        <w:rPr>
          <w:rFonts w:ascii="Arial" w:hAnsi="Arial" w:cs="Arial"/>
          <w:color w:val="002060"/>
        </w:rPr>
        <w:t>AZIENDA SANITARIA LOCALE ROMA 2;</w:t>
      </w:r>
    </w:p>
    <w:p w14:paraId="351033DA" w14:textId="77777777" w:rsidR="00D431B2" w:rsidRPr="00EA5571" w:rsidRDefault="00D431B2" w:rsidP="00D431B2">
      <w:pPr>
        <w:rPr>
          <w:rFonts w:ascii="Arial" w:hAnsi="Arial" w:cs="Arial"/>
          <w:color w:val="002060"/>
        </w:rPr>
      </w:pPr>
    </w:p>
    <w:p w14:paraId="49A2030B" w14:textId="77777777" w:rsidR="00D431B2" w:rsidRPr="00EA5571" w:rsidRDefault="00D431B2" w:rsidP="00D431B2">
      <w:pPr>
        <w:rPr>
          <w:rFonts w:ascii="Arial" w:hAnsi="Arial" w:cs="Arial"/>
          <w:color w:val="002060"/>
        </w:rPr>
      </w:pPr>
      <w:r w:rsidRPr="00EA5571">
        <w:rPr>
          <w:rFonts w:ascii="Arial" w:hAnsi="Arial" w:cs="Arial"/>
          <w:color w:val="002060"/>
        </w:rPr>
        <w:t>- intimata -</w:t>
      </w:r>
    </w:p>
    <w:p w14:paraId="675B9675" w14:textId="77777777" w:rsidR="00D431B2" w:rsidRPr="00EA5571" w:rsidRDefault="00D431B2" w:rsidP="00D431B2">
      <w:pPr>
        <w:rPr>
          <w:rFonts w:ascii="Arial" w:hAnsi="Arial" w:cs="Arial"/>
          <w:color w:val="002060"/>
        </w:rPr>
      </w:pPr>
    </w:p>
    <w:p w14:paraId="3FA80210" w14:textId="77777777" w:rsidR="00D431B2" w:rsidRPr="00EA5571" w:rsidRDefault="00D431B2" w:rsidP="00D431B2">
      <w:pPr>
        <w:rPr>
          <w:rFonts w:ascii="Arial" w:hAnsi="Arial" w:cs="Arial"/>
          <w:color w:val="002060"/>
        </w:rPr>
      </w:pPr>
      <w:r w:rsidRPr="00EA5571">
        <w:rPr>
          <w:rFonts w:ascii="Arial" w:hAnsi="Arial" w:cs="Arial"/>
          <w:color w:val="002060"/>
        </w:rPr>
        <w:t>avverso la sentenza n. 2370/2024 della CORTE D'APPELLO di ROMA, depositata il 23/07/2024 R.G.N. 1186/2022;</w:t>
      </w:r>
    </w:p>
    <w:p w14:paraId="2B63E772" w14:textId="77777777" w:rsidR="00D431B2" w:rsidRPr="00EA5571" w:rsidRDefault="00D431B2" w:rsidP="00D431B2">
      <w:pPr>
        <w:rPr>
          <w:rFonts w:ascii="Arial" w:hAnsi="Arial" w:cs="Arial"/>
          <w:color w:val="002060"/>
        </w:rPr>
      </w:pPr>
    </w:p>
    <w:p w14:paraId="32B2CCC4" w14:textId="77777777" w:rsidR="00D431B2" w:rsidRPr="00EA5571" w:rsidRDefault="00D431B2" w:rsidP="00D431B2">
      <w:pPr>
        <w:rPr>
          <w:rFonts w:ascii="Arial" w:hAnsi="Arial" w:cs="Arial"/>
          <w:color w:val="002060"/>
        </w:rPr>
      </w:pPr>
      <w:r w:rsidRPr="00EA5571">
        <w:rPr>
          <w:rFonts w:ascii="Arial" w:hAnsi="Arial" w:cs="Arial"/>
          <w:color w:val="002060"/>
        </w:rPr>
        <w:t>udita la relazione della causa svolta nella pubblica udienza del 20/05/2026 dal Consigliere Dott. GUGLIELMO CINQUE;</w:t>
      </w:r>
    </w:p>
    <w:p w14:paraId="10665891" w14:textId="77777777" w:rsidR="00D431B2" w:rsidRPr="00EA5571" w:rsidRDefault="00D431B2" w:rsidP="00D431B2">
      <w:pPr>
        <w:rPr>
          <w:rFonts w:ascii="Arial" w:hAnsi="Arial" w:cs="Arial"/>
          <w:color w:val="002060"/>
        </w:rPr>
      </w:pPr>
    </w:p>
    <w:p w14:paraId="41607297" w14:textId="77777777" w:rsidR="00D431B2" w:rsidRPr="00EA5571" w:rsidRDefault="00D431B2" w:rsidP="00D431B2">
      <w:pPr>
        <w:rPr>
          <w:rFonts w:ascii="Arial" w:hAnsi="Arial" w:cs="Arial"/>
          <w:color w:val="002060"/>
        </w:rPr>
      </w:pPr>
      <w:r w:rsidRPr="00EA5571">
        <w:rPr>
          <w:rFonts w:ascii="Arial" w:hAnsi="Arial" w:cs="Arial"/>
          <w:color w:val="002060"/>
        </w:rPr>
        <w:t>udito il P.M. in persona del Sostituto Procuratore Generale Dott. MARIO FRESA, che ha concluso per il rigetto del ricorso;</w:t>
      </w:r>
    </w:p>
    <w:p w14:paraId="2C18E260" w14:textId="77777777" w:rsidR="00D431B2" w:rsidRPr="00EA5571" w:rsidRDefault="00D431B2" w:rsidP="00D431B2">
      <w:pPr>
        <w:rPr>
          <w:rFonts w:ascii="Arial" w:hAnsi="Arial" w:cs="Arial"/>
          <w:color w:val="002060"/>
        </w:rPr>
      </w:pPr>
    </w:p>
    <w:p w14:paraId="51B13658" w14:textId="77777777" w:rsidR="00D431B2" w:rsidRPr="00EA5571" w:rsidRDefault="00D431B2" w:rsidP="00D431B2">
      <w:pPr>
        <w:rPr>
          <w:rFonts w:ascii="Arial" w:hAnsi="Arial" w:cs="Arial"/>
          <w:color w:val="002060"/>
        </w:rPr>
      </w:pPr>
      <w:r w:rsidRPr="00EA5571">
        <w:rPr>
          <w:rFonts w:ascii="Arial" w:hAnsi="Arial" w:cs="Arial"/>
          <w:color w:val="002060"/>
        </w:rPr>
        <w:t xml:space="preserve">udito l'avvocato </w:t>
      </w:r>
      <w:proofErr w:type="gramStart"/>
      <w:r w:rsidRPr="00EA5571">
        <w:rPr>
          <w:rFonts w:ascii="Arial" w:hAnsi="Arial" w:cs="Arial"/>
          <w:color w:val="002060"/>
        </w:rPr>
        <w:t>FL.SA..</w:t>
      </w:r>
      <w:proofErr w:type="gramEnd"/>
    </w:p>
    <w:p w14:paraId="167EB406" w14:textId="77777777" w:rsidR="00D431B2" w:rsidRPr="00EA5571" w:rsidRDefault="00D431B2" w:rsidP="00D431B2">
      <w:pPr>
        <w:rPr>
          <w:rFonts w:ascii="Arial" w:hAnsi="Arial" w:cs="Arial"/>
          <w:color w:val="002060"/>
        </w:rPr>
      </w:pPr>
    </w:p>
    <w:p w14:paraId="15CD0CCB" w14:textId="77777777" w:rsidR="00D431B2" w:rsidRPr="00EA5571" w:rsidRDefault="00D431B2" w:rsidP="00D431B2">
      <w:pPr>
        <w:rPr>
          <w:rFonts w:ascii="Arial" w:hAnsi="Arial" w:cs="Arial"/>
          <w:color w:val="002060"/>
        </w:rPr>
      </w:pPr>
      <w:r w:rsidRPr="00EA5571">
        <w:rPr>
          <w:rFonts w:ascii="Arial" w:hAnsi="Arial" w:cs="Arial"/>
          <w:color w:val="002060"/>
        </w:rPr>
        <w:t>Fatti di causa</w:t>
      </w:r>
    </w:p>
    <w:p w14:paraId="76708D94" w14:textId="77777777" w:rsidR="00D431B2" w:rsidRPr="00EA5571" w:rsidRDefault="00D431B2" w:rsidP="00D431B2">
      <w:pPr>
        <w:rPr>
          <w:rFonts w:ascii="Arial" w:hAnsi="Arial" w:cs="Arial"/>
          <w:color w:val="002060"/>
        </w:rPr>
      </w:pPr>
    </w:p>
    <w:p w14:paraId="56F44BB1" w14:textId="77777777" w:rsidR="00D431B2" w:rsidRPr="00EA5571" w:rsidRDefault="00D431B2" w:rsidP="00D431B2">
      <w:pPr>
        <w:rPr>
          <w:rFonts w:ascii="Arial" w:hAnsi="Arial" w:cs="Arial"/>
          <w:color w:val="002060"/>
        </w:rPr>
      </w:pPr>
      <w:r w:rsidRPr="00EA5571">
        <w:rPr>
          <w:rFonts w:ascii="Arial" w:hAnsi="Arial" w:cs="Arial"/>
          <w:color w:val="002060"/>
        </w:rPr>
        <w:t xml:space="preserve">1. La Corte di appello di Roma, con la sentenza n. 2370/2024, ha confermato la pronuncia di primo grado che, per quello che interessa in questa sede, relativamente alle domande - proposte da </w:t>
      </w:r>
      <w:proofErr w:type="spellStart"/>
      <w:r w:rsidRPr="00EA5571">
        <w:rPr>
          <w:rFonts w:ascii="Arial" w:hAnsi="Arial" w:cs="Arial"/>
          <w:color w:val="002060"/>
        </w:rPr>
        <w:t>Ba.St</w:t>
      </w:r>
      <w:proofErr w:type="spellEnd"/>
      <w:r w:rsidRPr="00EA5571">
        <w:rPr>
          <w:rFonts w:ascii="Arial" w:hAnsi="Arial" w:cs="Arial"/>
          <w:color w:val="002060"/>
        </w:rPr>
        <w:t>., dirigente medico da ultimo con incarico di Responsabile di una Unità Operativa Semplice a Valenza Dipartimentale denominata "Coordinamento Assistenza Primaria e per la Continuità", nei confronti della Azienda Sanitaria Locale Roma 2 (che aveva incorporato la ex AUSL Roma C) - di declaratoria di illegittimità dei provvedimenti disciplinari adottati nei confronti del dipendente, aveva disatteso le istanze di parte ricorrente, con riguardo alla sanzione della sospensione dal servizio con privazione della retribuzione per sette giorni, irrogata il 4.2.2015, perché ininfluente sulla legittimità della sanzione il lamentato mancato rinvio dell'audizione fissata per il 26.1.2015, e aveva ritenuto provati i fatti contestati, con riguardo alla sanzione disciplinare del 6.5.2015, relativa alla sospensione dal servizio e dalla retribuzione per mesi sei, ritenendole entrambe legittime.</w:t>
      </w:r>
    </w:p>
    <w:p w14:paraId="7508B8EA" w14:textId="77777777" w:rsidR="00D431B2" w:rsidRPr="00EA5571" w:rsidRDefault="00D431B2" w:rsidP="00D431B2">
      <w:pPr>
        <w:rPr>
          <w:rFonts w:ascii="Arial" w:hAnsi="Arial" w:cs="Arial"/>
          <w:color w:val="002060"/>
        </w:rPr>
      </w:pPr>
    </w:p>
    <w:p w14:paraId="6AAACD42" w14:textId="77777777" w:rsidR="00D431B2" w:rsidRPr="00EA5571" w:rsidRDefault="00D431B2" w:rsidP="00D431B2">
      <w:pPr>
        <w:rPr>
          <w:rFonts w:ascii="Arial" w:hAnsi="Arial" w:cs="Arial"/>
          <w:color w:val="002060"/>
        </w:rPr>
      </w:pPr>
      <w:r w:rsidRPr="00EA5571">
        <w:rPr>
          <w:rFonts w:ascii="Arial" w:hAnsi="Arial" w:cs="Arial"/>
          <w:color w:val="002060"/>
        </w:rPr>
        <w:t>2. I giudici di seconde cure, in sintesi, hanno rilevato che, circa la mancata audizione dell'incolpato, in relazione al primo procedimento disciplinare, non era stato dimostrato che lo stato di malattia avesse costituito un ostacolo concreto e non superabile all'allontanamento dalla propria abitazione e che la audizione personale, ai fini della propria difesa, non fosse sostituibile da memoria scritta. Hanno, poi, precisato, con riferimento alla seconda sanzione, che: a) le tardive timbrature del badge, attestanti un immotivato trattenimento nella struttura oltre l'orario di lavoro, erano documentate e non contestate; b) il gravame non muoveva alcuna specifica censura sul fatto che non erano state provate esigenze che avessero determinato la presenza del dirigente nella struttura oltre l'orario; c) nuove erano le allegazioni secondo le quali le tardive timbrature sarebbero state giustificate dallo svolgimento di attività sindacale; d) non vi era stata alcuna modifica dei fatti tra la comunicazione dell'addebito ed il verbale di chiusura del procedimento circa le assenze dal lavoro del dicembre 2014 in quanto connesse con il diritto alla formazione professionale; e) gli unici documenti che venivano in rilievo erano quelli cui si faceva espresso richiamo nel capo di incolpazione, ove mancava il nulla osta del responsabile, per cui l'esercizio del diritto alla formazione era rimasto sfornito di ogni prova, non essendo a tal fine idonea la certificazione prodotta in lingua straniera il cui riscontro sull'Ente organizzatore era peraltro risultato negativo; f) gli addebiti provati erano connotati dal requisito della gravità e le sanzioni adottate erano proporzionate alle condotte poste in essere; g) la gravità era rafforzata dalla recidiva puntualmente contestata; h) il codice disciplinare, approvato nel 2016, non poteva trovare applicazione in quanto i fatti erano stati commessi in epoca precedente.</w:t>
      </w:r>
    </w:p>
    <w:p w14:paraId="35915EAE" w14:textId="77777777" w:rsidR="00D431B2" w:rsidRPr="00EA5571" w:rsidRDefault="00D431B2" w:rsidP="00D431B2">
      <w:pPr>
        <w:rPr>
          <w:rFonts w:ascii="Arial" w:hAnsi="Arial" w:cs="Arial"/>
          <w:color w:val="002060"/>
        </w:rPr>
      </w:pPr>
    </w:p>
    <w:p w14:paraId="24E9FCCC" w14:textId="77777777" w:rsidR="00D431B2" w:rsidRPr="00EA5571" w:rsidRDefault="00D431B2" w:rsidP="00D431B2">
      <w:pPr>
        <w:rPr>
          <w:rFonts w:ascii="Arial" w:hAnsi="Arial" w:cs="Arial"/>
          <w:color w:val="002060"/>
        </w:rPr>
      </w:pPr>
      <w:r w:rsidRPr="00EA5571">
        <w:rPr>
          <w:rFonts w:ascii="Arial" w:hAnsi="Arial" w:cs="Arial"/>
          <w:color w:val="002060"/>
        </w:rPr>
        <w:t xml:space="preserve">3. Avverso la sentenza di secondo grado </w:t>
      </w:r>
      <w:proofErr w:type="spellStart"/>
      <w:r w:rsidRPr="00EA5571">
        <w:rPr>
          <w:rFonts w:ascii="Arial" w:hAnsi="Arial" w:cs="Arial"/>
          <w:color w:val="002060"/>
        </w:rPr>
        <w:t>Ba.St</w:t>
      </w:r>
      <w:proofErr w:type="spellEnd"/>
      <w:r w:rsidRPr="00EA5571">
        <w:rPr>
          <w:rFonts w:ascii="Arial" w:hAnsi="Arial" w:cs="Arial"/>
          <w:color w:val="002060"/>
        </w:rPr>
        <w:t>. ha proposto ricorso per cassazione affidato a tre motivi. L'Azienda Sanitaria Locale Roma 2 non ha svolto attività difensiva.</w:t>
      </w:r>
    </w:p>
    <w:p w14:paraId="3F93F1CE" w14:textId="77777777" w:rsidR="00D431B2" w:rsidRPr="00EA5571" w:rsidRDefault="00D431B2" w:rsidP="00D431B2">
      <w:pPr>
        <w:rPr>
          <w:rFonts w:ascii="Arial" w:hAnsi="Arial" w:cs="Arial"/>
          <w:color w:val="002060"/>
        </w:rPr>
      </w:pPr>
    </w:p>
    <w:p w14:paraId="29B0418E" w14:textId="77777777" w:rsidR="00D431B2" w:rsidRPr="00EA5571" w:rsidRDefault="00D431B2" w:rsidP="00D431B2">
      <w:pPr>
        <w:rPr>
          <w:rFonts w:ascii="Arial" w:hAnsi="Arial" w:cs="Arial"/>
          <w:color w:val="002060"/>
        </w:rPr>
      </w:pPr>
      <w:r w:rsidRPr="00EA5571">
        <w:rPr>
          <w:rFonts w:ascii="Arial" w:hAnsi="Arial" w:cs="Arial"/>
          <w:color w:val="002060"/>
        </w:rPr>
        <w:t>4. Il Procuratore Generale ha deposito requisitoria scritta concludendo per il rigetto del ricorso.</w:t>
      </w:r>
    </w:p>
    <w:p w14:paraId="69CFB6A1" w14:textId="77777777" w:rsidR="00D431B2" w:rsidRPr="00EA5571" w:rsidRDefault="00D431B2" w:rsidP="00D431B2">
      <w:pPr>
        <w:rPr>
          <w:rFonts w:ascii="Arial" w:hAnsi="Arial" w:cs="Arial"/>
          <w:color w:val="002060"/>
        </w:rPr>
      </w:pPr>
    </w:p>
    <w:p w14:paraId="609E3AB8" w14:textId="77777777" w:rsidR="00D431B2" w:rsidRPr="00EA5571" w:rsidRDefault="00D431B2" w:rsidP="00D431B2">
      <w:pPr>
        <w:rPr>
          <w:rFonts w:ascii="Arial" w:hAnsi="Arial" w:cs="Arial"/>
          <w:color w:val="002060"/>
        </w:rPr>
      </w:pPr>
      <w:r w:rsidRPr="00EA5571">
        <w:rPr>
          <w:rFonts w:ascii="Arial" w:hAnsi="Arial" w:cs="Arial"/>
          <w:color w:val="002060"/>
        </w:rPr>
        <w:t>5. Il ricorrente ha depositato memoria.</w:t>
      </w:r>
    </w:p>
    <w:p w14:paraId="313F84D4" w14:textId="77777777" w:rsidR="00D431B2" w:rsidRPr="00EA5571" w:rsidRDefault="00D431B2" w:rsidP="00D431B2">
      <w:pPr>
        <w:rPr>
          <w:rFonts w:ascii="Arial" w:hAnsi="Arial" w:cs="Arial"/>
          <w:color w:val="002060"/>
        </w:rPr>
      </w:pPr>
    </w:p>
    <w:p w14:paraId="6CD786A4" w14:textId="77777777" w:rsidR="00D431B2" w:rsidRPr="00EA5571" w:rsidRDefault="00D431B2" w:rsidP="00D431B2">
      <w:pPr>
        <w:rPr>
          <w:rFonts w:ascii="Arial" w:hAnsi="Arial" w:cs="Arial"/>
          <w:color w:val="002060"/>
        </w:rPr>
      </w:pPr>
      <w:r w:rsidRPr="00EA5571">
        <w:rPr>
          <w:rFonts w:ascii="Arial" w:hAnsi="Arial" w:cs="Arial"/>
          <w:color w:val="002060"/>
        </w:rPr>
        <w:t>Ragioni della decisione</w:t>
      </w:r>
    </w:p>
    <w:p w14:paraId="23552250" w14:textId="77777777" w:rsidR="00D431B2" w:rsidRPr="00EA5571" w:rsidRDefault="00D431B2" w:rsidP="00D431B2">
      <w:pPr>
        <w:rPr>
          <w:rFonts w:ascii="Arial" w:hAnsi="Arial" w:cs="Arial"/>
          <w:color w:val="002060"/>
        </w:rPr>
      </w:pPr>
    </w:p>
    <w:p w14:paraId="14121DB9" w14:textId="77777777" w:rsidR="00D431B2" w:rsidRPr="00EA5571" w:rsidRDefault="00D431B2" w:rsidP="00D431B2">
      <w:pPr>
        <w:rPr>
          <w:rFonts w:ascii="Arial" w:hAnsi="Arial" w:cs="Arial"/>
          <w:color w:val="002060"/>
        </w:rPr>
      </w:pPr>
      <w:r w:rsidRPr="00EA5571">
        <w:rPr>
          <w:rFonts w:ascii="Arial" w:hAnsi="Arial" w:cs="Arial"/>
          <w:color w:val="002060"/>
        </w:rPr>
        <w:t xml:space="preserve">1. Con il primo motivo si denuncia la violazione e falsa applicazione degli artt. 7 L. n. 300/1970, 55-bis, comma 4, </w:t>
      </w:r>
      <w:proofErr w:type="spellStart"/>
      <w:r w:rsidRPr="00EA5571">
        <w:rPr>
          <w:rFonts w:ascii="Arial" w:hAnsi="Arial" w:cs="Arial"/>
          <w:color w:val="002060"/>
        </w:rPr>
        <w:t>D.Lgs.</w:t>
      </w:r>
      <w:proofErr w:type="spellEnd"/>
      <w:r w:rsidRPr="00EA5571">
        <w:rPr>
          <w:rFonts w:ascii="Arial" w:hAnsi="Arial" w:cs="Arial"/>
          <w:color w:val="002060"/>
        </w:rPr>
        <w:t xml:space="preserve"> n. 165/2001, 8 CCNL dirigenza medica, nonché degli artt. 1175 e 1375 cod. civ., in relazione all'art. 360, comma 1, n. 3, c.p.c., per avere la Corte territoriale ritenuto legittima la sanzione della sospensione di sette giorni, sebbene irrogata all'esito di un procedimento viziato dalla mancata audizione del ricorrente. Si </w:t>
      </w:r>
      <w:r w:rsidRPr="00EA5571">
        <w:rPr>
          <w:rFonts w:ascii="Arial" w:hAnsi="Arial" w:cs="Arial"/>
          <w:color w:val="002060"/>
        </w:rPr>
        <w:lastRenderedPageBreak/>
        <w:t xml:space="preserve">sostiene che il mancato differimento dell'audizione (o l'omessa comunicazione del diniego opposto alla richiesta di rinvio) poteva dare luogo alla nullità del procedimento qualora fosse stato provato che l'incolpato aveva subito un concreto pregiudizio all'esercizio della difesa e, nel caso di specie, la mancata difesa di esso ricorrente e la mancata comunicazione circa l'audizione in sua assenza avevano determinato l'adozione di una illegittima irrogazione della sanzione conservativa. Inoltre, si rappresenta che l'impossibilità assoluta a presenziare all'audizione del 26.1.2014 era in re </w:t>
      </w:r>
      <w:proofErr w:type="spellStart"/>
      <w:r w:rsidRPr="00EA5571">
        <w:rPr>
          <w:rFonts w:ascii="Arial" w:hAnsi="Arial" w:cs="Arial"/>
          <w:color w:val="002060"/>
        </w:rPr>
        <w:t>ipsa</w:t>
      </w:r>
      <w:proofErr w:type="spellEnd"/>
      <w:r w:rsidRPr="00EA5571">
        <w:rPr>
          <w:rFonts w:ascii="Arial" w:hAnsi="Arial" w:cs="Arial"/>
          <w:color w:val="002060"/>
        </w:rPr>
        <w:t xml:space="preserve">, atteso che lo stato di malattia si era protratto senza soluzione di continuità fino al 31.1.2015 e, quindi, il diniego di rinvio all'audizione e la mancata comunicazione dello stesso avevano evidentemente compromesso il diritto di difesa del lavoratore. Infine, si deduce che risultava dimostrato con evidenza che al lavoratore non era stato permesso di difendersi a fronte di una disposizione (art. 55 bis co. 4 del </w:t>
      </w:r>
      <w:proofErr w:type="spellStart"/>
      <w:r w:rsidRPr="00EA5571">
        <w:rPr>
          <w:rFonts w:ascii="Arial" w:hAnsi="Arial" w:cs="Arial"/>
          <w:color w:val="002060"/>
        </w:rPr>
        <w:t>D.Lgs.</w:t>
      </w:r>
      <w:proofErr w:type="spellEnd"/>
      <w:r w:rsidRPr="00EA5571">
        <w:rPr>
          <w:rFonts w:ascii="Arial" w:hAnsi="Arial" w:cs="Arial"/>
          <w:color w:val="002060"/>
        </w:rPr>
        <w:t xml:space="preserve"> n. 165/2001) che prevede proprio la possibilità per l'incolpato di richiedere il differimento dell'audizione, con conseguente spostamento dei termini finali del procedimento.</w:t>
      </w:r>
    </w:p>
    <w:p w14:paraId="160B00B3" w14:textId="77777777" w:rsidR="00D431B2" w:rsidRPr="00EA5571" w:rsidRDefault="00D431B2" w:rsidP="00D431B2">
      <w:pPr>
        <w:rPr>
          <w:rFonts w:ascii="Arial" w:hAnsi="Arial" w:cs="Arial"/>
          <w:color w:val="002060"/>
        </w:rPr>
      </w:pPr>
    </w:p>
    <w:p w14:paraId="3F26993C" w14:textId="77777777" w:rsidR="00D431B2" w:rsidRPr="00EA5571" w:rsidRDefault="00D431B2" w:rsidP="00D431B2">
      <w:pPr>
        <w:rPr>
          <w:rFonts w:ascii="Arial" w:hAnsi="Arial" w:cs="Arial"/>
          <w:color w:val="002060"/>
        </w:rPr>
      </w:pPr>
      <w:r w:rsidRPr="00EA5571">
        <w:rPr>
          <w:rFonts w:ascii="Arial" w:hAnsi="Arial" w:cs="Arial"/>
          <w:color w:val="002060"/>
        </w:rPr>
        <w:t>2. Il motivo presenta profili di infondatezza e di inammissibilità.</w:t>
      </w:r>
    </w:p>
    <w:p w14:paraId="46D17434" w14:textId="77777777" w:rsidR="00D431B2" w:rsidRPr="00EA5571" w:rsidRDefault="00D431B2" w:rsidP="00D431B2">
      <w:pPr>
        <w:rPr>
          <w:rFonts w:ascii="Arial" w:hAnsi="Arial" w:cs="Arial"/>
          <w:color w:val="002060"/>
        </w:rPr>
      </w:pPr>
    </w:p>
    <w:p w14:paraId="6C63CDD3" w14:textId="77777777" w:rsidR="00D431B2" w:rsidRPr="00EA5571" w:rsidRDefault="00D431B2" w:rsidP="00D431B2">
      <w:pPr>
        <w:rPr>
          <w:rFonts w:ascii="Arial" w:hAnsi="Arial" w:cs="Arial"/>
          <w:color w:val="002060"/>
        </w:rPr>
      </w:pPr>
      <w:r w:rsidRPr="00EA5571">
        <w:rPr>
          <w:rFonts w:ascii="Arial" w:hAnsi="Arial" w:cs="Arial"/>
          <w:color w:val="002060"/>
        </w:rPr>
        <w:t>3. Quanto alla mancata audizione dell'incolpato, la gravata sentenza è, in punto di diritto, in linea con i precedenti di questa Corte (da ultimo Cass. n. 9052/2025) che ha precisato, conformemente a Cass. n. 9313/2021, che nel pubblico impiego contrattualizzato, all'obbligo datoriale di procedere all'audizione del dipendente raggiunto da una contestazione disciplinare, non corrisponde un incondizionato diritto di quest'ultimo al differimento dell'incontro in cui deve essere sentito, atteso che la violazione del predetto obbligo dà luogo alla nullità della sanzione solo ove sia dimostrato dall'interessato un pregiudizio al concreto esercizio del diritto di difesa, sicché è onere del dipendente provare di non avere potuto presenziare all'audizione a causa di una patologia così grave da risultare ostativa in assoluto all'esercizio di quel diritto, dovendosi ritenere che altre malattie non precludano all'incolpato diverse forme partecipative (quali, ad es., l'invio di memorie esplicative o di delega difensiva ad un avvocato) tali da consentire al procedimento di proseguire nel rispetto dei termini perentori finali che lo cadenzano (</w:t>
      </w:r>
      <w:proofErr w:type="spellStart"/>
      <w:r w:rsidRPr="00EA5571">
        <w:rPr>
          <w:rFonts w:ascii="Arial" w:hAnsi="Arial" w:cs="Arial"/>
          <w:color w:val="002060"/>
        </w:rPr>
        <w:t>conf.</w:t>
      </w:r>
      <w:proofErr w:type="spellEnd"/>
      <w:r w:rsidRPr="00EA5571">
        <w:rPr>
          <w:rFonts w:ascii="Arial" w:hAnsi="Arial" w:cs="Arial"/>
          <w:color w:val="002060"/>
        </w:rPr>
        <w:t xml:space="preserve"> Cass. n. 6555/2019; Cass. n. 16900/2016). Non ogni impedimento, dunque, legittima un differimento dell'audizione, bensì solo quello qualificato come grave ed oggettivo, che coincide esattamente con le "patologie estreme" ovvero oggettivamente apprezzabili e gravi: in altre parole un minimale stato febbrile, un generico stato ansioso depressivo, una lombosciatalgia, un lieve infortunio fisico, sono stati ritenuti né gravi né oggettivi, e non sono dunque ostativi in modo assoluto al pieno esercizio del diritto di difesa (anche tramite rilascio di delega o invio di memoria difensiva).</w:t>
      </w:r>
    </w:p>
    <w:p w14:paraId="4BDBF6D0" w14:textId="77777777" w:rsidR="00D431B2" w:rsidRPr="00EA5571" w:rsidRDefault="00D431B2" w:rsidP="00D431B2">
      <w:pPr>
        <w:rPr>
          <w:rFonts w:ascii="Arial" w:hAnsi="Arial" w:cs="Arial"/>
          <w:color w:val="002060"/>
        </w:rPr>
      </w:pPr>
    </w:p>
    <w:p w14:paraId="5098576A" w14:textId="77777777" w:rsidR="00D431B2" w:rsidRPr="00EA5571" w:rsidRDefault="00D431B2" w:rsidP="00D431B2">
      <w:pPr>
        <w:rPr>
          <w:rFonts w:ascii="Arial" w:hAnsi="Arial" w:cs="Arial"/>
          <w:color w:val="002060"/>
        </w:rPr>
      </w:pPr>
      <w:r w:rsidRPr="00EA5571">
        <w:rPr>
          <w:rFonts w:ascii="Arial" w:hAnsi="Arial" w:cs="Arial"/>
          <w:color w:val="002060"/>
        </w:rPr>
        <w:t xml:space="preserve">4. La Corte territoriale ha fatto corretta applicazione di detti principi e con una valutazione di fatto, adeguatamente motivata (da qui la inammissibilità delle altre censure finalizzate ad ottenere una diversa valutazione della vicenda, non consentita in questa sede) ha </w:t>
      </w:r>
      <w:r w:rsidRPr="00EA5571">
        <w:rPr>
          <w:rFonts w:ascii="Arial" w:hAnsi="Arial" w:cs="Arial"/>
          <w:color w:val="002060"/>
        </w:rPr>
        <w:lastRenderedPageBreak/>
        <w:t>rilevato che, nella specie, difettava, perché neppure dedotto (non essendo tale il mero certificato da cui neppure risultava il tipo di patologia) e tantomeno provato, il grave e oggettivo impedimento che avrebbe impedito l'allontanamento dalla abitazione.</w:t>
      </w:r>
    </w:p>
    <w:p w14:paraId="7F5E4CC7" w14:textId="77777777" w:rsidR="00D431B2" w:rsidRPr="00EA5571" w:rsidRDefault="00D431B2" w:rsidP="00D431B2">
      <w:pPr>
        <w:rPr>
          <w:rFonts w:ascii="Arial" w:hAnsi="Arial" w:cs="Arial"/>
          <w:color w:val="002060"/>
        </w:rPr>
      </w:pPr>
    </w:p>
    <w:p w14:paraId="5FB4753D" w14:textId="77777777" w:rsidR="00D431B2" w:rsidRPr="00EA5571" w:rsidRDefault="00D431B2" w:rsidP="00D431B2">
      <w:pPr>
        <w:rPr>
          <w:rFonts w:ascii="Arial" w:hAnsi="Arial" w:cs="Arial"/>
          <w:color w:val="002060"/>
        </w:rPr>
      </w:pPr>
      <w:r w:rsidRPr="00EA5571">
        <w:rPr>
          <w:rFonts w:ascii="Arial" w:hAnsi="Arial" w:cs="Arial"/>
          <w:color w:val="002060"/>
        </w:rPr>
        <w:t>5. Tanto basta per rendere infondate le denunciate violazioni di legge.</w:t>
      </w:r>
    </w:p>
    <w:p w14:paraId="2902843F" w14:textId="77777777" w:rsidR="00D431B2" w:rsidRPr="00EA5571" w:rsidRDefault="00D431B2" w:rsidP="00D431B2">
      <w:pPr>
        <w:rPr>
          <w:rFonts w:ascii="Arial" w:hAnsi="Arial" w:cs="Arial"/>
          <w:color w:val="002060"/>
        </w:rPr>
      </w:pPr>
    </w:p>
    <w:p w14:paraId="60982B9E" w14:textId="77777777" w:rsidR="00D431B2" w:rsidRPr="00EA5571" w:rsidRDefault="00D431B2" w:rsidP="00D431B2">
      <w:pPr>
        <w:rPr>
          <w:rFonts w:ascii="Arial" w:hAnsi="Arial" w:cs="Arial"/>
          <w:color w:val="002060"/>
        </w:rPr>
      </w:pPr>
      <w:r w:rsidRPr="00EA5571">
        <w:rPr>
          <w:rFonts w:ascii="Arial" w:hAnsi="Arial" w:cs="Arial"/>
          <w:color w:val="002060"/>
        </w:rPr>
        <w:t>6. Con il secondo motivo si denuncia la violazione e falsa applicazione degli artt. 13 e 14 CCNL 2006-2009 e degli artt. 8 e 27 CCNL 8 giugno 2000, in relazione all'art. 360, comma 1, n. 3, c.p.c., per avere la Corte d'Appello interpretato la disciplina dell'orario del dirigente medico secondo una logica rigidamente impiegatizia e per avere qualificato come assenze ingiustificate alcune giornate nelle quali il ricorrente era impegnato in attività di aggiornamento professionale previamente e regolarmente comunicate, non tempestivamente negate e successivamente documentate come da regolamentazione aziendale. Si deduce, in ordine alle tardive timbrature del badge, che si verteva, invece, nell'ambito applicativo di azione dell'istituto della flessibilità dell'orario di lavoro prevista per il dirigente e che per esso ricorrente non sussisteva alcun divieto di trattenersi presso la Struttura al di fuori dell'orario di servizio in quanto Coordinatore dell'Assistenza Primaria e della Continuità Assistenziale del Presidio Ospedaliero Santa Caterina della Rosa cui spettavano anche le determinazioni sulla strutturazione dell'orario di lavoro. In ordine, invece, alle ingiustificate assenze dal servizio per la formazione professionale, si specifica che nel comunicato n. 17 del 12.10.2012 della ASL RM C (ora RM 2) non veniva esplicitato alcun obbligo di preventiva autorizzazione e che la mancata firma del dirigente sovraordinato non poteva essere equiparato ad un rifiuto. Infine, si precisa che nessuna disposizione prevedeva che l'aggiornamento dovesse avvenire in lingua italiana.</w:t>
      </w:r>
    </w:p>
    <w:p w14:paraId="48CE3838" w14:textId="77777777" w:rsidR="00D431B2" w:rsidRPr="00EA5571" w:rsidRDefault="00D431B2" w:rsidP="00D431B2">
      <w:pPr>
        <w:rPr>
          <w:rFonts w:ascii="Arial" w:hAnsi="Arial" w:cs="Arial"/>
          <w:color w:val="002060"/>
        </w:rPr>
      </w:pPr>
    </w:p>
    <w:p w14:paraId="2A4FA4CC" w14:textId="77777777" w:rsidR="00D431B2" w:rsidRPr="00EA5571" w:rsidRDefault="00D431B2" w:rsidP="00D431B2">
      <w:pPr>
        <w:rPr>
          <w:rFonts w:ascii="Arial" w:hAnsi="Arial" w:cs="Arial"/>
          <w:color w:val="002060"/>
        </w:rPr>
      </w:pPr>
      <w:r w:rsidRPr="00EA5571">
        <w:rPr>
          <w:rFonts w:ascii="Arial" w:hAnsi="Arial" w:cs="Arial"/>
          <w:color w:val="002060"/>
        </w:rPr>
        <w:t>7. Il motivo non è meritevole di accoglimento.</w:t>
      </w:r>
    </w:p>
    <w:p w14:paraId="4C71E187" w14:textId="77777777" w:rsidR="00D431B2" w:rsidRPr="00EA5571" w:rsidRDefault="00D431B2" w:rsidP="00D431B2">
      <w:pPr>
        <w:rPr>
          <w:rFonts w:ascii="Arial" w:hAnsi="Arial" w:cs="Arial"/>
          <w:color w:val="002060"/>
        </w:rPr>
      </w:pPr>
    </w:p>
    <w:p w14:paraId="47E5D375" w14:textId="77777777" w:rsidR="00D431B2" w:rsidRPr="00EA5571" w:rsidRDefault="00D431B2" w:rsidP="00D431B2">
      <w:pPr>
        <w:rPr>
          <w:rFonts w:ascii="Arial" w:hAnsi="Arial" w:cs="Arial"/>
          <w:color w:val="002060"/>
        </w:rPr>
      </w:pPr>
      <w:r w:rsidRPr="00EA5571">
        <w:rPr>
          <w:rFonts w:ascii="Arial" w:hAnsi="Arial" w:cs="Arial"/>
          <w:color w:val="002060"/>
        </w:rPr>
        <w:t xml:space="preserve">8. Quanto al primo profilo, riguardante le questioni sull'orario di lavoro, le censure non si confrontano con la ratio </w:t>
      </w:r>
      <w:proofErr w:type="spellStart"/>
      <w:r w:rsidRPr="00EA5571">
        <w:rPr>
          <w:rFonts w:ascii="Arial" w:hAnsi="Arial" w:cs="Arial"/>
          <w:color w:val="002060"/>
        </w:rPr>
        <w:t>decidendi</w:t>
      </w:r>
      <w:proofErr w:type="spellEnd"/>
      <w:r w:rsidRPr="00EA5571">
        <w:rPr>
          <w:rFonts w:ascii="Arial" w:hAnsi="Arial" w:cs="Arial"/>
          <w:color w:val="002060"/>
        </w:rPr>
        <w:t xml:space="preserve"> della gravata pronuncia che fa riferimento ad un orario della struttura previsto dall'azienda e alla necessità di una preventiva interlocuzione con il Direttore del Distretto per eventuali deroghe circa l'orario di apertura e chiusura. In particolare, nella sentenza impugnata si ha riguardo alla contrattazione collettiva aziendale mentre il motivo del ricorso si incentra solo sul contratto collettivo nazionale che prevede sì la flessibilità, ma pur sempre nell'ambito delle esigenze organizzative dell'azienda.</w:t>
      </w:r>
    </w:p>
    <w:p w14:paraId="56EDFA0E" w14:textId="77777777" w:rsidR="00D431B2" w:rsidRPr="00EA5571" w:rsidRDefault="00D431B2" w:rsidP="00D431B2">
      <w:pPr>
        <w:rPr>
          <w:rFonts w:ascii="Arial" w:hAnsi="Arial" w:cs="Arial"/>
          <w:color w:val="002060"/>
        </w:rPr>
      </w:pPr>
    </w:p>
    <w:p w14:paraId="029EE107" w14:textId="7C38F092" w:rsidR="00D431B2" w:rsidRPr="00EA5571" w:rsidRDefault="00D431B2" w:rsidP="00D431B2">
      <w:pPr>
        <w:rPr>
          <w:rFonts w:ascii="Arial" w:hAnsi="Arial" w:cs="Arial"/>
          <w:color w:val="002060"/>
        </w:rPr>
      </w:pPr>
      <w:r w:rsidRPr="00EA5571">
        <w:rPr>
          <w:rFonts w:ascii="Arial" w:hAnsi="Arial" w:cs="Arial"/>
          <w:color w:val="002060"/>
        </w:rPr>
        <w:t xml:space="preserve">9. Inoltre, sempre relativamente alle problematiche sull'orario di lavoro, le censure non contestano in modo idoneo le statuizioni dei giudici di seconde cure circa un rilevato difetto di allegazione rispetto ad eventuali variazioni, nel corso degli anni, degli orari di apertura della struttura come indicati dal Direttore del Distretto </w:t>
      </w:r>
      <w:r w:rsidR="00172AD1" w:rsidRPr="00EA5571">
        <w:rPr>
          <w:rFonts w:ascii="Arial" w:hAnsi="Arial" w:cs="Arial"/>
          <w:color w:val="002060"/>
        </w:rPr>
        <w:t>…….</w:t>
      </w:r>
      <w:r w:rsidRPr="00EA5571">
        <w:rPr>
          <w:rFonts w:ascii="Arial" w:hAnsi="Arial" w:cs="Arial"/>
          <w:color w:val="002060"/>
        </w:rPr>
        <w:t xml:space="preserve"> nonché ad ordini di servizio su </w:t>
      </w:r>
      <w:r w:rsidRPr="00EA5571">
        <w:rPr>
          <w:rFonts w:ascii="Arial" w:hAnsi="Arial" w:cs="Arial"/>
          <w:color w:val="002060"/>
        </w:rPr>
        <w:lastRenderedPageBreak/>
        <w:t>tale profilo nel periodo in contestazione. Infine, le censure non contrastano le affermazioni della Corte territoriale in ordine alla ritenuta novità delle circostanze invocate a giustificazione delle timbrature nelle giornate del 3, 4 e 5 dicembre 2014 nonché sulla allegazione per cui le tardive timbrature erano state giustificate da attività sindacale.</w:t>
      </w:r>
    </w:p>
    <w:p w14:paraId="242B7946" w14:textId="77777777" w:rsidR="00D431B2" w:rsidRPr="00EA5571" w:rsidRDefault="00D431B2" w:rsidP="00D431B2">
      <w:pPr>
        <w:rPr>
          <w:rFonts w:ascii="Arial" w:hAnsi="Arial" w:cs="Arial"/>
          <w:color w:val="002060"/>
        </w:rPr>
      </w:pPr>
    </w:p>
    <w:p w14:paraId="32D840F5" w14:textId="77777777" w:rsidR="00D431B2" w:rsidRPr="00EA5571" w:rsidRDefault="00D431B2" w:rsidP="00D431B2">
      <w:pPr>
        <w:rPr>
          <w:rFonts w:ascii="Arial" w:hAnsi="Arial" w:cs="Arial"/>
          <w:color w:val="002060"/>
        </w:rPr>
      </w:pPr>
      <w:r w:rsidRPr="00EA5571">
        <w:rPr>
          <w:rFonts w:ascii="Arial" w:hAnsi="Arial" w:cs="Arial"/>
          <w:color w:val="002060"/>
        </w:rPr>
        <w:t xml:space="preserve">10. Con riguardo alle assenze per la formazione, deve invece rilevarsi che la pronuncia è ancorata a diverse </w:t>
      </w:r>
      <w:proofErr w:type="spellStart"/>
      <w:r w:rsidRPr="00EA5571">
        <w:rPr>
          <w:rFonts w:ascii="Arial" w:hAnsi="Arial" w:cs="Arial"/>
          <w:color w:val="002060"/>
        </w:rPr>
        <w:t>rationes</w:t>
      </w:r>
      <w:proofErr w:type="spellEnd"/>
      <w:r w:rsidRPr="00EA5571">
        <w:rPr>
          <w:rFonts w:ascii="Arial" w:hAnsi="Arial" w:cs="Arial"/>
          <w:color w:val="002060"/>
        </w:rPr>
        <w:t xml:space="preserve"> </w:t>
      </w:r>
      <w:proofErr w:type="spellStart"/>
      <w:r w:rsidRPr="00EA5571">
        <w:rPr>
          <w:rFonts w:ascii="Arial" w:hAnsi="Arial" w:cs="Arial"/>
          <w:color w:val="002060"/>
        </w:rPr>
        <w:t>decidendi</w:t>
      </w:r>
      <w:proofErr w:type="spellEnd"/>
      <w:r w:rsidRPr="00EA5571">
        <w:rPr>
          <w:rFonts w:ascii="Arial" w:hAnsi="Arial" w:cs="Arial"/>
          <w:color w:val="002060"/>
        </w:rPr>
        <w:t>, tra cui quella della mancata prova sulla ricevuta autorizzazione ad assentarsi e sulla effettiva partecipazione, nelle giornate in questione, a corsi e a convegni inerenti alla propria specializzazione e, quindi utili al proprio aggiornamento professionale.</w:t>
      </w:r>
    </w:p>
    <w:p w14:paraId="2D40CF45" w14:textId="77777777" w:rsidR="00D431B2" w:rsidRPr="00EA5571" w:rsidRDefault="00D431B2" w:rsidP="00D431B2">
      <w:pPr>
        <w:rPr>
          <w:rFonts w:ascii="Arial" w:hAnsi="Arial" w:cs="Arial"/>
          <w:color w:val="002060"/>
        </w:rPr>
      </w:pPr>
    </w:p>
    <w:p w14:paraId="2A5C62DC" w14:textId="77777777" w:rsidR="00D431B2" w:rsidRPr="00EA5571" w:rsidRDefault="00D431B2" w:rsidP="00D431B2">
      <w:pPr>
        <w:rPr>
          <w:rFonts w:ascii="Arial" w:hAnsi="Arial" w:cs="Arial"/>
          <w:color w:val="002060"/>
        </w:rPr>
      </w:pPr>
      <w:r w:rsidRPr="00EA5571">
        <w:rPr>
          <w:rFonts w:ascii="Arial" w:hAnsi="Arial" w:cs="Arial"/>
          <w:color w:val="002060"/>
        </w:rPr>
        <w:t xml:space="preserve">11. Sono due accertamenti di fatto, insindacabili in questa sede, sufficienti a sorreggere il </w:t>
      </w:r>
      <w:proofErr w:type="spellStart"/>
      <w:r w:rsidRPr="00EA5571">
        <w:rPr>
          <w:rFonts w:ascii="Arial" w:hAnsi="Arial" w:cs="Arial"/>
          <w:color w:val="002060"/>
        </w:rPr>
        <w:t>decisum</w:t>
      </w:r>
      <w:proofErr w:type="spellEnd"/>
      <w:r w:rsidRPr="00EA5571">
        <w:rPr>
          <w:rFonts w:ascii="Arial" w:hAnsi="Arial" w:cs="Arial"/>
          <w:color w:val="002060"/>
        </w:rPr>
        <w:t>, che, divenuti intangibili, rendono inammissibile ogni altra doglianza.</w:t>
      </w:r>
    </w:p>
    <w:p w14:paraId="35494EC4" w14:textId="77777777" w:rsidR="00D431B2" w:rsidRPr="00EA5571" w:rsidRDefault="00D431B2" w:rsidP="00D431B2">
      <w:pPr>
        <w:rPr>
          <w:rFonts w:ascii="Arial" w:hAnsi="Arial" w:cs="Arial"/>
          <w:color w:val="002060"/>
        </w:rPr>
      </w:pPr>
    </w:p>
    <w:p w14:paraId="585F7B8F" w14:textId="77777777" w:rsidR="00D431B2" w:rsidRPr="00EA5571" w:rsidRDefault="00D431B2" w:rsidP="00D431B2">
      <w:pPr>
        <w:rPr>
          <w:rFonts w:ascii="Arial" w:hAnsi="Arial" w:cs="Arial"/>
          <w:color w:val="002060"/>
        </w:rPr>
      </w:pPr>
      <w:r w:rsidRPr="00EA5571">
        <w:rPr>
          <w:rFonts w:ascii="Arial" w:hAnsi="Arial" w:cs="Arial"/>
          <w:color w:val="002060"/>
        </w:rPr>
        <w:t xml:space="preserve">12. Con il terzo motivo si denuncia la violazione e falsa applicazione dell'art. 55, comma 2, </w:t>
      </w:r>
      <w:proofErr w:type="spellStart"/>
      <w:r w:rsidRPr="00EA5571">
        <w:rPr>
          <w:rFonts w:ascii="Arial" w:hAnsi="Arial" w:cs="Arial"/>
          <w:color w:val="002060"/>
        </w:rPr>
        <w:t>D.Lgs.</w:t>
      </w:r>
      <w:proofErr w:type="spellEnd"/>
      <w:r w:rsidRPr="00EA5571">
        <w:rPr>
          <w:rFonts w:ascii="Arial" w:hAnsi="Arial" w:cs="Arial"/>
          <w:color w:val="002060"/>
        </w:rPr>
        <w:t xml:space="preserve"> n. 165/2001 e degli artt. 7 e 8 CCNL dirigenza medico-veterinaria del 6 maggio 2010, nonché dei principi di tassatività e proporzionalità, per avere la Corte territoriale ritenuto legittima la sospensione dal servizio per sei mesi con privazione della retribuzione, irrogata con nota prot. n. 43573 del 6 maggio 2015, rispetto a mancanze non riconducibili alla fascia sanzionatoria applicata. Si lamenta la violazione dell'art. 8 co. 8 lett. e) del CCNL citato, perché non erano stati dimostrati i disservizi o i danni arrecati all'Azienda, utenti o terzi derivanti dalla condotta del </w:t>
      </w:r>
      <w:proofErr w:type="spellStart"/>
      <w:r w:rsidRPr="00EA5571">
        <w:rPr>
          <w:rFonts w:ascii="Arial" w:hAnsi="Arial" w:cs="Arial"/>
          <w:color w:val="002060"/>
        </w:rPr>
        <w:t>Ba.St</w:t>
      </w:r>
      <w:proofErr w:type="spellEnd"/>
      <w:r w:rsidRPr="00EA5571">
        <w:rPr>
          <w:rFonts w:ascii="Arial" w:hAnsi="Arial" w:cs="Arial"/>
          <w:color w:val="002060"/>
        </w:rPr>
        <w:t xml:space="preserve">. Si deduce, poi, che la Corte aveva valutato la condotta in astratto, senza sussumerla nel quadro dell'incarico del dott. </w:t>
      </w:r>
      <w:proofErr w:type="spellStart"/>
      <w:r w:rsidRPr="00EA5571">
        <w:rPr>
          <w:rFonts w:ascii="Arial" w:hAnsi="Arial" w:cs="Arial"/>
          <w:color w:val="002060"/>
        </w:rPr>
        <w:t>Ba.St</w:t>
      </w:r>
      <w:proofErr w:type="spellEnd"/>
      <w:r w:rsidRPr="00EA5571">
        <w:rPr>
          <w:rFonts w:ascii="Arial" w:hAnsi="Arial" w:cs="Arial"/>
          <w:color w:val="002060"/>
        </w:rPr>
        <w:t>., con pesatura di U.O.S.D., e della disciplina della dirigenza medica, fondata su autonomia, responsabilità organizzativa e orientamento ai risultati; che anche la recidiva era stata valorizzata quale automatica aggravante, senza verificare se i fatti integrassero una progressione disciplinare omogenea o una divergenza interpretativa sul regime di orario, funzione dirigenziale e aggiornamento professionale, che avrebbe imposto una valutazione più aderente ai criteri di gradualità previsti dalla contrattazione collettiva; che non era stato, poi, tenuto conto dalla Corte territoriale il profilo della competenza dell'organo disciplinare: dal verbale di definizione del 6 maggio 2015 risultava un collegio composto dal Direttore Sanitario, dal Direttore Amministrativo e dal Dirigente UOC Affari Generali, ma non dal Direttore Generale né da un suo delegato, benché l'art. 7, comma 4, CCNL 6 maggio 2010 attribuisse al Direttore Generale, o a chi da lui delegato, le determinazioni conclusive nei procedimenti relativi alle sanzioni più gravi, senza prova aziendale di una valida delega.</w:t>
      </w:r>
    </w:p>
    <w:p w14:paraId="62140C4A" w14:textId="77777777" w:rsidR="00D431B2" w:rsidRPr="00EA5571" w:rsidRDefault="00D431B2" w:rsidP="00D431B2">
      <w:pPr>
        <w:rPr>
          <w:rFonts w:ascii="Arial" w:hAnsi="Arial" w:cs="Arial"/>
          <w:color w:val="002060"/>
        </w:rPr>
      </w:pPr>
    </w:p>
    <w:p w14:paraId="36286FF0" w14:textId="77777777" w:rsidR="00D431B2" w:rsidRPr="00EA5571" w:rsidRDefault="00D431B2" w:rsidP="00D431B2">
      <w:pPr>
        <w:rPr>
          <w:rFonts w:ascii="Arial" w:hAnsi="Arial" w:cs="Arial"/>
          <w:color w:val="002060"/>
        </w:rPr>
      </w:pPr>
      <w:r w:rsidRPr="00EA5571">
        <w:rPr>
          <w:rFonts w:ascii="Arial" w:hAnsi="Arial" w:cs="Arial"/>
          <w:color w:val="002060"/>
        </w:rPr>
        <w:t>13. Il motivo non è fondato.</w:t>
      </w:r>
    </w:p>
    <w:p w14:paraId="485B2A18" w14:textId="77777777" w:rsidR="00D431B2" w:rsidRPr="00EA5571" w:rsidRDefault="00D431B2" w:rsidP="00D431B2">
      <w:pPr>
        <w:rPr>
          <w:rFonts w:ascii="Arial" w:hAnsi="Arial" w:cs="Arial"/>
          <w:color w:val="002060"/>
        </w:rPr>
      </w:pPr>
    </w:p>
    <w:p w14:paraId="6C6AC7BD" w14:textId="77777777" w:rsidR="00D431B2" w:rsidRPr="00EA5571" w:rsidRDefault="00D431B2" w:rsidP="00D431B2">
      <w:pPr>
        <w:rPr>
          <w:rFonts w:ascii="Arial" w:hAnsi="Arial" w:cs="Arial"/>
          <w:color w:val="002060"/>
        </w:rPr>
      </w:pPr>
      <w:r w:rsidRPr="00EA5571">
        <w:rPr>
          <w:rFonts w:ascii="Arial" w:hAnsi="Arial" w:cs="Arial"/>
          <w:color w:val="002060"/>
        </w:rPr>
        <w:lastRenderedPageBreak/>
        <w:t xml:space="preserve">14. Le censure riguardanti la illegittimità della sanzione irrogata per mancata prova sul disservizio arrecato all'Azienda sono infondate perché tale elemento è solo uno di quelli da valutare per stabilire l'entità della sanzione, ma non rappresenta un presupposto decisivo della fattispecie disciplinare ("a. salvo che non ricorrano le fattispecie considerate nell'art. 55-quater, comma 1, lett. b) del </w:t>
      </w:r>
      <w:proofErr w:type="spellStart"/>
      <w:r w:rsidRPr="00EA5571">
        <w:rPr>
          <w:rFonts w:ascii="Arial" w:hAnsi="Arial" w:cs="Arial"/>
          <w:color w:val="002060"/>
        </w:rPr>
        <w:t>D.Lgs.</w:t>
      </w:r>
      <w:proofErr w:type="spellEnd"/>
      <w:r w:rsidRPr="00EA5571">
        <w:rPr>
          <w:rFonts w:ascii="Arial" w:hAnsi="Arial" w:cs="Arial"/>
          <w:color w:val="002060"/>
        </w:rPr>
        <w:t xml:space="preserve"> n. 165/2001, assenza ingiustificata dal servizio o arbitrario abbandono dello stesso; in tali ipotesi l'entità della sanzione è determinata in relazione alla durata dell'assenza o dell'abbandono del servizio, al disservizio determinatosi, alla gravità della violazione degli obblighi del dirigente, agli eventuali danni causati all'azienda, agli utenti o ai terzi").</w:t>
      </w:r>
    </w:p>
    <w:p w14:paraId="577D8283" w14:textId="77777777" w:rsidR="00D431B2" w:rsidRPr="00EA5571" w:rsidRDefault="00D431B2" w:rsidP="00D431B2">
      <w:pPr>
        <w:rPr>
          <w:rFonts w:ascii="Arial" w:hAnsi="Arial" w:cs="Arial"/>
          <w:color w:val="002060"/>
        </w:rPr>
      </w:pPr>
    </w:p>
    <w:p w14:paraId="0504C851" w14:textId="77777777" w:rsidR="00D431B2" w:rsidRPr="00EA5571" w:rsidRDefault="00D431B2" w:rsidP="00D431B2">
      <w:pPr>
        <w:rPr>
          <w:rFonts w:ascii="Arial" w:hAnsi="Arial" w:cs="Arial"/>
          <w:color w:val="002060"/>
        </w:rPr>
      </w:pPr>
      <w:r w:rsidRPr="00EA5571">
        <w:rPr>
          <w:rFonts w:ascii="Arial" w:hAnsi="Arial" w:cs="Arial"/>
          <w:color w:val="002060"/>
        </w:rPr>
        <w:t>15. La gravità della condotta è stata ampiamente motivata dalla Corte territoriale, evidenziando che i comportamenti posti in essere denotavano, per l'incolpato, l'assenza di rispetto dei propri doveri e delle proprie responsabilità connesse al ruolo rivestito.</w:t>
      </w:r>
    </w:p>
    <w:p w14:paraId="23856E0B" w14:textId="77777777" w:rsidR="00D431B2" w:rsidRPr="00EA5571" w:rsidRDefault="00D431B2" w:rsidP="00D431B2">
      <w:pPr>
        <w:rPr>
          <w:rFonts w:ascii="Arial" w:hAnsi="Arial" w:cs="Arial"/>
          <w:color w:val="002060"/>
        </w:rPr>
      </w:pPr>
    </w:p>
    <w:p w14:paraId="50DB72B0" w14:textId="77777777" w:rsidR="00D431B2" w:rsidRPr="00EA5571" w:rsidRDefault="00D431B2" w:rsidP="00D431B2">
      <w:pPr>
        <w:rPr>
          <w:rFonts w:ascii="Arial" w:hAnsi="Arial" w:cs="Arial"/>
          <w:color w:val="002060"/>
        </w:rPr>
      </w:pPr>
      <w:r w:rsidRPr="00EA5571">
        <w:rPr>
          <w:rFonts w:ascii="Arial" w:hAnsi="Arial" w:cs="Arial"/>
          <w:color w:val="002060"/>
        </w:rPr>
        <w:t>16. Analogamente, il giudizio di proporzionalità della sanzione è stato ancorato dalla Corte territoriale alla gravità dei fatti commessi, con la ulteriore specificazione che l'inosservanza della disciplina sulla organizzazione dell'orario di lavoro e l'essersi assentato in piena campagna vaccinale avevano rischiato di creare un pregiudizio alla stessa.</w:t>
      </w:r>
    </w:p>
    <w:p w14:paraId="0DCBA9D9" w14:textId="77777777" w:rsidR="00D431B2" w:rsidRPr="00EA5571" w:rsidRDefault="00D431B2" w:rsidP="00D431B2">
      <w:pPr>
        <w:rPr>
          <w:rFonts w:ascii="Arial" w:hAnsi="Arial" w:cs="Arial"/>
          <w:color w:val="002060"/>
        </w:rPr>
      </w:pPr>
    </w:p>
    <w:p w14:paraId="593FB07D" w14:textId="77777777" w:rsidR="00D431B2" w:rsidRPr="00EA5571" w:rsidRDefault="00D431B2" w:rsidP="00D431B2">
      <w:pPr>
        <w:rPr>
          <w:rFonts w:ascii="Arial" w:hAnsi="Arial" w:cs="Arial"/>
          <w:color w:val="002060"/>
        </w:rPr>
      </w:pPr>
      <w:r w:rsidRPr="00EA5571">
        <w:rPr>
          <w:rFonts w:ascii="Arial" w:hAnsi="Arial" w:cs="Arial"/>
          <w:color w:val="002060"/>
        </w:rPr>
        <w:t>17. Trattasi, anche in questo caso, di valutazioni di merito, adeguatamente argomentate e, pertanto, insindacabili in sede di legittimità.</w:t>
      </w:r>
    </w:p>
    <w:p w14:paraId="7B629043" w14:textId="77777777" w:rsidR="00D431B2" w:rsidRPr="00EA5571" w:rsidRDefault="00D431B2" w:rsidP="00D431B2">
      <w:pPr>
        <w:rPr>
          <w:rFonts w:ascii="Arial" w:hAnsi="Arial" w:cs="Arial"/>
          <w:color w:val="002060"/>
        </w:rPr>
      </w:pPr>
    </w:p>
    <w:p w14:paraId="0F4546EA" w14:textId="77777777" w:rsidR="00D431B2" w:rsidRPr="00EA5571" w:rsidRDefault="00D431B2" w:rsidP="00D431B2">
      <w:pPr>
        <w:rPr>
          <w:rFonts w:ascii="Arial" w:hAnsi="Arial" w:cs="Arial"/>
          <w:color w:val="002060"/>
        </w:rPr>
      </w:pPr>
      <w:r w:rsidRPr="00EA5571">
        <w:rPr>
          <w:rFonts w:ascii="Arial" w:hAnsi="Arial" w:cs="Arial"/>
          <w:color w:val="002060"/>
        </w:rPr>
        <w:t>18. Circa, infine, le doglianze sulla incompetenza dell'organo che aveva inflitto la sanzione disciplinare, va osservato che si tratta di una questione nuova, comportante accertamenti di fatto, non affrontata nella gravata sentenza e in relazione alla quale il ricorrente non ha specificato il "dove", il "come" ed il "quando" la stessa era stata sottoposta, negli esatti termini oggi prospettati, ai giudici del merito.</w:t>
      </w:r>
    </w:p>
    <w:p w14:paraId="6FBE3A20" w14:textId="77777777" w:rsidR="00D431B2" w:rsidRPr="00EA5571" w:rsidRDefault="00D431B2" w:rsidP="00D431B2">
      <w:pPr>
        <w:rPr>
          <w:rFonts w:ascii="Arial" w:hAnsi="Arial" w:cs="Arial"/>
          <w:color w:val="002060"/>
        </w:rPr>
      </w:pPr>
    </w:p>
    <w:p w14:paraId="6FC8C386" w14:textId="77777777" w:rsidR="00D431B2" w:rsidRPr="00EA5571" w:rsidRDefault="00D431B2" w:rsidP="00D431B2">
      <w:pPr>
        <w:rPr>
          <w:rFonts w:ascii="Arial" w:hAnsi="Arial" w:cs="Arial"/>
          <w:color w:val="002060"/>
        </w:rPr>
      </w:pPr>
      <w:r w:rsidRPr="00EA5571">
        <w:rPr>
          <w:rFonts w:ascii="Arial" w:hAnsi="Arial" w:cs="Arial"/>
          <w:color w:val="002060"/>
        </w:rPr>
        <w:t>19. Quanto sopra a prescindere dal difetto di specificità delle censure, fondate sul verbale del 6.5.2014, di cui non viene riportato il contenuto integrale onde potere operare il controllo di legittimità richiesto a questa Corte.</w:t>
      </w:r>
    </w:p>
    <w:p w14:paraId="0401ED16" w14:textId="77777777" w:rsidR="00D431B2" w:rsidRPr="00EA5571" w:rsidRDefault="00D431B2" w:rsidP="00D431B2">
      <w:pPr>
        <w:rPr>
          <w:rFonts w:ascii="Arial" w:hAnsi="Arial" w:cs="Arial"/>
          <w:color w:val="002060"/>
        </w:rPr>
      </w:pPr>
    </w:p>
    <w:p w14:paraId="58F10CC7" w14:textId="77777777" w:rsidR="00D431B2" w:rsidRPr="00EA5571" w:rsidRDefault="00D431B2" w:rsidP="00D431B2">
      <w:pPr>
        <w:rPr>
          <w:rFonts w:ascii="Arial" w:hAnsi="Arial" w:cs="Arial"/>
          <w:color w:val="002060"/>
        </w:rPr>
      </w:pPr>
      <w:r w:rsidRPr="00EA5571">
        <w:rPr>
          <w:rFonts w:ascii="Arial" w:hAnsi="Arial" w:cs="Arial"/>
          <w:color w:val="002060"/>
        </w:rPr>
        <w:t>20. Alla stregua di quanto esposto, il ricorso deve essere rigettato.</w:t>
      </w:r>
    </w:p>
    <w:p w14:paraId="32841971" w14:textId="77777777" w:rsidR="00D431B2" w:rsidRPr="00EA5571" w:rsidRDefault="00D431B2" w:rsidP="00D431B2">
      <w:pPr>
        <w:rPr>
          <w:rFonts w:ascii="Arial" w:hAnsi="Arial" w:cs="Arial"/>
          <w:color w:val="002060"/>
        </w:rPr>
      </w:pPr>
    </w:p>
    <w:p w14:paraId="10D0D427" w14:textId="77777777" w:rsidR="00D431B2" w:rsidRPr="00EA5571" w:rsidRDefault="00D431B2" w:rsidP="00D431B2">
      <w:pPr>
        <w:rPr>
          <w:rFonts w:ascii="Arial" w:hAnsi="Arial" w:cs="Arial"/>
          <w:color w:val="002060"/>
        </w:rPr>
      </w:pPr>
      <w:r w:rsidRPr="00EA5571">
        <w:rPr>
          <w:rFonts w:ascii="Arial" w:hAnsi="Arial" w:cs="Arial"/>
          <w:color w:val="002060"/>
        </w:rPr>
        <w:t xml:space="preserve">21. Nulla va disposto in ordine alle spese del presente giudizio non avendo </w:t>
      </w:r>
      <w:proofErr w:type="gramStart"/>
      <w:r w:rsidRPr="00EA5571">
        <w:rPr>
          <w:rFonts w:ascii="Arial" w:hAnsi="Arial" w:cs="Arial"/>
          <w:color w:val="002060"/>
        </w:rPr>
        <w:t>l'intimata svolto</w:t>
      </w:r>
      <w:proofErr w:type="gramEnd"/>
      <w:r w:rsidRPr="00EA5571">
        <w:rPr>
          <w:rFonts w:ascii="Arial" w:hAnsi="Arial" w:cs="Arial"/>
          <w:color w:val="002060"/>
        </w:rPr>
        <w:t xml:space="preserve"> attività difensiva.</w:t>
      </w:r>
    </w:p>
    <w:p w14:paraId="36679650" w14:textId="77777777" w:rsidR="00D431B2" w:rsidRPr="00EA5571" w:rsidRDefault="00D431B2" w:rsidP="00D431B2">
      <w:pPr>
        <w:rPr>
          <w:rFonts w:ascii="Arial" w:hAnsi="Arial" w:cs="Arial"/>
          <w:color w:val="002060"/>
        </w:rPr>
      </w:pPr>
    </w:p>
    <w:p w14:paraId="3EFE531B" w14:textId="77777777" w:rsidR="00D431B2" w:rsidRPr="00EA5571" w:rsidRDefault="00D431B2" w:rsidP="00D431B2">
      <w:pPr>
        <w:rPr>
          <w:rFonts w:ascii="Arial" w:hAnsi="Arial" w:cs="Arial"/>
          <w:color w:val="002060"/>
        </w:rPr>
      </w:pPr>
      <w:r w:rsidRPr="00EA5571">
        <w:rPr>
          <w:rFonts w:ascii="Arial" w:hAnsi="Arial" w:cs="Arial"/>
          <w:color w:val="002060"/>
        </w:rPr>
        <w:lastRenderedPageBreak/>
        <w:t>P.Q.M.</w:t>
      </w:r>
    </w:p>
    <w:p w14:paraId="3DC6F6B2" w14:textId="77777777" w:rsidR="00D431B2" w:rsidRPr="00EA5571" w:rsidRDefault="00D431B2" w:rsidP="00D431B2">
      <w:pPr>
        <w:rPr>
          <w:rFonts w:ascii="Arial" w:hAnsi="Arial" w:cs="Arial"/>
          <w:color w:val="002060"/>
        </w:rPr>
      </w:pPr>
    </w:p>
    <w:p w14:paraId="14F2D3DF" w14:textId="77777777" w:rsidR="00D431B2" w:rsidRPr="00EA5571" w:rsidRDefault="00D431B2" w:rsidP="00D431B2">
      <w:pPr>
        <w:rPr>
          <w:rFonts w:ascii="Arial" w:hAnsi="Arial" w:cs="Arial"/>
          <w:color w:val="002060"/>
        </w:rPr>
      </w:pPr>
      <w:r w:rsidRPr="00EA5571">
        <w:rPr>
          <w:rFonts w:ascii="Arial" w:hAnsi="Arial" w:cs="Arial"/>
          <w:color w:val="002060"/>
        </w:rPr>
        <w:t>La Corte rigetta il ricorso.</w:t>
      </w:r>
    </w:p>
    <w:p w14:paraId="42B6D73F" w14:textId="77777777" w:rsidR="00D431B2" w:rsidRPr="00EA5571" w:rsidRDefault="00D431B2" w:rsidP="00D431B2">
      <w:pPr>
        <w:rPr>
          <w:rFonts w:ascii="Arial" w:hAnsi="Arial" w:cs="Arial"/>
          <w:color w:val="002060"/>
        </w:rPr>
      </w:pPr>
    </w:p>
    <w:p w14:paraId="7B6C5F6E" w14:textId="77777777" w:rsidR="00D431B2" w:rsidRPr="00EA5571" w:rsidRDefault="00D431B2" w:rsidP="00D431B2">
      <w:pPr>
        <w:rPr>
          <w:rFonts w:ascii="Arial" w:hAnsi="Arial" w:cs="Arial"/>
          <w:color w:val="002060"/>
        </w:rPr>
      </w:pPr>
      <w:r w:rsidRPr="00EA5571">
        <w:rPr>
          <w:rFonts w:ascii="Arial" w:hAnsi="Arial" w:cs="Arial"/>
          <w:color w:val="002060"/>
        </w:rPr>
        <w:t>Ai sensi dell'art. 13, comma 1-quater, del D.P.R. n. 115/02 dà atto della sussistenza dei presupposti processuali per il versamento, da parte del ricorrente, dell'ulteriore importo a titolo di contributo unificato, pari a quello previsto per il ricorso, a norma del comma 1-bis dello stesso art. 13, se dovuto.</w:t>
      </w:r>
    </w:p>
    <w:p w14:paraId="0795ED1C" w14:textId="77777777" w:rsidR="00D431B2" w:rsidRPr="00EA5571" w:rsidRDefault="00D431B2" w:rsidP="00D431B2">
      <w:pPr>
        <w:rPr>
          <w:rFonts w:ascii="Arial" w:hAnsi="Arial" w:cs="Arial"/>
          <w:color w:val="002060"/>
        </w:rPr>
      </w:pPr>
    </w:p>
    <w:p w14:paraId="1DB5FF40" w14:textId="77777777" w:rsidR="00D431B2" w:rsidRPr="00EA5571" w:rsidRDefault="00D431B2" w:rsidP="00D431B2">
      <w:pPr>
        <w:rPr>
          <w:rFonts w:ascii="Arial" w:hAnsi="Arial" w:cs="Arial"/>
          <w:color w:val="002060"/>
        </w:rPr>
      </w:pPr>
      <w:r w:rsidRPr="00EA5571">
        <w:rPr>
          <w:rFonts w:ascii="Arial" w:hAnsi="Arial" w:cs="Arial"/>
          <w:color w:val="002060"/>
        </w:rPr>
        <w:t>Così deciso in Roma, nella camera di consiglio, il 20 maggio 2026.</w:t>
      </w:r>
    </w:p>
    <w:p w14:paraId="6A0DF6F1" w14:textId="77777777" w:rsidR="00D431B2" w:rsidRPr="00EA5571" w:rsidRDefault="00D431B2" w:rsidP="00D431B2">
      <w:pPr>
        <w:rPr>
          <w:rFonts w:ascii="Arial" w:hAnsi="Arial" w:cs="Arial"/>
          <w:color w:val="002060"/>
        </w:rPr>
      </w:pPr>
    </w:p>
    <w:p w14:paraId="6DB5E6F1" w14:textId="34C75A56" w:rsidR="0028686D" w:rsidRPr="00EA5571" w:rsidRDefault="00D431B2" w:rsidP="00D431B2">
      <w:pPr>
        <w:rPr>
          <w:rFonts w:ascii="Arial" w:hAnsi="Arial" w:cs="Arial"/>
          <w:color w:val="002060"/>
        </w:rPr>
      </w:pPr>
      <w:r w:rsidRPr="00EA5571">
        <w:rPr>
          <w:rFonts w:ascii="Arial" w:hAnsi="Arial" w:cs="Arial"/>
          <w:color w:val="002060"/>
        </w:rPr>
        <w:t>Depositata in Cancelleria il 16 luglio 2026.</w:t>
      </w:r>
    </w:p>
    <w:sectPr w:rsidR="0028686D" w:rsidRPr="00EA55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1B2"/>
    <w:rsid w:val="00172AD1"/>
    <w:rsid w:val="0028686D"/>
    <w:rsid w:val="003D4BEA"/>
    <w:rsid w:val="00502409"/>
    <w:rsid w:val="0069514C"/>
    <w:rsid w:val="00771426"/>
    <w:rsid w:val="00AB5BF8"/>
    <w:rsid w:val="00AF2CA4"/>
    <w:rsid w:val="00D258BD"/>
    <w:rsid w:val="00D431B2"/>
    <w:rsid w:val="00EA5571"/>
    <w:rsid w:val="00F156AA"/>
    <w:rsid w:val="00FC05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84EF4"/>
  <w15:chartTrackingRefBased/>
  <w15:docId w15:val="{1B81E40C-9528-4445-9375-859F5803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43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43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431B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431B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431B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431B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431B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431B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431B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431B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431B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431B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431B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431B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431B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431B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431B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431B2"/>
    <w:rPr>
      <w:rFonts w:eastAsiaTheme="majorEastAsia" w:cstheme="majorBidi"/>
      <w:color w:val="272727" w:themeColor="text1" w:themeTint="D8"/>
    </w:rPr>
  </w:style>
  <w:style w:type="paragraph" w:styleId="Titolo">
    <w:name w:val="Title"/>
    <w:basedOn w:val="Normale"/>
    <w:next w:val="Normale"/>
    <w:link w:val="TitoloCarattere"/>
    <w:uiPriority w:val="10"/>
    <w:qFormat/>
    <w:rsid w:val="00D43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431B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431B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431B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431B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431B2"/>
    <w:rPr>
      <w:i/>
      <w:iCs/>
      <w:color w:val="404040" w:themeColor="text1" w:themeTint="BF"/>
    </w:rPr>
  </w:style>
  <w:style w:type="paragraph" w:styleId="Paragrafoelenco">
    <w:name w:val="List Paragraph"/>
    <w:basedOn w:val="Normale"/>
    <w:uiPriority w:val="34"/>
    <w:qFormat/>
    <w:rsid w:val="00D431B2"/>
    <w:pPr>
      <w:ind w:left="720"/>
      <w:contextualSpacing/>
    </w:pPr>
  </w:style>
  <w:style w:type="character" w:styleId="Enfasiintensa">
    <w:name w:val="Intense Emphasis"/>
    <w:basedOn w:val="Carpredefinitoparagrafo"/>
    <w:uiPriority w:val="21"/>
    <w:qFormat/>
    <w:rsid w:val="00D431B2"/>
    <w:rPr>
      <w:i/>
      <w:iCs/>
      <w:color w:val="0F4761" w:themeColor="accent1" w:themeShade="BF"/>
    </w:rPr>
  </w:style>
  <w:style w:type="paragraph" w:styleId="Citazioneintensa">
    <w:name w:val="Intense Quote"/>
    <w:basedOn w:val="Normale"/>
    <w:next w:val="Normale"/>
    <w:link w:val="CitazioneintensaCarattere"/>
    <w:uiPriority w:val="30"/>
    <w:qFormat/>
    <w:rsid w:val="00D43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431B2"/>
    <w:rPr>
      <w:i/>
      <w:iCs/>
      <w:color w:val="0F4761" w:themeColor="accent1" w:themeShade="BF"/>
    </w:rPr>
  </w:style>
  <w:style w:type="character" w:styleId="Riferimentointenso">
    <w:name w:val="Intense Reference"/>
    <w:basedOn w:val="Carpredefinitoparagrafo"/>
    <w:uiPriority w:val="32"/>
    <w:qFormat/>
    <w:rsid w:val="00D431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2501</Words>
  <Characters>14259</Characters>
  <Application>Microsoft Office Word</Application>
  <DocSecurity>0</DocSecurity>
  <Lines>118</Lines>
  <Paragraphs>33</Paragraphs>
  <ScaleCrop>false</ScaleCrop>
  <Company>FNOMCeO</Company>
  <LinksUpToDate>false</LinksUpToDate>
  <CharactersWithSpaces>16727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Fontana</dc:creator>
  <cp:keywords/>
  <dc:description/>
  <cp:lastModifiedBy>Marcello Fontana</cp:lastModifiedBy>
  <cp:revision>9</cp:revision>
  <dcterms:created xsi:type="dcterms:W3CDTF">2026-07-27T12:38:00Z</dcterms:created>
  <dcterms:modified xsi:type="dcterms:W3CDTF">2026-07-27T12:57:00Z</dcterms:modified>
</cp:coreProperties>
</file>