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FB779" w14:textId="77777777" w:rsidR="00A22B86" w:rsidRDefault="00A22B86" w:rsidP="00A22B86">
      <w:pPr>
        <w:pStyle w:val="titolo0"/>
        <w:shd w:val="clear" w:color="auto" w:fill="FFFFFF"/>
        <w:jc w:val="both"/>
        <w:rPr>
          <w:rFonts w:ascii="Arial" w:hAnsi="Arial" w:cs="Arial"/>
          <w:color w:val="002060"/>
          <w:sz w:val="28"/>
          <w:szCs w:val="28"/>
        </w:rPr>
      </w:pPr>
      <w:r>
        <w:rPr>
          <w:rStyle w:val="Enfasigrassetto"/>
          <w:rFonts w:ascii="Arial" w:hAnsi="Arial" w:cs="Arial"/>
          <w:color w:val="002060"/>
          <w:sz w:val="28"/>
          <w:szCs w:val="28"/>
        </w:rPr>
        <w:t>Disposizioni in materia di organizzazione e funzionamento della Commissione centrale per gli esercenti le professioni sanitarie - C. 2880 Governo – Assegnato alla Commissione Giustizia – Nominato relatore On. Paolo Pulciani.</w:t>
      </w:r>
    </w:p>
    <w:p w14:paraId="3CBE9D62" w14:textId="77777777" w:rsidR="00A22B86" w:rsidRDefault="00A22B86" w:rsidP="00A22B86">
      <w:pPr>
        <w:pStyle w:val="NormaleWeb"/>
        <w:shd w:val="clear" w:color="auto" w:fill="FFFFFF"/>
        <w:rPr>
          <w:rFonts w:ascii="Arial" w:hAnsi="Arial" w:cs="Arial"/>
          <w:sz w:val="28"/>
          <w:szCs w:val="28"/>
        </w:rPr>
      </w:pPr>
      <w:r>
        <w:rPr>
          <w:rFonts w:ascii="Arial" w:hAnsi="Arial" w:cs="Arial"/>
          <w:sz w:val="28"/>
          <w:szCs w:val="28"/>
        </w:rPr>
        <w:t>Nella seduta del 15.7.26 si è svolta la relazione del provvedimento che si riporta di seguito.</w:t>
      </w:r>
    </w:p>
    <w:p w14:paraId="77A89F53" w14:textId="77777777" w:rsidR="00A22B86" w:rsidRDefault="00A22B86" w:rsidP="00A22B86">
      <w:pPr>
        <w:pStyle w:val="NormaleWeb"/>
        <w:shd w:val="clear" w:color="auto" w:fill="FFFFFF"/>
        <w:rPr>
          <w:rFonts w:ascii="Arial" w:hAnsi="Arial" w:cs="Arial"/>
          <w:sz w:val="28"/>
          <w:szCs w:val="28"/>
        </w:rPr>
      </w:pPr>
      <w:r>
        <w:rPr>
          <w:rFonts w:ascii="Arial" w:hAnsi="Arial" w:cs="Arial"/>
          <w:sz w:val="28"/>
          <w:szCs w:val="28"/>
        </w:rPr>
        <w:t>“La Commissione inizia l'esame del provvedimento.</w:t>
      </w:r>
    </w:p>
    <w:p w14:paraId="1AF5347B" w14:textId="77777777" w:rsidR="00A22B86" w:rsidRDefault="00A22B86" w:rsidP="00A22B86">
      <w:pPr>
        <w:pStyle w:val="intervento"/>
        <w:shd w:val="clear" w:color="auto" w:fill="FFFFFF"/>
        <w:jc w:val="both"/>
        <w:rPr>
          <w:rFonts w:ascii="Arial" w:hAnsi="Arial" w:cs="Arial"/>
          <w:b/>
          <w:bCs/>
          <w:sz w:val="28"/>
          <w:szCs w:val="28"/>
        </w:rPr>
      </w:pPr>
      <w:r>
        <w:rPr>
          <w:rFonts w:ascii="Arial" w:hAnsi="Arial" w:cs="Arial"/>
          <w:sz w:val="28"/>
          <w:szCs w:val="28"/>
        </w:rPr>
        <w:t> </w:t>
      </w:r>
      <w:r>
        <w:rPr>
          <w:rFonts w:ascii="Arial" w:hAnsi="Arial" w:cs="Arial"/>
          <w:sz w:val="28"/>
          <w:szCs w:val="28"/>
        </w:rPr>
        <w:t> </w:t>
      </w:r>
      <w:hyperlink r:id="rId4" w:history="1">
        <w:r>
          <w:rPr>
            <w:rStyle w:val="Collegamentoipertestuale"/>
            <w:rFonts w:ascii="Arial" w:hAnsi="Arial" w:cs="Arial"/>
            <w:color w:val="auto"/>
            <w:sz w:val="28"/>
            <w:szCs w:val="28"/>
            <w:u w:val="none"/>
          </w:rPr>
          <w:t>Paolo PULCIANI</w:t>
        </w:r>
      </w:hyperlink>
      <w:r>
        <w:rPr>
          <w:rFonts w:ascii="Arial" w:hAnsi="Arial" w:cs="Arial"/>
          <w:sz w:val="28"/>
          <w:szCs w:val="28"/>
        </w:rPr>
        <w:t> (FDI), </w:t>
      </w:r>
      <w:r>
        <w:rPr>
          <w:rStyle w:val="Enfasicorsivo"/>
          <w:rFonts w:ascii="Arial" w:hAnsi="Arial" w:cs="Arial"/>
          <w:sz w:val="28"/>
          <w:szCs w:val="28"/>
        </w:rPr>
        <w:t>relatore,</w:t>
      </w:r>
      <w:r>
        <w:rPr>
          <w:rFonts w:ascii="Arial" w:hAnsi="Arial" w:cs="Arial"/>
          <w:sz w:val="28"/>
          <w:szCs w:val="28"/>
        </w:rPr>
        <w:t> fa presente che il disegno di legge C. 2880 reca un'ampia riforma dell'assetto normativo e organizzativo della Commissione centrale per gli esercenti le professioni sanitarie, ovvero dell'organo di giurisdizione speciale competente a decidere sui ricorsi avverso i provvedimenti adottati dagli Ordini e dalle Federazioni nazionali delle professioni sanitarie in materia disciplinare, di iscrizione e cancellazione dagli albi nonché in ambito elettorale.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b/>
          <w:bCs/>
          <w:sz w:val="28"/>
          <w:szCs w:val="28"/>
          <w:highlight w:val="cyan"/>
        </w:rPr>
        <w:t>La finalità di tale intervento, come si legge nella relazione illustrativa, risiede nella necessità di aggiornarne l'assetto organizzativo e procedurale, fissato da testi estremamente risalenti e non più adeguati all'evoluzione del sistema degli ordini professionali e agli attuali volumi di contenzioso.</w:t>
      </w:r>
      <w:r>
        <w:rPr>
          <w:rFonts w:ascii="Arial" w:hAnsi="Arial" w:cs="Arial"/>
          <w:b/>
          <w:bCs/>
          <w:sz w:val="28"/>
          <w:szCs w:val="28"/>
          <w:highlight w:val="cyan"/>
        </w:rPr>
        <w:br/>
      </w:r>
      <w:r>
        <w:rPr>
          <w:rFonts w:ascii="Arial" w:hAnsi="Arial" w:cs="Arial"/>
          <w:b/>
          <w:bCs/>
          <w:sz w:val="28"/>
          <w:szCs w:val="28"/>
          <w:highlight w:val="cyan"/>
        </w:rPr>
        <w:t> </w:t>
      </w:r>
      <w:r>
        <w:rPr>
          <w:rFonts w:ascii="Arial" w:hAnsi="Arial" w:cs="Arial"/>
          <w:b/>
          <w:bCs/>
          <w:sz w:val="28"/>
          <w:szCs w:val="28"/>
          <w:highlight w:val="cyan"/>
        </w:rPr>
        <w:t> </w:t>
      </w:r>
      <w:r>
        <w:rPr>
          <w:rFonts w:ascii="Arial" w:hAnsi="Arial" w:cs="Arial"/>
          <w:b/>
          <w:bCs/>
          <w:sz w:val="28"/>
          <w:szCs w:val="28"/>
          <w:highlight w:val="cyan"/>
        </w:rPr>
        <w:t>A seguito del riordino operato dalla legge n. 3 del 2018, il sistema comprende adesso 31 professioni sanitarie e sociosanitarie, afferenti a 10 Federazioni nazionali, con oltre 1,5 milioni di iscritti e risultano attualmente pendenti circa 900 procedimenti.</w:t>
      </w:r>
      <w:r>
        <w:rPr>
          <w:rFonts w:ascii="Arial" w:hAnsi="Arial" w:cs="Arial"/>
          <w:b/>
          <w:bCs/>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 xml:space="preserve">Nella relazione illustrativa si evidenzia come – alla luce dell'entità dell'arretrato e dei tempi di conclusione dei medesimi procedimenti disciplinari – l'attuale previsione che ricollega alla mera proposizione del ricorso la sospensione automatica dell'efficacia delle sanzioni disciplinari fino alla definizione del giudizio produca l'effetto di consentire la prosecuzione dell'esercizio dell'attività sanitaria da parte di professionisti destinatari di provvedimenti di sospensione o di radiazione: </w:t>
      </w:r>
      <w:r>
        <w:rPr>
          <w:rFonts w:ascii="Arial" w:hAnsi="Arial" w:cs="Arial"/>
          <w:b/>
          <w:bCs/>
          <w:sz w:val="28"/>
          <w:szCs w:val="28"/>
        </w:rPr>
        <w:t>«ne deriva un'alterazione del bilanciamento tra il diritto di difesa e la tutela dell'interesse pubblico primario alla sicurezza delle cure e alla protezione della salute, di cui all'articolo 32 della Costituzione».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b/>
          <w:bCs/>
          <w:sz w:val="28"/>
          <w:szCs w:val="28"/>
          <w:highlight w:val="cyan"/>
        </w:rPr>
        <w:t>Il disegno di legge in esame si propone quindi di modificare il decreto legislativo del Capo provvisorio dello Stato n. 233 del 1946 e dettare disposizioni transitorie e finali necessarie ai fini dell'attuazione della riforma e per il passaggio dal vecchio al nuovo regime.</w:t>
      </w:r>
      <w:r>
        <w:rPr>
          <w:rFonts w:ascii="Arial" w:hAnsi="Arial" w:cs="Arial"/>
          <w:b/>
          <w:bCs/>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L'articolo 1 sostituisce integralmente gli articoli 17, 18 e 19 del suddetto decreto legislativo e introduce i nuovi articoli da 18-</w:t>
      </w:r>
      <w:r>
        <w:rPr>
          <w:rStyle w:val="Enfasicorsivo"/>
          <w:rFonts w:ascii="Arial" w:hAnsi="Arial" w:cs="Arial"/>
          <w:sz w:val="28"/>
          <w:szCs w:val="28"/>
        </w:rPr>
        <w:t>bis</w:t>
      </w:r>
      <w:r>
        <w:rPr>
          <w:rFonts w:ascii="Arial" w:hAnsi="Arial" w:cs="Arial"/>
          <w:sz w:val="28"/>
          <w:szCs w:val="28"/>
        </w:rPr>
        <w:t> a 18-</w:t>
      </w:r>
      <w:r>
        <w:rPr>
          <w:rStyle w:val="Enfasicorsivo"/>
          <w:rFonts w:ascii="Arial" w:hAnsi="Arial" w:cs="Arial"/>
          <w:sz w:val="28"/>
          <w:szCs w:val="28"/>
        </w:rPr>
        <w:t>vicies</w:t>
      </w:r>
      <w:r>
        <w:rPr>
          <w:rFonts w:ascii="Arial" w:hAnsi="Arial" w:cs="Arial"/>
          <w:sz w:val="28"/>
          <w:szCs w:val="28"/>
        </w:rPr>
        <w:t> e da 19-</w:t>
      </w:r>
      <w:r>
        <w:rPr>
          <w:rStyle w:val="Enfasicorsivo"/>
          <w:rFonts w:ascii="Arial" w:hAnsi="Arial" w:cs="Arial"/>
          <w:sz w:val="28"/>
          <w:szCs w:val="28"/>
        </w:rPr>
        <w:t>bis</w:t>
      </w:r>
      <w:r>
        <w:rPr>
          <w:rFonts w:ascii="Arial" w:hAnsi="Arial" w:cs="Arial"/>
          <w:sz w:val="28"/>
          <w:szCs w:val="28"/>
        </w:rPr>
        <w:t> a 19-</w:t>
      </w:r>
      <w:r>
        <w:rPr>
          <w:rStyle w:val="Enfasicorsivo"/>
          <w:rFonts w:ascii="Arial" w:hAnsi="Arial" w:cs="Arial"/>
          <w:sz w:val="28"/>
          <w:szCs w:val="28"/>
        </w:rPr>
        <w:t>quinquies</w:t>
      </w:r>
      <w:r>
        <w:rPr>
          <w:rFonts w:ascii="Arial" w:hAnsi="Arial" w:cs="Arial"/>
          <w:sz w:val="28"/>
          <w:szCs w:val="28"/>
        </w:rPr>
        <w:t>.</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 xml:space="preserve">Il novellato articolo 17, ai commi da 1 a 6, prevede l'istituzione della </w:t>
      </w:r>
      <w:r>
        <w:rPr>
          <w:rFonts w:ascii="Arial" w:hAnsi="Arial" w:cs="Arial"/>
          <w:sz w:val="28"/>
          <w:szCs w:val="28"/>
        </w:rPr>
        <w:lastRenderedPageBreak/>
        <w:t>Commissione centrale presso il Ministero della salute e ne determina la composizione, l'adozione del regolamento interno, la nomina dei componenti e gli organi di vertice, nonché la durata della carica.</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Nel confermare la disciplina vigente in ordine alla costituzione e nomina dei componenti con decreto del Presidente del Consiglio dei ministri su proposta del Ministro della salute, di concerto con il Ministro della giustizia, il disegno di legge in esame dispone l'adozione di un regolamento interno e fissa criteri di composizione predeterminati.</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b/>
          <w:bCs/>
          <w:sz w:val="28"/>
          <w:szCs w:val="28"/>
        </w:rPr>
        <w:t>La relazione illustrativa richiama al riguardo la sentenza della Corte Costituzionale, n. 215 del 7 ottobre 2016, che ha riconosciuto essere la Commissione centrale nel novero dei «giudici speciali assentiti dalla Costituzione», per i quali deve essere assicurata l'indipendenza. In tale ambito è stata quindi dichiarata l'illegittimità costituzionale dell'articolo previgente nella parte in cui prevedeva la presenza, nella Commissione centrale, di componenti di derivazione ministeriale, autorità parte in causa nei procedimenti e che esercita funzioni di vigilanza sul settore.</w:t>
      </w:r>
      <w:r>
        <w:rPr>
          <w:rFonts w:ascii="Arial" w:hAnsi="Arial" w:cs="Arial"/>
          <w:b/>
          <w:bCs/>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 commi da 7 a 12 recano invece norme di funzionamento, come il </w:t>
      </w:r>
      <w:r>
        <w:rPr>
          <w:rStyle w:val="Enfasicorsivo"/>
          <w:rFonts w:ascii="Arial" w:hAnsi="Arial" w:cs="Arial"/>
          <w:sz w:val="28"/>
          <w:szCs w:val="28"/>
        </w:rPr>
        <w:t>quorum</w:t>
      </w:r>
      <w:r>
        <w:rPr>
          <w:rFonts w:ascii="Arial" w:hAnsi="Arial" w:cs="Arial"/>
          <w:sz w:val="28"/>
          <w:szCs w:val="28"/>
        </w:rPr>
        <w:t> per la validità delle udienze delle due sezioni, l'intervento dei membri supplenti, la disciplina delle sedute plenarie, le sostituzioni dei membri ed è infine stabilita la gratuità della partecipazione.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b/>
          <w:bCs/>
          <w:sz w:val="28"/>
          <w:szCs w:val="28"/>
          <w:highlight w:val="cyan"/>
        </w:rPr>
        <w:t>Il novellato articolo 18 definisce l'ambito della giurisdizione della Commissione centrale, attribuendole giurisdizione esclusiva sui ricorsi in materia disciplinare, di iscrizione e cancellazione dagli albi, di operazioni elettorali e di ottemperanza ai propri provvedimenti giurisdizionali.</w:t>
      </w:r>
    </w:p>
    <w:p w14:paraId="4BEB19F1" w14:textId="77777777" w:rsidR="00A22B86" w:rsidRDefault="00A22B86" w:rsidP="00A22B86">
      <w:pPr>
        <w:pStyle w:val="NormaleWeb"/>
        <w:shd w:val="clear" w:color="auto" w:fill="FFFFFF"/>
        <w:jc w:val="both"/>
        <w:rPr>
          <w:rFonts w:ascii="Arial" w:hAnsi="Arial" w:cs="Arial"/>
          <w:b/>
          <w:bCs/>
          <w:sz w:val="28"/>
          <w:szCs w:val="28"/>
        </w:rPr>
      </w:pPr>
      <w:r>
        <w:rPr>
          <w:rFonts w:ascii="Arial" w:hAnsi="Arial" w:cs="Arial"/>
          <w:sz w:val="28"/>
          <w:szCs w:val="28"/>
        </w:rPr>
        <w:t> </w:t>
      </w:r>
      <w:r>
        <w:rPr>
          <w:rFonts w:ascii="Arial" w:hAnsi="Arial" w:cs="Arial"/>
          <w:sz w:val="28"/>
          <w:szCs w:val="28"/>
        </w:rPr>
        <w:t> </w:t>
      </w:r>
      <w:r>
        <w:rPr>
          <w:rFonts w:ascii="Arial" w:hAnsi="Arial" w:cs="Arial"/>
          <w:sz w:val="28"/>
          <w:szCs w:val="28"/>
        </w:rPr>
        <w:t>La Commissione esercita, altresì, in via esclusiva, l'azione disciplinare nei confronti dei propri membri professionisti e dei membri dei comitati centrali e delle commissioni di albo delle federazioni nazionali.</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nuovo articolo 18-</w:t>
      </w:r>
      <w:r>
        <w:rPr>
          <w:rStyle w:val="Enfasicorsivo"/>
          <w:rFonts w:ascii="Arial" w:hAnsi="Arial" w:cs="Arial"/>
          <w:sz w:val="28"/>
          <w:szCs w:val="28"/>
        </w:rPr>
        <w:t>bis</w:t>
      </w:r>
      <w:r>
        <w:rPr>
          <w:rFonts w:ascii="Arial" w:hAnsi="Arial" w:cs="Arial"/>
          <w:sz w:val="28"/>
          <w:szCs w:val="28"/>
        </w:rPr>
        <w:t> disciplina l'astensione e la ricusazione dei componenti della Commissione centrale, rinviando – a tal fine – alla relativa disciplina dettata dagli articoli 51 e 52 del codice di procedura civile.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Si prevede, inoltre, che l'istanza di ricusazione sia decisa dalla Commissione medesima.</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 nuovi articoli da 18-</w:t>
      </w:r>
      <w:r>
        <w:rPr>
          <w:rStyle w:val="Enfasicorsivo"/>
          <w:rFonts w:ascii="Arial" w:hAnsi="Arial" w:cs="Arial"/>
          <w:sz w:val="28"/>
          <w:szCs w:val="28"/>
        </w:rPr>
        <w:t>ter</w:t>
      </w:r>
      <w:r>
        <w:rPr>
          <w:rFonts w:ascii="Arial" w:hAnsi="Arial" w:cs="Arial"/>
          <w:sz w:val="28"/>
          <w:szCs w:val="28"/>
        </w:rPr>
        <w:t> a 18-</w:t>
      </w:r>
      <w:r>
        <w:rPr>
          <w:rStyle w:val="Enfasicorsivo"/>
          <w:rFonts w:ascii="Arial" w:hAnsi="Arial" w:cs="Arial"/>
          <w:sz w:val="28"/>
          <w:szCs w:val="28"/>
        </w:rPr>
        <w:t>quinquies</w:t>
      </w:r>
      <w:r>
        <w:rPr>
          <w:rFonts w:ascii="Arial" w:hAnsi="Arial" w:cs="Arial"/>
          <w:sz w:val="28"/>
          <w:szCs w:val="28"/>
        </w:rPr>
        <w:t> disciplinano la segreteria della Commissione centrale, con riguardo alla composizione, al funzionamento e agli adempimenti, compresi quelli connessi allo svolgimento delle udienze.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 xml:space="preserve">La segreteria è collocata presso la Direzione generale delle professioni sanitarie e delle politiche in favore del Servizio sanitario nazionale del Ministero della salute. Gli oneri di funzionamento </w:t>
      </w:r>
      <w:r>
        <w:rPr>
          <w:rFonts w:ascii="Arial" w:hAnsi="Arial" w:cs="Arial"/>
          <w:b/>
          <w:bCs/>
          <w:sz w:val="28"/>
          <w:szCs w:val="28"/>
          <w:highlight w:val="cyan"/>
        </w:rPr>
        <w:t>sono a carico delle Federazioni nazionali</w:t>
      </w:r>
      <w:r>
        <w:rPr>
          <w:rFonts w:ascii="Arial" w:hAnsi="Arial" w:cs="Arial"/>
          <w:sz w:val="28"/>
          <w:szCs w:val="28"/>
        </w:rPr>
        <w:t xml:space="preserve"> e il contributo, individuato sulla base del numero degli iscritti a ciascuna categoria, è definito con decreto del Ministro della salute, di concerto con il Ministro dell'economia.</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 nuovi articoli 18-</w:t>
      </w:r>
      <w:r>
        <w:rPr>
          <w:rStyle w:val="Enfasicorsivo"/>
          <w:rFonts w:ascii="Arial" w:hAnsi="Arial" w:cs="Arial"/>
          <w:sz w:val="28"/>
          <w:szCs w:val="28"/>
        </w:rPr>
        <w:t>sexies</w:t>
      </w:r>
      <w:r>
        <w:rPr>
          <w:rFonts w:ascii="Arial" w:hAnsi="Arial" w:cs="Arial"/>
          <w:sz w:val="28"/>
          <w:szCs w:val="28"/>
        </w:rPr>
        <w:t> e 18 </w:t>
      </w:r>
      <w:proofErr w:type="spellStart"/>
      <w:r>
        <w:rPr>
          <w:rStyle w:val="Enfasicorsivo"/>
          <w:rFonts w:ascii="Arial" w:hAnsi="Arial" w:cs="Arial"/>
          <w:sz w:val="28"/>
          <w:szCs w:val="28"/>
        </w:rPr>
        <w:t>septies</w:t>
      </w:r>
      <w:proofErr w:type="spellEnd"/>
      <w:r>
        <w:rPr>
          <w:rFonts w:ascii="Arial" w:hAnsi="Arial" w:cs="Arial"/>
          <w:sz w:val="28"/>
          <w:szCs w:val="28"/>
        </w:rPr>
        <w:t xml:space="preserve"> individuano, rispettivamente le parti </w:t>
      </w:r>
      <w:r>
        <w:rPr>
          <w:rFonts w:ascii="Arial" w:hAnsi="Arial" w:cs="Arial"/>
          <w:sz w:val="28"/>
          <w:szCs w:val="28"/>
        </w:rPr>
        <w:lastRenderedPageBreak/>
        <w:t>del giudizio dinanzi alla Commissione centrale, distinguendo tra parti necessarie e parti non necessarie e i requisiti che il ricorso proposto dinanzi alla Commissione centrale deve possedere a pena di inammissibilità.</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nuovo articolo 18-</w:t>
      </w:r>
      <w:r>
        <w:rPr>
          <w:rStyle w:val="Enfasicorsivo"/>
          <w:rFonts w:ascii="Arial" w:hAnsi="Arial" w:cs="Arial"/>
          <w:sz w:val="28"/>
          <w:szCs w:val="28"/>
        </w:rPr>
        <w:t>octies</w:t>
      </w:r>
      <w:r>
        <w:rPr>
          <w:rFonts w:ascii="Arial" w:hAnsi="Arial" w:cs="Arial"/>
          <w:sz w:val="28"/>
          <w:szCs w:val="28"/>
        </w:rPr>
        <w:t> definisce termini e modalità di notificazione e deposito del ricorso e degli atti difensivi.</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b/>
          <w:bCs/>
          <w:sz w:val="28"/>
          <w:szCs w:val="28"/>
          <w:highlight w:val="cyan"/>
        </w:rPr>
        <w:t>In particolare, i commi 7 e 8 stabiliscono che il ricorso alla Commissione centrale non determina la sospensione degli effetti del provvedimento impugnato, fatta salva l'ipotesi in cui sia proposta istanza di sospensione cautelare, unitamente al ricorso avverso un provvedimento di cancellazione dall'albo o un provvedimento disciplinare. In tale ipotesi, gli effetti del provvedimento impugnato sono sospesi fino alla decisione sull'istanza cautelare.</w:t>
      </w:r>
      <w:r>
        <w:rPr>
          <w:rFonts w:ascii="Arial" w:hAnsi="Arial" w:cs="Arial"/>
          <w:b/>
          <w:bCs/>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 xml:space="preserve">Tuttavia, la sospensione automatica non opera nei casi in cui sia intervenuta sentenza di condanna per alcuno dei reati per i quali la legge prevede la pena della reclusione non inferiore nel minimo a due anni o nel massimo a cinque anni, nonché nei casi di interdizione dai pubblici uffici, di interdizione dalla professione o di applicazione di una misura di sicurezza. </w:t>
      </w:r>
      <w:r>
        <w:rPr>
          <w:rFonts w:ascii="Arial" w:hAnsi="Arial" w:cs="Arial"/>
          <w:b/>
          <w:bCs/>
          <w:sz w:val="28"/>
          <w:szCs w:val="28"/>
        </w:rPr>
        <w:t>La relazione illustrativa evidenzia, al riguardo, che «le ragioni di cautela che astrattamente potrebbero deporre a favore di una sospensione automatica dei provvedimenti </w:t>
      </w:r>
      <w:r>
        <w:rPr>
          <w:rStyle w:val="Enfasicorsivo"/>
          <w:rFonts w:ascii="Arial" w:hAnsi="Arial" w:cs="Arial"/>
          <w:b/>
          <w:bCs/>
          <w:sz w:val="28"/>
          <w:szCs w:val="28"/>
        </w:rPr>
        <w:t xml:space="preserve">de </w:t>
      </w:r>
      <w:proofErr w:type="spellStart"/>
      <w:r>
        <w:rPr>
          <w:rStyle w:val="Enfasicorsivo"/>
          <w:rFonts w:ascii="Arial" w:hAnsi="Arial" w:cs="Arial"/>
          <w:b/>
          <w:bCs/>
          <w:sz w:val="28"/>
          <w:szCs w:val="28"/>
        </w:rPr>
        <w:t>quibus</w:t>
      </w:r>
      <w:proofErr w:type="spellEnd"/>
      <w:r>
        <w:rPr>
          <w:rFonts w:ascii="Arial" w:hAnsi="Arial" w:cs="Arial"/>
          <w:b/>
          <w:bCs/>
          <w:sz w:val="28"/>
          <w:szCs w:val="28"/>
        </w:rPr>
        <w:t>, a seguito della presentazione di istanza cautelare, non sembrano ravvisabili per fatti rispetto ai quali sia già stata emanata una sentenza da parte del giudice penale ovvero sia stata ordinata una misura di sicurezza».</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nuovo articolo 18-</w:t>
      </w:r>
      <w:r>
        <w:rPr>
          <w:rStyle w:val="Enfasicorsivo"/>
          <w:rFonts w:ascii="Arial" w:hAnsi="Arial" w:cs="Arial"/>
          <w:sz w:val="28"/>
          <w:szCs w:val="28"/>
        </w:rPr>
        <w:t>novies</w:t>
      </w:r>
      <w:r>
        <w:rPr>
          <w:rFonts w:ascii="Arial" w:hAnsi="Arial" w:cs="Arial"/>
          <w:sz w:val="28"/>
          <w:szCs w:val="28"/>
        </w:rPr>
        <w:t> consente alla Commissione centrale l'esercizio di poteri istruttori e conferisce, altresì, alla Commissione centrale il potere di disporre, anche d'ufficio, una verificazione o una consulenza tecnica, ove necessario.</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nuovo articolo 18-</w:t>
      </w:r>
      <w:r>
        <w:rPr>
          <w:rStyle w:val="Enfasicorsivo"/>
          <w:rFonts w:ascii="Arial" w:hAnsi="Arial" w:cs="Arial"/>
          <w:sz w:val="28"/>
          <w:szCs w:val="28"/>
        </w:rPr>
        <w:t>decies</w:t>
      </w:r>
      <w:r>
        <w:rPr>
          <w:rFonts w:ascii="Arial" w:hAnsi="Arial" w:cs="Arial"/>
          <w:sz w:val="28"/>
          <w:szCs w:val="28"/>
        </w:rPr>
        <w:t> definisce la disciplina dell'udienza cautelare e di merito, stabilendone termini e procedure.</w:t>
      </w:r>
      <w:r>
        <w:rPr>
          <w:rFonts w:ascii="Arial" w:hAnsi="Arial" w:cs="Arial"/>
          <w:sz w:val="28"/>
          <w:szCs w:val="28"/>
        </w:rPr>
        <w:br/>
      </w:r>
      <w:r>
        <w:rPr>
          <w:rFonts w:ascii="Arial" w:hAnsi="Arial" w:cs="Arial"/>
          <w:sz w:val="28"/>
          <w:szCs w:val="28"/>
          <w:highlight w:val="cyan"/>
        </w:rPr>
        <w:t> </w:t>
      </w:r>
      <w:r>
        <w:rPr>
          <w:rFonts w:ascii="Arial" w:hAnsi="Arial" w:cs="Arial"/>
          <w:sz w:val="28"/>
          <w:szCs w:val="28"/>
          <w:highlight w:val="cyan"/>
        </w:rPr>
        <w:t> </w:t>
      </w:r>
      <w:r>
        <w:rPr>
          <w:rFonts w:ascii="Arial" w:hAnsi="Arial" w:cs="Arial"/>
          <w:b/>
          <w:bCs/>
          <w:sz w:val="28"/>
          <w:szCs w:val="28"/>
          <w:highlight w:val="cyan"/>
        </w:rPr>
        <w:t>Il nuovo articolo 18-</w:t>
      </w:r>
      <w:r>
        <w:rPr>
          <w:rStyle w:val="Enfasicorsivo"/>
          <w:rFonts w:ascii="Arial" w:hAnsi="Arial" w:cs="Arial"/>
          <w:b/>
          <w:bCs/>
          <w:sz w:val="28"/>
          <w:szCs w:val="28"/>
          <w:highlight w:val="cyan"/>
        </w:rPr>
        <w:t>undecies</w:t>
      </w:r>
      <w:r>
        <w:rPr>
          <w:rFonts w:ascii="Arial" w:hAnsi="Arial" w:cs="Arial"/>
          <w:b/>
          <w:bCs/>
          <w:sz w:val="28"/>
          <w:szCs w:val="28"/>
          <w:highlight w:val="cyan"/>
        </w:rPr>
        <w:t> disciplina il procedimento cautelare.</w:t>
      </w:r>
      <w:r>
        <w:rPr>
          <w:rFonts w:ascii="Arial" w:hAnsi="Arial" w:cs="Arial"/>
          <w:b/>
          <w:bCs/>
          <w:sz w:val="28"/>
          <w:szCs w:val="28"/>
          <w:highlight w:val="cyan"/>
        </w:rPr>
        <w:br/>
      </w:r>
      <w:r>
        <w:rPr>
          <w:rFonts w:ascii="Arial" w:hAnsi="Arial" w:cs="Arial"/>
          <w:b/>
          <w:bCs/>
          <w:sz w:val="28"/>
          <w:szCs w:val="28"/>
          <w:highlight w:val="cyan"/>
        </w:rPr>
        <w:t> </w:t>
      </w:r>
      <w:r>
        <w:rPr>
          <w:rFonts w:ascii="Arial" w:hAnsi="Arial" w:cs="Arial"/>
          <w:b/>
          <w:bCs/>
          <w:sz w:val="28"/>
          <w:szCs w:val="28"/>
          <w:highlight w:val="cyan"/>
        </w:rPr>
        <w:t> </w:t>
      </w:r>
      <w:r>
        <w:rPr>
          <w:rFonts w:ascii="Arial" w:hAnsi="Arial" w:cs="Arial"/>
          <w:b/>
          <w:bCs/>
          <w:sz w:val="28"/>
          <w:szCs w:val="28"/>
          <w:highlight w:val="cyan"/>
        </w:rPr>
        <w:t>Il ricorrente, se ritiene di subire un pregiudizio grave e irreparabile nelle more della decisione di merito, può chiedere la concessione di idonee misure cautelari che la Commissione centrale può adottare con ordinanza collegiale in camera di consiglio, eventualmente previa assunzione di provvedimenti per assicurare la completezza dell'istruttoria e l'integrità del contraddittorio. La norma prevede che tali provvedimenti siano assunti «su istanza di parte e ove necessario».</w:t>
      </w:r>
      <w:r>
        <w:rPr>
          <w:rFonts w:ascii="Arial" w:hAnsi="Arial" w:cs="Arial"/>
          <w:b/>
          <w:bCs/>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L'ordinanza non è impugnabile. Al riguardo, la relazione illustrativa evidenzia che «l'esclusione del doppio grado nel giudizio cautelare è determinata da ragioni di speditezza nella definizione del contenzioso e dalla necessità di efficienza complessiva del sistema».</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La medesima disposizione fa, in ogni caso, salva l'ipotesi di decisione semplificata di cui al nuovo articolo 18-</w:t>
      </w:r>
      <w:r>
        <w:rPr>
          <w:rStyle w:val="Enfasicorsivo"/>
          <w:rFonts w:ascii="Arial" w:hAnsi="Arial" w:cs="Arial"/>
          <w:sz w:val="28"/>
          <w:szCs w:val="28"/>
        </w:rPr>
        <w:t>duodecies</w:t>
      </w:r>
      <w:r>
        <w:rPr>
          <w:rFonts w:ascii="Arial" w:hAnsi="Arial" w:cs="Arial"/>
          <w:sz w:val="28"/>
          <w:szCs w:val="28"/>
        </w:rPr>
        <w:t xml:space="preserve"> che consente alla Commissione centrale, in sede di udienza di trattazione dell'istanza cautelare, </w:t>
      </w:r>
      <w:r>
        <w:rPr>
          <w:rFonts w:ascii="Arial" w:hAnsi="Arial" w:cs="Arial"/>
          <w:sz w:val="28"/>
          <w:szCs w:val="28"/>
        </w:rPr>
        <w:lastRenderedPageBreak/>
        <w:t>di definire la causa nel merito con decisione motivata, anche in forma semplificata.</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nuovo articolo 18-</w:t>
      </w:r>
      <w:r>
        <w:rPr>
          <w:rStyle w:val="Enfasicorsivo"/>
          <w:rFonts w:ascii="Arial" w:hAnsi="Arial" w:cs="Arial"/>
          <w:sz w:val="28"/>
          <w:szCs w:val="28"/>
        </w:rPr>
        <w:t>terdecies</w:t>
      </w:r>
      <w:r>
        <w:rPr>
          <w:rFonts w:ascii="Arial" w:hAnsi="Arial" w:cs="Arial"/>
          <w:sz w:val="28"/>
          <w:szCs w:val="28"/>
        </w:rPr>
        <w:t> consente al presidente della sezione di svolgere una istruttoria presidenziale. Infatti può, con decreto monocratico, chiedere al ricorrente se persiste l'interesse alla decisione del ricorso e disporre l'integrazione del contraddittorio, nonché di adottare, su istanza motivata di parte, i provvedimenti necessari per assicurare la completezza dell'istruttoria.</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Con riguardo a tali poteri del presidente si escludono invece le decisioni sulla consulenza tecnica e sulla verificazione, che devono essere adottati dalla sezione in composizione collegiale.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nuovo articolo 18-</w:t>
      </w:r>
      <w:r>
        <w:rPr>
          <w:rStyle w:val="Enfasicorsivo"/>
          <w:rFonts w:ascii="Arial" w:hAnsi="Arial" w:cs="Arial"/>
          <w:sz w:val="28"/>
          <w:szCs w:val="28"/>
        </w:rPr>
        <w:t>quaterdecies</w:t>
      </w:r>
      <w:r>
        <w:rPr>
          <w:rFonts w:ascii="Arial" w:hAnsi="Arial" w:cs="Arial"/>
          <w:sz w:val="28"/>
          <w:szCs w:val="28"/>
        </w:rPr>
        <w:t> stabilisce che la Commissione centrale, laddove ritenga di porre a fondamento della sua decisione una questione rilevata d'ufficio, ne dà avviso alle parti. Qualora la questione emerga successivamente al passaggio alla fase decisoria, la Commissione centrale assegna alle parti un termine per il deposito di memorie.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nuovo articolo 18-</w:t>
      </w:r>
      <w:r>
        <w:rPr>
          <w:rStyle w:val="Enfasicorsivo"/>
          <w:rFonts w:ascii="Arial" w:hAnsi="Arial" w:cs="Arial"/>
          <w:sz w:val="28"/>
          <w:szCs w:val="28"/>
        </w:rPr>
        <w:t>quinquiesdecies</w:t>
      </w:r>
      <w:r>
        <w:rPr>
          <w:rFonts w:ascii="Arial" w:hAnsi="Arial" w:cs="Arial"/>
          <w:sz w:val="28"/>
          <w:szCs w:val="28"/>
        </w:rPr>
        <w:t> stabilisce il contenuto del provvedimento decisorio adottato dalla Commissione centrale nonché la forma di pubblicazione e l'ipotesi di estinzione del giudizio per carenza di interesse o per rinuncia proveniente dalle parti, definita con decreto monocratico dal presidente della sezione.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nuovo articolo 18-</w:t>
      </w:r>
      <w:r>
        <w:rPr>
          <w:rStyle w:val="Enfasicorsivo"/>
          <w:rFonts w:ascii="Arial" w:hAnsi="Arial" w:cs="Arial"/>
          <w:sz w:val="28"/>
          <w:szCs w:val="28"/>
        </w:rPr>
        <w:t>sexiesdecies</w:t>
      </w:r>
      <w:r>
        <w:rPr>
          <w:rFonts w:ascii="Arial" w:hAnsi="Arial" w:cs="Arial"/>
          <w:sz w:val="28"/>
          <w:szCs w:val="28"/>
        </w:rPr>
        <w:t> tipizza i provvedimenti adottabili dalla Commissione centrale ossia l'ordinanza collegiale istruttoria, l'ordinanza cautelare, il decreto monocratico presidenziale e la decisione.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Si prevede che, nel caso di annullamento della sanzione disciplinare per difetto di proporzionalità, la Commissione centrale, con la decisione che definisce il giudizio, ridetermini, in favore del ricorrente, la sanzione in applicazione delle disposizioni normative e contrattuali vigenti, tenendo conto della gravità del comportamento e dello specifico interesse pubblico violato.</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Inoltre, con la decisione che definisce il giudizio o la fase cautelare, la Commissione centrale dispone, altresì, in ordine alle spese di lite.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nuovo articolo 18-</w:t>
      </w:r>
      <w:r>
        <w:rPr>
          <w:rStyle w:val="Enfasicorsivo"/>
          <w:rFonts w:ascii="Arial" w:hAnsi="Arial" w:cs="Arial"/>
          <w:sz w:val="28"/>
          <w:szCs w:val="28"/>
        </w:rPr>
        <w:t>septiesdecies</w:t>
      </w:r>
      <w:r>
        <w:rPr>
          <w:rFonts w:ascii="Arial" w:hAnsi="Arial" w:cs="Arial"/>
          <w:sz w:val="28"/>
          <w:szCs w:val="28"/>
        </w:rPr>
        <w:t> disciplina la correzione degli errori materiali dei provvedimenti della Commissione centrale.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nuovo articolo 18-</w:t>
      </w:r>
      <w:r>
        <w:rPr>
          <w:rStyle w:val="Enfasicorsivo"/>
          <w:rFonts w:ascii="Arial" w:hAnsi="Arial" w:cs="Arial"/>
          <w:sz w:val="28"/>
          <w:szCs w:val="28"/>
        </w:rPr>
        <w:t>duodevicies</w:t>
      </w:r>
      <w:r>
        <w:rPr>
          <w:rFonts w:ascii="Arial" w:hAnsi="Arial" w:cs="Arial"/>
          <w:sz w:val="28"/>
          <w:szCs w:val="28"/>
        </w:rPr>
        <w:t> disciplina in modo specifico le ipotesi di sospensione del giudizio, qualora la Commissione centrale sollevi una questione di legittimità costituzionale ritenuta rilevante e non manifestamente infondata, ovvero in caso di querela di falso o quando sussista un rapporto di pregiudizialità rispetto a un diverso giudizio pendente dinanzi ad altro giudice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nuovo articolo 18-</w:t>
      </w:r>
      <w:r>
        <w:rPr>
          <w:rStyle w:val="Enfasicorsivo"/>
          <w:rFonts w:ascii="Arial" w:hAnsi="Arial" w:cs="Arial"/>
          <w:sz w:val="28"/>
          <w:szCs w:val="28"/>
        </w:rPr>
        <w:t>undevicies</w:t>
      </w:r>
      <w:r>
        <w:rPr>
          <w:rFonts w:ascii="Arial" w:hAnsi="Arial" w:cs="Arial"/>
          <w:sz w:val="28"/>
          <w:szCs w:val="28"/>
        </w:rPr>
        <w:t> disciplina le ipotesi di interruzione ed estinzione del giudizio, mediante rinvio ai principi del processo civile e il nuovo articolo 18-</w:t>
      </w:r>
      <w:r>
        <w:rPr>
          <w:rStyle w:val="Enfasicorsivo"/>
          <w:rFonts w:ascii="Arial" w:hAnsi="Arial" w:cs="Arial"/>
          <w:sz w:val="28"/>
          <w:szCs w:val="28"/>
        </w:rPr>
        <w:t>vicies</w:t>
      </w:r>
      <w:r>
        <w:rPr>
          <w:rFonts w:ascii="Arial" w:hAnsi="Arial" w:cs="Arial"/>
          <w:sz w:val="28"/>
          <w:szCs w:val="28"/>
        </w:rPr>
        <w:t> disciplina la prosecuzione e la riassunzione del giudizio.</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b/>
          <w:bCs/>
          <w:sz w:val="28"/>
          <w:szCs w:val="28"/>
          <w:highlight w:val="cyan"/>
        </w:rPr>
        <w:t xml:space="preserve">Il novellato articolo 19 prevede che il ricorso per cassazione possa essere proposto entro sessanta giorni dalla comunicazione della decisione della Commissione centrale, mentre la disciplina attuale fa </w:t>
      </w:r>
      <w:r>
        <w:rPr>
          <w:rFonts w:ascii="Arial" w:hAnsi="Arial" w:cs="Arial"/>
          <w:b/>
          <w:bCs/>
          <w:sz w:val="28"/>
          <w:szCs w:val="28"/>
          <w:highlight w:val="cyan"/>
        </w:rPr>
        <w:lastRenderedPageBreak/>
        <w:t>riferimento alla notificazione.</w:t>
      </w:r>
      <w:r>
        <w:rPr>
          <w:rFonts w:ascii="Arial" w:hAnsi="Arial" w:cs="Arial"/>
          <w:b/>
          <w:bCs/>
          <w:sz w:val="28"/>
          <w:szCs w:val="28"/>
          <w:highlight w:val="cyan"/>
        </w:rPr>
        <w:br/>
      </w:r>
      <w:r>
        <w:rPr>
          <w:rFonts w:ascii="Arial" w:hAnsi="Arial" w:cs="Arial"/>
          <w:b/>
          <w:bCs/>
          <w:sz w:val="28"/>
          <w:szCs w:val="28"/>
          <w:highlight w:val="cyan"/>
        </w:rPr>
        <w:t> </w:t>
      </w:r>
      <w:r>
        <w:rPr>
          <w:rFonts w:ascii="Arial" w:hAnsi="Arial" w:cs="Arial"/>
          <w:b/>
          <w:bCs/>
          <w:sz w:val="28"/>
          <w:szCs w:val="28"/>
          <w:highlight w:val="cyan"/>
        </w:rPr>
        <w:t> </w:t>
      </w:r>
      <w:r>
        <w:rPr>
          <w:rFonts w:ascii="Arial" w:hAnsi="Arial" w:cs="Arial"/>
          <w:b/>
          <w:bCs/>
          <w:sz w:val="28"/>
          <w:szCs w:val="28"/>
          <w:highlight w:val="cyan"/>
        </w:rPr>
        <w:t>Si conferma inoltre che, come già previsto dalla norma vigente, il ricorso in Cassazione non ha effetto sospensivo sulla decisione della Commissione centrale.</w:t>
      </w:r>
      <w:r>
        <w:rPr>
          <w:rFonts w:ascii="Arial" w:hAnsi="Arial" w:cs="Arial"/>
          <w:b/>
          <w:bCs/>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nuovo articolo 19-</w:t>
      </w:r>
      <w:r>
        <w:rPr>
          <w:rStyle w:val="Enfasicorsivo"/>
          <w:rFonts w:ascii="Arial" w:hAnsi="Arial" w:cs="Arial"/>
          <w:sz w:val="28"/>
          <w:szCs w:val="28"/>
        </w:rPr>
        <w:t>bis</w:t>
      </w:r>
      <w:r>
        <w:rPr>
          <w:rFonts w:ascii="Arial" w:hAnsi="Arial" w:cs="Arial"/>
          <w:sz w:val="28"/>
          <w:szCs w:val="28"/>
        </w:rPr>
        <w:t> disciplina l'istituto della revocazione, stabilendo che le decisioni assunte dalla Commissione possono essere impugnate attraverso questo particolare mezzo di gravame, rimandando direttamente alla normativa generale prevista dal codice di procedura civile. In particolare, la norma specifica che tale impugnazione deve avvenire seguendo rigorosamente i casi e i termini temporali definiti dagli articoli 395 e 396 del suddetto codice.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nuovo articolo 19-</w:t>
      </w:r>
      <w:r>
        <w:rPr>
          <w:rStyle w:val="Enfasicorsivo"/>
          <w:rFonts w:ascii="Arial" w:hAnsi="Arial" w:cs="Arial"/>
          <w:sz w:val="28"/>
          <w:szCs w:val="28"/>
        </w:rPr>
        <w:t>ter</w:t>
      </w:r>
      <w:r>
        <w:rPr>
          <w:rFonts w:ascii="Arial" w:hAnsi="Arial" w:cs="Arial"/>
          <w:sz w:val="28"/>
          <w:szCs w:val="28"/>
        </w:rPr>
        <w:t>, mutuando, con i dovuti adattamenti, la disciplina del processo amministrativo, introduce la possibilità di presentare ricorso avverso il silenzio dell'ordine professionale nei procedimenti concernenti l'iscrizione, la cancellazione e il trasferimento presso altro ordine.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In particolare, il comma 1 stabilisce che il ricorso avverso il silenzio può essere proposto, anche senza previa diffida, mediante notificazione all'ordine procedente e ad almeno un controinteressato, ove esistente.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comma 2 prevede che il ricorso possa essere proposto fintanto che perdura l'inadempimento e comunque non oltre un anno dalla scadenza del termine previsto per la conclusione del procedimento. Viene inoltre fatta salva la possibilità di riproporre l'istanza di avvio del procedimento ove ne ricorrano i presupposti.</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comma 3 prevede che il ricorso sia deciso con decisione in forma semplificata e che, in caso di accoglimento totale o parziale, la Commissione centrale condanni l'ordine a provvedere entro un termine non superiore, di norma, a trenta giorni.</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La decisione in forma semplificata costituisce uno strumento volto a garantire celerità processuale nelle controversie in cui l'oggetto del giudizio non riguarda immediatamente il merito della pretesa sostanziale, bensì l'accertamento dell'obbligo dell'amministrazione di concludere il procedimento mediante l'adozione di un provvedimento espresso.</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comma 4, riprendendo un istituto tipico del processo amministrativo in caso di persistente inerzia dell'amministrazione, disciplina la figura del commissario ad acta. Si prevede, in particolare, che la Commissione centrale possa nominarlo con la decisione che definisce il giudizio oppure successivamente, su istanza della parte interessata.</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comma 5 amplia i poteri della Commissione centrale, riconoscendole la cognizione di tutte le questioni relative all'esatta adozione del provvedimento richiesto, comprese quelle concernenti gli atti del commissario ad acta.</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comma 6 disciplina, infine, l'ipotesi in cui, nel corso del giudizio, sopravvenga il provvedimento espresso oppure un atto connesso con l'oggetto della controversia.</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 xml:space="preserve">In tale caso, la disposizione consente l'impugnazione del nuovo atto mediante motivi aggiunti, nei termini e secondo il rito previsti per il nuovo </w:t>
      </w:r>
      <w:r>
        <w:rPr>
          <w:rFonts w:ascii="Arial" w:hAnsi="Arial" w:cs="Arial"/>
          <w:sz w:val="28"/>
          <w:szCs w:val="28"/>
        </w:rPr>
        <w:lastRenderedPageBreak/>
        <w:t>provvedimento. Tale istituto, disciplinato dall'articolo 43 del codice del processo amministrativo, consente di evitare la proliferazione dei giudizi e garantisce esigenze di economia processuale e concentrazione delle tutele.</w:t>
      </w:r>
      <w:r>
        <w:rPr>
          <w:rFonts w:ascii="Arial" w:hAnsi="Arial" w:cs="Arial"/>
          <w:sz w:val="28"/>
          <w:szCs w:val="28"/>
        </w:rPr>
        <w:br/>
      </w:r>
      <w:r>
        <w:rPr>
          <w:rFonts w:ascii="Arial" w:hAnsi="Arial" w:cs="Arial"/>
          <w:b/>
          <w:bCs/>
          <w:sz w:val="28"/>
          <w:szCs w:val="28"/>
          <w:highlight w:val="cyan"/>
        </w:rPr>
        <w:t> </w:t>
      </w:r>
      <w:r>
        <w:rPr>
          <w:rFonts w:ascii="Arial" w:hAnsi="Arial" w:cs="Arial"/>
          <w:b/>
          <w:bCs/>
          <w:sz w:val="28"/>
          <w:szCs w:val="28"/>
          <w:highlight w:val="cyan"/>
        </w:rPr>
        <w:t> </w:t>
      </w:r>
      <w:r>
        <w:rPr>
          <w:rFonts w:ascii="Arial" w:hAnsi="Arial" w:cs="Arial"/>
          <w:b/>
          <w:bCs/>
          <w:sz w:val="28"/>
          <w:szCs w:val="28"/>
          <w:highlight w:val="cyan"/>
        </w:rPr>
        <w:t>Il nuovo articolo 19-</w:t>
      </w:r>
      <w:r>
        <w:rPr>
          <w:rStyle w:val="Enfasicorsivo"/>
          <w:rFonts w:ascii="Arial" w:hAnsi="Arial" w:cs="Arial"/>
          <w:b/>
          <w:bCs/>
          <w:sz w:val="28"/>
          <w:szCs w:val="28"/>
          <w:highlight w:val="cyan"/>
        </w:rPr>
        <w:t>quater</w:t>
      </w:r>
      <w:r>
        <w:rPr>
          <w:rFonts w:ascii="Arial" w:hAnsi="Arial" w:cs="Arial"/>
          <w:b/>
          <w:bCs/>
          <w:sz w:val="28"/>
          <w:szCs w:val="28"/>
          <w:highlight w:val="cyan"/>
        </w:rPr>
        <w:t> disciplina la cancellazione volontaria dall'albo in pendenza di un procedimento disciplinare o penale. Esso, come evidenziato dalla relazione illustrativa, mira a recepire gli orientamenti della Corte di Cassazione (ordinanza del 12 luglio 2024), che aveva auspicato un intervento legislativo per impedire che la cancellazione volontaria venisse utilizzata con finalità elusiva contro la giustizia professionale.</w:t>
      </w:r>
      <w:r>
        <w:rPr>
          <w:rFonts w:ascii="Arial" w:hAnsi="Arial" w:cs="Arial"/>
          <w:b/>
          <w:bCs/>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comma 1, infatti, nel disporre che la pendenza di un procedimento disciplinare o penale non impedisce al professionista di richiedere la cancellazione volontaria dall'albo, precisa che quest'ultima non interrompe l'azione disciplinare: il procedimento pendente prosegue regolarmente dinanzi all'ordine territoriale competente o, in caso di impugnazione, davanti alla Commissione centrale.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Qualora il giudizio si concluda con l'irrogazione di una sanzione, questa viene comunicata all'ordine o alla federazione nazionale, che hanno l'obbligo di trasmettere l'informazione agli organi omologhi dei Paesi dell'Unione europea. Tale ultima precisazione garantisce che la cancellazione in Italia non diventi uno strumento per esercitare la professione all'estero senza segnalazioni di demerito.</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comma 2 prevede che l'esecuzione del provvedimento disciplinare resti sospesa e venga attuata solo al momento di una eventuale nuova iscrizione del professionista all'albo. Parallelamente, per evitare che il tempo trascorso fuori dall'albo porti alla prescrizione del potere sanzionatorio, il comma 3 dispone la sospensione dei termini di prescrizione della sanzione per tutta la durata della cancellazione: tali termini ricominceranno a decorrere solo dalla data della nuova iscrizione, presso lo stesso o un diverso ordine professionale.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nuovo articolo 19-</w:t>
      </w:r>
      <w:r>
        <w:rPr>
          <w:rStyle w:val="Enfasicorsivo"/>
          <w:rFonts w:ascii="Arial" w:hAnsi="Arial" w:cs="Arial"/>
          <w:sz w:val="28"/>
          <w:szCs w:val="28"/>
        </w:rPr>
        <w:t>quinquies</w:t>
      </w:r>
      <w:r>
        <w:rPr>
          <w:rFonts w:ascii="Arial" w:hAnsi="Arial" w:cs="Arial"/>
          <w:sz w:val="28"/>
          <w:szCs w:val="28"/>
        </w:rPr>
        <w:t>, introduce una disciplina organica del giudizio di ottemperanza dinanzi alla Commissione centrale, rafforzando significativamente i meccanismi di esecuzione delle decisioni adottate dall'organo giurisdizionale speciale. La disposizione si inserisce nel più ampio processo di avvicinamento della disciplina processuale della Commissione centrale ai modelli del processo amministrativo, recependo istituti finalizzati a garantire piena effettività alla tutela giurisdizionale riconosciuta agli esercenti le professioni sanitarie.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L'articolo 2 stabilisce le disposizioni transitorie e finali necessarie per l'attuazione della riforma della Commissione centrale, disciplinando il passaggio dal vecchio al nuovo regime.</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b/>
          <w:bCs/>
          <w:sz w:val="28"/>
          <w:szCs w:val="28"/>
          <w:highlight w:val="cyan"/>
        </w:rPr>
        <w:t>In particolare, il comma 1 introduce per i nuovi ricorsi l'obbligo di pagamento del contributo unificato, fissato nella misura forfettaria di 500 euro, ai quali si aggiunge un importo fisso di 27 euro per le anticipazioni forfettarie relative alle spese di notificazione.</w:t>
      </w:r>
      <w:r>
        <w:rPr>
          <w:rFonts w:ascii="Arial" w:hAnsi="Arial" w:cs="Arial"/>
          <w:b/>
          <w:bCs/>
          <w:sz w:val="28"/>
          <w:szCs w:val="28"/>
        </w:rPr>
        <w:br/>
      </w:r>
      <w:r>
        <w:rPr>
          <w:rFonts w:ascii="Arial" w:hAnsi="Arial" w:cs="Arial"/>
          <w:sz w:val="28"/>
          <w:szCs w:val="28"/>
        </w:rPr>
        <w:lastRenderedPageBreak/>
        <w:t> </w:t>
      </w:r>
      <w:r>
        <w:rPr>
          <w:rFonts w:ascii="Arial" w:hAnsi="Arial" w:cs="Arial"/>
          <w:sz w:val="28"/>
          <w:szCs w:val="28"/>
        </w:rPr>
        <w:t> </w:t>
      </w:r>
      <w:r>
        <w:rPr>
          <w:rFonts w:ascii="Arial" w:hAnsi="Arial" w:cs="Arial"/>
          <w:sz w:val="28"/>
          <w:szCs w:val="28"/>
        </w:rPr>
        <w:t>Il comma 2 demanda a un regolamento del Ministro della salute, da adottare entro sessanta giorni, la definizione delle regole tecniche per il processo telematico, precisando che, nelle more dell'adozione del decreto, la pubblicazione delle decisioni continuerà ad avvenire tramite il deposito fisico dell'originale in segreteria</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b/>
          <w:bCs/>
          <w:sz w:val="28"/>
          <w:szCs w:val="28"/>
          <w:highlight w:val="cyan"/>
        </w:rPr>
        <w:t>Il comma 3 dispone l'abrogazione della precedente «</w:t>
      </w:r>
      <w:proofErr w:type="spellStart"/>
      <w:r>
        <w:rPr>
          <w:rFonts w:ascii="Arial" w:hAnsi="Arial" w:cs="Arial"/>
          <w:b/>
          <w:bCs/>
          <w:sz w:val="28"/>
          <w:szCs w:val="28"/>
          <w:highlight w:val="cyan"/>
        </w:rPr>
        <w:t>sezione</w:t>
      </w:r>
      <w:proofErr w:type="spellEnd"/>
      <w:r>
        <w:rPr>
          <w:rFonts w:ascii="Arial" w:hAnsi="Arial" w:cs="Arial"/>
          <w:b/>
          <w:bCs/>
          <w:sz w:val="28"/>
          <w:szCs w:val="28"/>
          <w:highlight w:val="cyan"/>
        </w:rPr>
        <w:t xml:space="preserve"> stralcio» – istituita nel 2025 –, le cui funzioni vengono assorbite dalla nuova struttura della Commissione – articolata in due sezioni – a partire dalla nomina dei nuovi componenti</w:t>
      </w:r>
      <w:r>
        <w:rPr>
          <w:rFonts w:ascii="Arial" w:hAnsi="Arial" w:cs="Arial"/>
          <w:sz w:val="28"/>
          <w:szCs w:val="28"/>
        </w:rPr>
        <w:t>.</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comma 4 prevede che la Commissione centrale attualmente in carica continui a operare nella sua composizione originaria fino all'adozione del nuovo decreto di nomina dei membri previsto dalla riforma.</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Il comma 5 stabilisce che, in attesa del regolamento interno della Commissione, i criteri per distribuire i ricorsi tra le due sezioni siano fissati provvisoriamente dal decreto del Presidente del Consiglio dei ministri che nomina i componenti.</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sz w:val="28"/>
          <w:szCs w:val="28"/>
        </w:rPr>
        <w:t>Infine, il comma 6 abroga espressamente i capi V e VI del D.P.R. n. 221 del 1950, specificando tuttavia che ai procedimenti già pendenti alla data di entrata in vigore della legge continuano ad applicarsi le disposizioni vigenti al momento della presentazione del ricorso.</w:t>
      </w:r>
      <w:r>
        <w:rPr>
          <w:rFonts w:ascii="Arial" w:hAnsi="Arial" w:cs="Arial"/>
          <w:sz w:val="28"/>
          <w:szCs w:val="28"/>
        </w:rPr>
        <w:br/>
      </w:r>
      <w:r>
        <w:rPr>
          <w:rFonts w:ascii="Arial" w:hAnsi="Arial" w:cs="Arial"/>
          <w:sz w:val="28"/>
          <w:szCs w:val="28"/>
        </w:rPr>
        <w:t> </w:t>
      </w:r>
      <w:r>
        <w:rPr>
          <w:rFonts w:ascii="Arial" w:hAnsi="Arial" w:cs="Arial"/>
          <w:sz w:val="28"/>
          <w:szCs w:val="28"/>
        </w:rPr>
        <w:t> </w:t>
      </w:r>
      <w:r>
        <w:rPr>
          <w:rFonts w:ascii="Arial" w:hAnsi="Arial" w:cs="Arial"/>
          <w:b/>
          <w:bCs/>
          <w:sz w:val="28"/>
          <w:szCs w:val="28"/>
          <w:highlight w:val="cyan"/>
        </w:rPr>
        <w:t>L'articolo 3 reca la clausola d'invarianza finanziaria riferita al complesso del disegno di legge in esame.</w:t>
      </w:r>
    </w:p>
    <w:p w14:paraId="154F026D" w14:textId="77777777" w:rsidR="00A22B86" w:rsidRDefault="00A22B86" w:rsidP="00A22B86">
      <w:pPr>
        <w:pStyle w:val="intervento"/>
        <w:shd w:val="clear" w:color="auto" w:fill="FFFFFF"/>
        <w:jc w:val="both"/>
        <w:rPr>
          <w:rFonts w:ascii="Arial" w:hAnsi="Arial" w:cs="Arial"/>
          <w:sz w:val="28"/>
          <w:szCs w:val="28"/>
        </w:rPr>
      </w:pPr>
      <w:r>
        <w:rPr>
          <w:rFonts w:ascii="Arial" w:hAnsi="Arial" w:cs="Arial"/>
          <w:sz w:val="28"/>
          <w:szCs w:val="28"/>
        </w:rPr>
        <w:t> </w:t>
      </w:r>
      <w:r>
        <w:rPr>
          <w:rFonts w:ascii="Arial" w:hAnsi="Arial" w:cs="Arial"/>
          <w:sz w:val="28"/>
          <w:szCs w:val="28"/>
        </w:rPr>
        <w:t> </w:t>
      </w:r>
      <w:hyperlink r:id="rId5" w:history="1">
        <w:r>
          <w:rPr>
            <w:rStyle w:val="Collegamentoipertestuale"/>
            <w:rFonts w:ascii="Arial" w:hAnsi="Arial" w:cs="Arial"/>
            <w:color w:val="auto"/>
            <w:sz w:val="28"/>
            <w:szCs w:val="28"/>
            <w:u w:val="none"/>
          </w:rPr>
          <w:t>Ciro MASCHIO</w:t>
        </w:r>
      </w:hyperlink>
      <w:r>
        <w:rPr>
          <w:rFonts w:ascii="Arial" w:hAnsi="Arial" w:cs="Arial"/>
          <w:sz w:val="28"/>
          <w:szCs w:val="28"/>
        </w:rPr>
        <w:t>, </w:t>
      </w:r>
      <w:r>
        <w:rPr>
          <w:rStyle w:val="Enfasicorsivo"/>
          <w:rFonts w:ascii="Arial" w:hAnsi="Arial" w:cs="Arial"/>
          <w:sz w:val="28"/>
          <w:szCs w:val="28"/>
        </w:rPr>
        <w:t>presidente,</w:t>
      </w:r>
      <w:r>
        <w:rPr>
          <w:rFonts w:ascii="Arial" w:hAnsi="Arial" w:cs="Arial"/>
          <w:sz w:val="28"/>
          <w:szCs w:val="28"/>
        </w:rPr>
        <w:t> nessuno chiedendo di intervenire, rinvia il seguito dell'esame ad altra seduta”.</w:t>
      </w:r>
    </w:p>
    <w:p w14:paraId="131CDB34" w14:textId="77777777" w:rsidR="00A22B86" w:rsidRDefault="00A22B86" w:rsidP="00A22B86">
      <w:pPr>
        <w:shd w:val="clear" w:color="auto" w:fill="FEFEFE"/>
        <w:spacing w:before="30" w:after="30" w:line="240" w:lineRule="auto"/>
        <w:ind w:left="30"/>
        <w:jc w:val="both"/>
        <w:rPr>
          <w:rFonts w:ascii="Arial" w:eastAsia="Times New Roman" w:hAnsi="Arial" w:cs="Arial"/>
          <w:sz w:val="28"/>
          <w:szCs w:val="28"/>
          <w:lang w:eastAsia="it-IT"/>
        </w:rPr>
      </w:pPr>
    </w:p>
    <w:p w14:paraId="551217EE" w14:textId="77777777" w:rsidR="00A22B86" w:rsidRDefault="00A22B86" w:rsidP="00A22B86">
      <w:pPr>
        <w:spacing w:before="100" w:beforeAutospacing="1" w:after="100" w:afterAutospacing="1" w:line="240" w:lineRule="auto"/>
        <w:jc w:val="both"/>
        <w:rPr>
          <w:rFonts w:ascii="Arial" w:eastAsia="Times New Roman" w:hAnsi="Arial" w:cs="Arial"/>
          <w:b/>
          <w:bCs/>
          <w:sz w:val="28"/>
          <w:szCs w:val="28"/>
          <w:lang w:eastAsia="it-IT"/>
        </w:rPr>
      </w:pPr>
    </w:p>
    <w:p w14:paraId="0B613CFE" w14:textId="77777777" w:rsidR="0028686D" w:rsidRDefault="0028686D"/>
    <w:sectPr w:rsidR="002868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86"/>
    <w:rsid w:val="001E5DFD"/>
    <w:rsid w:val="0028686D"/>
    <w:rsid w:val="00502409"/>
    <w:rsid w:val="00A22B86"/>
    <w:rsid w:val="00AB5B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F60E"/>
  <w15:chartTrackingRefBased/>
  <w15:docId w15:val="{5DD1BDF2-A88F-46B2-9C64-E1D997D2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2B86"/>
    <w:pPr>
      <w:spacing w:line="256" w:lineRule="auto"/>
    </w:pPr>
    <w:rPr>
      <w:kern w:val="0"/>
      <w:sz w:val="22"/>
      <w:szCs w:val="22"/>
      <w14:ligatures w14:val="none"/>
    </w:rPr>
  </w:style>
  <w:style w:type="paragraph" w:styleId="Titolo1">
    <w:name w:val="heading 1"/>
    <w:basedOn w:val="Normale"/>
    <w:next w:val="Normale"/>
    <w:link w:val="Titolo1Carattere"/>
    <w:uiPriority w:val="9"/>
    <w:qFormat/>
    <w:rsid w:val="00A22B8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A22B8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A22B8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A22B8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A22B8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A22B8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A22B8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A22B8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A22B8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22B8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22B8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22B8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22B8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22B8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22B8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22B8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22B8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22B86"/>
    <w:rPr>
      <w:rFonts w:eastAsiaTheme="majorEastAsia" w:cstheme="majorBidi"/>
      <w:color w:val="272727" w:themeColor="text1" w:themeTint="D8"/>
    </w:rPr>
  </w:style>
  <w:style w:type="paragraph" w:styleId="Titolo">
    <w:name w:val="Title"/>
    <w:basedOn w:val="Normale"/>
    <w:next w:val="Normale"/>
    <w:link w:val="TitoloCarattere"/>
    <w:uiPriority w:val="10"/>
    <w:qFormat/>
    <w:rsid w:val="00A22B8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A22B8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22B8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22B8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22B86"/>
    <w:pPr>
      <w:spacing w:before="160" w:line="278" w:lineRule="auto"/>
      <w:jc w:val="center"/>
    </w:pPr>
    <w:rPr>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A22B86"/>
    <w:rPr>
      <w:i/>
      <w:iCs/>
      <w:color w:val="404040" w:themeColor="text1" w:themeTint="BF"/>
    </w:rPr>
  </w:style>
  <w:style w:type="paragraph" w:styleId="Paragrafoelenco">
    <w:name w:val="List Paragraph"/>
    <w:basedOn w:val="Normale"/>
    <w:uiPriority w:val="34"/>
    <w:qFormat/>
    <w:rsid w:val="00A22B86"/>
    <w:pPr>
      <w:spacing w:line="278" w:lineRule="auto"/>
      <w:ind w:left="720"/>
      <w:contextualSpacing/>
    </w:pPr>
    <w:rPr>
      <w:kern w:val="2"/>
      <w:sz w:val="24"/>
      <w:szCs w:val="24"/>
      <w14:ligatures w14:val="standardContextual"/>
    </w:rPr>
  </w:style>
  <w:style w:type="character" w:styleId="Enfasiintensa">
    <w:name w:val="Intense Emphasis"/>
    <w:basedOn w:val="Carpredefinitoparagrafo"/>
    <w:uiPriority w:val="21"/>
    <w:qFormat/>
    <w:rsid w:val="00A22B86"/>
    <w:rPr>
      <w:i/>
      <w:iCs/>
      <w:color w:val="0F4761" w:themeColor="accent1" w:themeShade="BF"/>
    </w:rPr>
  </w:style>
  <w:style w:type="paragraph" w:styleId="Citazioneintensa">
    <w:name w:val="Intense Quote"/>
    <w:basedOn w:val="Normale"/>
    <w:next w:val="Normale"/>
    <w:link w:val="CitazioneintensaCarattere"/>
    <w:uiPriority w:val="30"/>
    <w:qFormat/>
    <w:rsid w:val="00A22B8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A22B86"/>
    <w:rPr>
      <w:i/>
      <w:iCs/>
      <w:color w:val="0F4761" w:themeColor="accent1" w:themeShade="BF"/>
    </w:rPr>
  </w:style>
  <w:style w:type="character" w:styleId="Riferimentointenso">
    <w:name w:val="Intense Reference"/>
    <w:basedOn w:val="Carpredefinitoparagrafo"/>
    <w:uiPriority w:val="32"/>
    <w:qFormat/>
    <w:rsid w:val="00A22B86"/>
    <w:rPr>
      <w:b/>
      <w:bCs/>
      <w:smallCaps/>
      <w:color w:val="0F4761" w:themeColor="accent1" w:themeShade="BF"/>
      <w:spacing w:val="5"/>
    </w:rPr>
  </w:style>
  <w:style w:type="character" w:styleId="Collegamentoipertestuale">
    <w:name w:val="Hyperlink"/>
    <w:basedOn w:val="Carpredefinitoparagrafo"/>
    <w:uiPriority w:val="99"/>
    <w:semiHidden/>
    <w:unhideWhenUsed/>
    <w:rsid w:val="00A22B86"/>
    <w:rPr>
      <w:color w:val="0000FF"/>
      <w:u w:val="single"/>
    </w:rPr>
  </w:style>
  <w:style w:type="paragraph" w:styleId="NormaleWeb">
    <w:name w:val="Normal (Web)"/>
    <w:basedOn w:val="Normale"/>
    <w:uiPriority w:val="99"/>
    <w:semiHidden/>
    <w:unhideWhenUsed/>
    <w:rsid w:val="00A22B8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olo0">
    <w:name w:val="titolo"/>
    <w:basedOn w:val="Normale"/>
    <w:uiPriority w:val="99"/>
    <w:rsid w:val="00A22B8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tervento">
    <w:name w:val="intervento"/>
    <w:basedOn w:val="Normale"/>
    <w:uiPriority w:val="99"/>
    <w:rsid w:val="00A22B8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22B86"/>
    <w:rPr>
      <w:b/>
      <w:bCs/>
    </w:rPr>
  </w:style>
  <w:style w:type="character" w:styleId="AcronimoHTML">
    <w:name w:val="HTML Acronym"/>
    <w:basedOn w:val="Carpredefinitoparagrafo"/>
    <w:uiPriority w:val="99"/>
    <w:semiHidden/>
    <w:unhideWhenUsed/>
    <w:rsid w:val="00A22B86"/>
  </w:style>
  <w:style w:type="character" w:styleId="Enfasicorsivo">
    <w:name w:val="Emphasis"/>
    <w:basedOn w:val="Carpredefinitoparagrafo"/>
    <w:uiPriority w:val="20"/>
    <w:qFormat/>
    <w:rsid w:val="00A22B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umenti.camera.it/apps/commonServices/getDocumento.ashx?idLegislatura=19&amp;sezione=deputati&amp;tipoDoc=schedaDeputato&amp;idPersona=307575" TargetMode="External"/><Relationship Id="rId4" Type="http://schemas.openxmlformats.org/officeDocument/2006/relationships/hyperlink" Target="https://documenti.camera.it/apps/commonServices/getDocumento.ashx?idLegislatura=19&amp;sezione=deputati&amp;tipoDoc=schedaDeputato&amp;idPersona=30892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2918</Words>
  <Characters>16633</Characters>
  <Application>Microsoft Office Word</Application>
  <DocSecurity>0</DocSecurity>
  <Lines>138</Lines>
  <Paragraphs>39</Paragraphs>
  <ScaleCrop>false</ScaleCrop>
  <Company>FNOMCeO</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Fontana</dc:creator>
  <cp:keywords/>
  <dc:description/>
  <cp:lastModifiedBy>Marcello Fontana</cp:lastModifiedBy>
  <cp:revision>1</cp:revision>
  <dcterms:created xsi:type="dcterms:W3CDTF">2026-07-16T05:46:00Z</dcterms:created>
  <dcterms:modified xsi:type="dcterms:W3CDTF">2026-07-16T05:48:00Z</dcterms:modified>
</cp:coreProperties>
</file>