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81D8" w14:textId="77777777" w:rsidR="007E5833" w:rsidRPr="007E5833" w:rsidRDefault="007E5833" w:rsidP="007E5833">
      <w:pPr>
        <w:rPr>
          <w:rFonts w:ascii="Arial" w:hAnsi="Arial" w:cs="Arial"/>
        </w:rPr>
      </w:pPr>
      <w:r w:rsidRPr="007E5833">
        <w:rPr>
          <w:rFonts w:ascii="Arial" w:hAnsi="Arial" w:cs="Arial"/>
        </w:rPr>
        <w:t>Tribunale Gorizia, 29/05/2026, (ud. 25/05/2026- dep. 29/05/2026) - n. 367</w:t>
      </w:r>
    </w:p>
    <w:p w14:paraId="09378979" w14:textId="77777777" w:rsidR="007E5833" w:rsidRPr="007E5833" w:rsidRDefault="007E5833" w:rsidP="007E5833">
      <w:pPr>
        <w:rPr>
          <w:rFonts w:ascii="Arial" w:hAnsi="Arial" w:cs="Arial"/>
        </w:rPr>
      </w:pPr>
      <w:r w:rsidRPr="007E5833">
        <w:rPr>
          <w:rFonts w:ascii="Arial" w:hAnsi="Arial" w:cs="Arial"/>
        </w:rPr>
        <w:t>SVOLGIMENTO DEL PROCESSO</w:t>
      </w:r>
    </w:p>
    <w:p w14:paraId="32A1999C" w14:textId="77777777" w:rsidR="007E5833" w:rsidRPr="007E5833" w:rsidRDefault="007E5833" w:rsidP="007E5833">
      <w:pPr>
        <w:rPr>
          <w:rFonts w:ascii="Arial" w:hAnsi="Arial" w:cs="Arial"/>
        </w:rPr>
      </w:pPr>
    </w:p>
    <w:p w14:paraId="7C8EC76A" w14:textId="77777777" w:rsidR="007E5833" w:rsidRPr="007E5833" w:rsidRDefault="007E5833" w:rsidP="007E5833">
      <w:pPr>
        <w:rPr>
          <w:rFonts w:ascii="Arial" w:hAnsi="Arial" w:cs="Arial"/>
        </w:rPr>
      </w:pPr>
      <w:r w:rsidRPr="007E5833">
        <w:rPr>
          <w:rFonts w:ascii="Arial" w:hAnsi="Arial" w:cs="Arial"/>
        </w:rPr>
        <w:t>Con decreto di citazione diretta del 10 maggio 2022 l'imputato veniva tratto a giudizio avanti all'intestato Tribunale per rispondere del reato in rubrica. All'udienza dell'8 novembre 2022 il Tribunale rigettava la richiesta di messa alla prova proposta dall'imputato, dichiarava aperto il dibattimento e ammetteva le prove richieste dalle parti.</w:t>
      </w:r>
    </w:p>
    <w:p w14:paraId="0C85343B" w14:textId="77777777" w:rsidR="007E5833" w:rsidRPr="007E5833" w:rsidRDefault="007E5833" w:rsidP="007E5833">
      <w:pPr>
        <w:rPr>
          <w:rFonts w:ascii="Arial" w:hAnsi="Arial" w:cs="Arial"/>
        </w:rPr>
      </w:pPr>
    </w:p>
    <w:p w14:paraId="6D3185AF" w14:textId="67649888" w:rsidR="007E5833" w:rsidRPr="007E5833" w:rsidRDefault="007E5833" w:rsidP="007E5833">
      <w:pPr>
        <w:rPr>
          <w:rFonts w:ascii="Arial" w:hAnsi="Arial" w:cs="Arial"/>
        </w:rPr>
      </w:pPr>
      <w:r w:rsidRPr="007E5833">
        <w:rPr>
          <w:rFonts w:ascii="Arial" w:hAnsi="Arial" w:cs="Arial"/>
        </w:rPr>
        <w:t xml:space="preserve">All'udienza del 19 settembre 2023 il Tribunale sentiva i testimoni </w:t>
      </w:r>
      <w:r w:rsidR="00AC63F1">
        <w:rPr>
          <w:rFonts w:ascii="Arial" w:hAnsi="Arial" w:cs="Arial"/>
        </w:rPr>
        <w:t>…</w:t>
      </w:r>
      <w:r w:rsidRPr="007E5833">
        <w:rPr>
          <w:rFonts w:ascii="Arial" w:hAnsi="Arial" w:cs="Arial"/>
        </w:rPr>
        <w:t xml:space="preserve"> e </w:t>
      </w:r>
      <w:r w:rsidR="00AC63F1">
        <w:rPr>
          <w:rFonts w:ascii="Arial" w:hAnsi="Arial" w:cs="Arial"/>
        </w:rPr>
        <w:t>…</w:t>
      </w:r>
    </w:p>
    <w:p w14:paraId="1FE28B01" w14:textId="77777777" w:rsidR="007E5833" w:rsidRPr="007E5833" w:rsidRDefault="007E5833" w:rsidP="007E5833">
      <w:pPr>
        <w:rPr>
          <w:rFonts w:ascii="Arial" w:hAnsi="Arial" w:cs="Arial"/>
        </w:rPr>
      </w:pPr>
    </w:p>
    <w:p w14:paraId="50FB65BA" w14:textId="79F0F463" w:rsidR="007E5833" w:rsidRPr="007E5833" w:rsidRDefault="007E5833" w:rsidP="007E5833">
      <w:pPr>
        <w:rPr>
          <w:rFonts w:ascii="Arial" w:hAnsi="Arial" w:cs="Arial"/>
        </w:rPr>
      </w:pPr>
      <w:r w:rsidRPr="007E5833">
        <w:rPr>
          <w:rFonts w:ascii="Arial" w:hAnsi="Arial" w:cs="Arial"/>
        </w:rPr>
        <w:t xml:space="preserve">All'udienza del 26 marzo 2024 il Tribunale acquisiva, su consenso delle parti, le dichiarazioni dei testimoni </w:t>
      </w:r>
      <w:r w:rsidR="00AC63F1">
        <w:rPr>
          <w:rFonts w:ascii="Arial" w:hAnsi="Arial" w:cs="Arial"/>
        </w:rPr>
        <w:t>…</w:t>
      </w:r>
      <w:r w:rsidRPr="007E5833">
        <w:rPr>
          <w:rFonts w:ascii="Arial" w:hAnsi="Arial" w:cs="Arial"/>
        </w:rPr>
        <w:t xml:space="preserve"> e </w:t>
      </w:r>
      <w:r w:rsidR="00AC63F1">
        <w:rPr>
          <w:rFonts w:ascii="Arial" w:hAnsi="Arial" w:cs="Arial"/>
        </w:rPr>
        <w:t>…</w:t>
      </w:r>
    </w:p>
    <w:p w14:paraId="577A6B88" w14:textId="77777777" w:rsidR="007E5833" w:rsidRPr="007E5833" w:rsidRDefault="007E5833" w:rsidP="007E5833">
      <w:pPr>
        <w:rPr>
          <w:rFonts w:ascii="Arial" w:hAnsi="Arial" w:cs="Arial"/>
        </w:rPr>
      </w:pPr>
    </w:p>
    <w:p w14:paraId="0E7C2DE1" w14:textId="77777777" w:rsidR="007E5833" w:rsidRPr="007E5833" w:rsidRDefault="007E5833" w:rsidP="007E5833">
      <w:pPr>
        <w:rPr>
          <w:rFonts w:ascii="Arial" w:hAnsi="Arial" w:cs="Arial"/>
        </w:rPr>
      </w:pPr>
      <w:r w:rsidRPr="007E5833">
        <w:rPr>
          <w:rFonts w:ascii="Arial" w:hAnsi="Arial" w:cs="Arial"/>
        </w:rPr>
        <w:t>All'udienza del 4 novembre 2024 il Tribunale rinviava la trattazione del processo per adesione del difensore all'astensione proclamata dalle Camere Penali.</w:t>
      </w:r>
    </w:p>
    <w:p w14:paraId="4CF8D2AD" w14:textId="77777777" w:rsidR="007E5833" w:rsidRPr="007E5833" w:rsidRDefault="007E5833" w:rsidP="007E5833">
      <w:pPr>
        <w:rPr>
          <w:rFonts w:ascii="Arial" w:hAnsi="Arial" w:cs="Arial"/>
        </w:rPr>
      </w:pPr>
    </w:p>
    <w:p w14:paraId="00B70AB2" w14:textId="511A8BD7" w:rsidR="007E5833" w:rsidRPr="007E5833" w:rsidRDefault="007E5833" w:rsidP="007E5833">
      <w:pPr>
        <w:rPr>
          <w:rFonts w:ascii="Arial" w:hAnsi="Arial" w:cs="Arial"/>
        </w:rPr>
      </w:pPr>
      <w:r w:rsidRPr="007E5833">
        <w:rPr>
          <w:rFonts w:ascii="Arial" w:hAnsi="Arial" w:cs="Arial"/>
        </w:rPr>
        <w:t xml:space="preserve">All'udienza del 3 marzo 2025 il Tribunale sentiva il testimone </w:t>
      </w:r>
      <w:r w:rsidR="00AC63F1">
        <w:rPr>
          <w:rFonts w:ascii="Arial" w:hAnsi="Arial" w:cs="Arial"/>
        </w:rPr>
        <w:t>…..</w:t>
      </w:r>
      <w:r w:rsidRPr="007E5833">
        <w:rPr>
          <w:rFonts w:ascii="Arial" w:hAnsi="Arial" w:cs="Arial"/>
        </w:rPr>
        <w:t xml:space="preserve"> All'udienza del 14 luglio 2025 il Tribunale sentiva il testimone </w:t>
      </w:r>
      <w:r w:rsidR="00AC63F1">
        <w:rPr>
          <w:rFonts w:ascii="Arial" w:hAnsi="Arial" w:cs="Arial"/>
        </w:rPr>
        <w:t>…</w:t>
      </w:r>
      <w:r w:rsidRPr="007E5833">
        <w:rPr>
          <w:rFonts w:ascii="Arial" w:hAnsi="Arial" w:cs="Arial"/>
        </w:rPr>
        <w:t xml:space="preserve"> e, su consenso delle parti, ne acquisiva le dichiarazioni rese in indagine. All'udienza del 9 febbraio 2026 il Tribunale acquisiva, su consenso delle parti, tutte le dichiarazioni rese in fase di indagine dai pazienti della struttura sanitaria non sentiti in dibattimento ad eccezione di </w:t>
      </w:r>
      <w:r w:rsidR="00AC63F1">
        <w:rPr>
          <w:rFonts w:ascii="Arial" w:hAnsi="Arial" w:cs="Arial"/>
        </w:rPr>
        <w:t>…</w:t>
      </w:r>
      <w:r w:rsidRPr="007E5833">
        <w:rPr>
          <w:rFonts w:ascii="Arial" w:hAnsi="Arial" w:cs="Arial"/>
        </w:rPr>
        <w:t>.</w:t>
      </w:r>
    </w:p>
    <w:p w14:paraId="09220BF6" w14:textId="77777777" w:rsidR="007E5833" w:rsidRPr="007E5833" w:rsidRDefault="007E5833" w:rsidP="007E5833">
      <w:pPr>
        <w:rPr>
          <w:rFonts w:ascii="Arial" w:hAnsi="Arial" w:cs="Arial"/>
        </w:rPr>
      </w:pPr>
    </w:p>
    <w:p w14:paraId="7A317FCE" w14:textId="3777D3DE" w:rsidR="007E5833" w:rsidRPr="007E5833" w:rsidRDefault="007E5833" w:rsidP="007E5833">
      <w:pPr>
        <w:rPr>
          <w:rFonts w:ascii="Arial" w:hAnsi="Arial" w:cs="Arial"/>
        </w:rPr>
      </w:pPr>
      <w:r w:rsidRPr="007E5833">
        <w:rPr>
          <w:rFonts w:ascii="Arial" w:hAnsi="Arial" w:cs="Arial"/>
        </w:rPr>
        <w:t xml:space="preserve">All'udienza del 13 aprile 2026 il Tribunale sentiva il testimone </w:t>
      </w:r>
      <w:r w:rsidR="00AC63F1">
        <w:rPr>
          <w:rFonts w:ascii="Arial" w:hAnsi="Arial" w:cs="Arial"/>
        </w:rPr>
        <w:t>….</w:t>
      </w:r>
    </w:p>
    <w:p w14:paraId="58010A51" w14:textId="77777777" w:rsidR="007E5833" w:rsidRPr="007E5833" w:rsidRDefault="007E5833" w:rsidP="007E5833">
      <w:pPr>
        <w:rPr>
          <w:rFonts w:ascii="Arial" w:hAnsi="Arial" w:cs="Arial"/>
        </w:rPr>
      </w:pPr>
    </w:p>
    <w:p w14:paraId="3AF5AD0D" w14:textId="77777777" w:rsidR="007E5833" w:rsidRPr="007E5833" w:rsidRDefault="007E5833" w:rsidP="007E5833">
      <w:pPr>
        <w:rPr>
          <w:rFonts w:ascii="Arial" w:hAnsi="Arial" w:cs="Arial"/>
        </w:rPr>
      </w:pPr>
      <w:r w:rsidRPr="007E5833">
        <w:rPr>
          <w:rFonts w:ascii="Arial" w:hAnsi="Arial" w:cs="Arial"/>
        </w:rPr>
        <w:t>All'udienza del 18 maggio 2026 il Tribunale rinviava la trattazione del processo per impedimento del difensore manifestato ab aula.</w:t>
      </w:r>
    </w:p>
    <w:p w14:paraId="7DFCAD93" w14:textId="77777777" w:rsidR="007E5833" w:rsidRPr="007E5833" w:rsidRDefault="007E5833" w:rsidP="007E5833">
      <w:pPr>
        <w:rPr>
          <w:rFonts w:ascii="Arial" w:hAnsi="Arial" w:cs="Arial"/>
        </w:rPr>
      </w:pPr>
    </w:p>
    <w:p w14:paraId="619BE925" w14:textId="77777777" w:rsidR="007E5833" w:rsidRPr="007E5833" w:rsidRDefault="007E5833" w:rsidP="007E5833">
      <w:pPr>
        <w:rPr>
          <w:rFonts w:ascii="Arial" w:hAnsi="Arial" w:cs="Arial"/>
        </w:rPr>
      </w:pPr>
      <w:r w:rsidRPr="007E5833">
        <w:rPr>
          <w:rFonts w:ascii="Arial" w:hAnsi="Arial" w:cs="Arial"/>
        </w:rPr>
        <w:t>All'odierna udienza il Tribunale invitava le parti alla discussione e alle conclusioni. Le parti discutevano la causa concludendo come da verbale di udienza e il Tribunale pronunciava sentenza come da dispositivo.</w:t>
      </w:r>
    </w:p>
    <w:p w14:paraId="354C1D50" w14:textId="77777777" w:rsidR="007E5833" w:rsidRPr="007E5833" w:rsidRDefault="007E5833" w:rsidP="007E5833">
      <w:pPr>
        <w:rPr>
          <w:rFonts w:ascii="Arial" w:hAnsi="Arial" w:cs="Arial"/>
        </w:rPr>
      </w:pPr>
      <w:r w:rsidRPr="007E5833">
        <w:rPr>
          <w:rFonts w:ascii="Arial" w:hAnsi="Arial" w:cs="Arial"/>
        </w:rPr>
        <w:t>Diritto</w:t>
      </w:r>
    </w:p>
    <w:p w14:paraId="440D5CFB" w14:textId="77777777" w:rsidR="007E5833" w:rsidRPr="007E5833" w:rsidRDefault="007E5833" w:rsidP="007E5833">
      <w:pPr>
        <w:rPr>
          <w:rFonts w:ascii="Arial" w:hAnsi="Arial" w:cs="Arial"/>
        </w:rPr>
      </w:pPr>
      <w:r w:rsidRPr="007E5833">
        <w:rPr>
          <w:rFonts w:ascii="Arial" w:hAnsi="Arial" w:cs="Arial"/>
        </w:rPr>
        <w:t>MOTIVI DELLA DECISIONE</w:t>
      </w:r>
    </w:p>
    <w:p w14:paraId="4FB4D7A2" w14:textId="77777777" w:rsidR="007E5833" w:rsidRPr="007E5833" w:rsidRDefault="007E5833" w:rsidP="007E5833">
      <w:pPr>
        <w:rPr>
          <w:rFonts w:ascii="Arial" w:hAnsi="Arial" w:cs="Arial"/>
        </w:rPr>
      </w:pPr>
    </w:p>
    <w:p w14:paraId="67C14282" w14:textId="77777777" w:rsidR="007E5833" w:rsidRPr="007E5833" w:rsidRDefault="007E5833" w:rsidP="007E5833">
      <w:pPr>
        <w:rPr>
          <w:rFonts w:ascii="Arial" w:hAnsi="Arial" w:cs="Arial"/>
        </w:rPr>
      </w:pPr>
      <w:r w:rsidRPr="007E5833">
        <w:rPr>
          <w:rFonts w:ascii="Arial" w:hAnsi="Arial" w:cs="Arial"/>
        </w:rPr>
        <w:lastRenderedPageBreak/>
        <w:t>Deve essere pronunciata sentenza di condanna nei confronti dell'imputato in ordine ai fatti a lui ascritti.</w:t>
      </w:r>
    </w:p>
    <w:p w14:paraId="7C215B33" w14:textId="77777777" w:rsidR="007E5833" w:rsidRPr="007E5833" w:rsidRDefault="007E5833" w:rsidP="007E5833">
      <w:pPr>
        <w:rPr>
          <w:rFonts w:ascii="Arial" w:hAnsi="Arial" w:cs="Arial"/>
        </w:rPr>
      </w:pPr>
    </w:p>
    <w:p w14:paraId="26B4BBE6" w14:textId="77777777" w:rsidR="007E5833" w:rsidRPr="007E5833" w:rsidRDefault="007E5833" w:rsidP="007E5833">
      <w:pPr>
        <w:rPr>
          <w:rFonts w:ascii="Arial" w:hAnsi="Arial" w:cs="Arial"/>
        </w:rPr>
      </w:pPr>
      <w:r w:rsidRPr="007E5833">
        <w:rPr>
          <w:rFonts w:ascii="Arial" w:hAnsi="Arial" w:cs="Arial"/>
        </w:rPr>
        <w:t>1. FATTO.</w:t>
      </w:r>
    </w:p>
    <w:p w14:paraId="7E993081" w14:textId="77777777" w:rsidR="007E5833" w:rsidRPr="007E5833" w:rsidRDefault="007E5833" w:rsidP="007E5833">
      <w:pPr>
        <w:rPr>
          <w:rFonts w:ascii="Arial" w:hAnsi="Arial" w:cs="Arial"/>
        </w:rPr>
      </w:pPr>
    </w:p>
    <w:p w14:paraId="55E6CFC8" w14:textId="70D8D27F" w:rsidR="007E5833" w:rsidRPr="007E5833" w:rsidRDefault="007E5833" w:rsidP="007E5833">
      <w:pPr>
        <w:rPr>
          <w:rFonts w:ascii="Arial" w:hAnsi="Arial" w:cs="Arial"/>
        </w:rPr>
      </w:pPr>
      <w:r w:rsidRPr="007E5833">
        <w:rPr>
          <w:rFonts w:ascii="Arial" w:hAnsi="Arial" w:cs="Arial"/>
        </w:rPr>
        <w:t xml:space="preserve">Come risulta dalle dichiarazioni rese in dibattimento dal testimone </w:t>
      </w:r>
      <w:r w:rsidR="00AC63F1">
        <w:rPr>
          <w:rFonts w:ascii="Arial" w:hAnsi="Arial" w:cs="Arial"/>
        </w:rPr>
        <w:t>…</w:t>
      </w:r>
      <w:r w:rsidRPr="007E5833">
        <w:rPr>
          <w:rFonts w:ascii="Arial" w:hAnsi="Arial" w:cs="Arial"/>
        </w:rPr>
        <w:t xml:space="preserve">, il 21 novembre 2020 veniva avviato un controllo amministrativo sullo "studio dentistico specialistico" di proprietà di </w:t>
      </w:r>
      <w:r w:rsidR="00AC63F1">
        <w:rPr>
          <w:rFonts w:ascii="Arial" w:hAnsi="Arial" w:cs="Arial"/>
        </w:rPr>
        <w:t>….</w:t>
      </w:r>
      <w:r w:rsidRPr="007E5833">
        <w:rPr>
          <w:rFonts w:ascii="Arial" w:hAnsi="Arial" w:cs="Arial"/>
        </w:rPr>
        <w:t>., sito in Via (Omissis).</w:t>
      </w:r>
    </w:p>
    <w:p w14:paraId="12BDFC82" w14:textId="77777777" w:rsidR="007E5833" w:rsidRPr="007E5833" w:rsidRDefault="007E5833" w:rsidP="007E5833">
      <w:pPr>
        <w:rPr>
          <w:rFonts w:ascii="Arial" w:hAnsi="Arial" w:cs="Arial"/>
        </w:rPr>
      </w:pPr>
    </w:p>
    <w:p w14:paraId="1D8CBA55" w14:textId="21291791" w:rsidR="007E5833" w:rsidRPr="007E5833" w:rsidRDefault="007E5833" w:rsidP="007E5833">
      <w:pPr>
        <w:rPr>
          <w:rFonts w:ascii="Arial" w:hAnsi="Arial" w:cs="Arial"/>
        </w:rPr>
      </w:pPr>
      <w:r w:rsidRPr="007E5833">
        <w:rPr>
          <w:rFonts w:ascii="Arial" w:hAnsi="Arial" w:cs="Arial"/>
        </w:rPr>
        <w:t xml:space="preserve">Giunto sul posto l'operante invitava l'imputato ad aprire la porta ma questi, anziché aprire immediatamente, si portava sul cortile retrostante, di collegamento tra lo studio e. l'abitazione privata, e collocava all'interno del ripostiglio talune cassette di materiali. Fatto accesso ai luoghi </w:t>
      </w:r>
      <w:r w:rsidR="00AC63F1">
        <w:rPr>
          <w:rFonts w:ascii="Arial" w:hAnsi="Arial" w:cs="Arial"/>
        </w:rPr>
        <w:t>…</w:t>
      </w:r>
      <w:r w:rsidRPr="007E5833">
        <w:rPr>
          <w:rFonts w:ascii="Arial" w:hAnsi="Arial" w:cs="Arial"/>
        </w:rPr>
        <w:t xml:space="preserve"> verificava la presenza, in tali casette, di materiale sanitario, documenti, radiografie e cartelle. Dopo aver accertato e contestato violazioni amministrative, dalla documentazione risaliva al nominativo dei pazienti per escuterli a sommarie informazioni.</w:t>
      </w:r>
    </w:p>
    <w:p w14:paraId="3AD4FDB6" w14:textId="77777777" w:rsidR="007E5833" w:rsidRPr="007E5833" w:rsidRDefault="007E5833" w:rsidP="007E5833">
      <w:pPr>
        <w:rPr>
          <w:rFonts w:ascii="Arial" w:hAnsi="Arial" w:cs="Arial"/>
        </w:rPr>
      </w:pPr>
    </w:p>
    <w:p w14:paraId="1815F6C0" w14:textId="188FB0EF" w:rsidR="007E5833" w:rsidRPr="007E5833" w:rsidRDefault="007E5833" w:rsidP="007E5833">
      <w:pPr>
        <w:rPr>
          <w:rFonts w:ascii="Arial" w:hAnsi="Arial" w:cs="Arial"/>
        </w:rPr>
      </w:pPr>
      <w:r w:rsidRPr="007E5833">
        <w:rPr>
          <w:rFonts w:ascii="Arial" w:hAnsi="Arial" w:cs="Arial"/>
        </w:rPr>
        <w:t xml:space="preserve">Il testimone </w:t>
      </w:r>
      <w:r w:rsidR="00AC63F1">
        <w:rPr>
          <w:rFonts w:ascii="Arial" w:hAnsi="Arial" w:cs="Arial"/>
        </w:rPr>
        <w:t>…</w:t>
      </w:r>
      <w:r w:rsidRPr="007E5833">
        <w:rPr>
          <w:rFonts w:ascii="Arial" w:hAnsi="Arial" w:cs="Arial"/>
        </w:rPr>
        <w:t>, all'epoca paziente della struttura, riferiva che l'imputato d'</w:t>
      </w:r>
      <w:r w:rsidR="00AC63F1">
        <w:rPr>
          <w:rFonts w:ascii="Arial" w:hAnsi="Arial" w:cs="Arial"/>
        </w:rPr>
        <w:t>…</w:t>
      </w:r>
      <w:r w:rsidRPr="007E5833">
        <w:rPr>
          <w:rFonts w:ascii="Arial" w:hAnsi="Arial" w:cs="Arial"/>
        </w:rPr>
        <w:t xml:space="preserve"> nell'anno 2020 gli aveva rincollato direttamente la protesi dentaria.</w:t>
      </w:r>
    </w:p>
    <w:p w14:paraId="1DA7F01B" w14:textId="77777777" w:rsidR="007E5833" w:rsidRPr="007E5833" w:rsidRDefault="007E5833" w:rsidP="007E5833">
      <w:pPr>
        <w:rPr>
          <w:rFonts w:ascii="Arial" w:hAnsi="Arial" w:cs="Arial"/>
        </w:rPr>
      </w:pPr>
    </w:p>
    <w:p w14:paraId="4EB2F2CE" w14:textId="746E1EEF" w:rsidR="007E5833" w:rsidRPr="007E5833" w:rsidRDefault="007E5833" w:rsidP="007E5833">
      <w:pPr>
        <w:rPr>
          <w:rFonts w:ascii="Arial" w:hAnsi="Arial" w:cs="Arial"/>
        </w:rPr>
      </w:pPr>
      <w:r w:rsidRPr="007E5833">
        <w:rPr>
          <w:rFonts w:ascii="Arial" w:hAnsi="Arial" w:cs="Arial"/>
        </w:rPr>
        <w:t xml:space="preserve">Il testimone </w:t>
      </w:r>
      <w:r w:rsidR="00AC63F1">
        <w:rPr>
          <w:rFonts w:ascii="Arial" w:hAnsi="Arial" w:cs="Arial"/>
        </w:rPr>
        <w:t>…</w:t>
      </w:r>
      <w:r w:rsidRPr="007E5833">
        <w:rPr>
          <w:rFonts w:ascii="Arial" w:hAnsi="Arial" w:cs="Arial"/>
        </w:rPr>
        <w:t xml:space="preserve">, seppur a tratti in dibattimento abbia faticato nel rammentare il ruolo di </w:t>
      </w:r>
      <w:r w:rsidR="00AC63F1">
        <w:rPr>
          <w:rFonts w:ascii="Arial" w:hAnsi="Arial" w:cs="Arial"/>
        </w:rPr>
        <w:t>…</w:t>
      </w:r>
      <w:r w:rsidRPr="007E5833">
        <w:rPr>
          <w:rFonts w:ascii="Arial" w:hAnsi="Arial" w:cs="Arial"/>
        </w:rPr>
        <w:t>, nell'ambito delle sue dichiarazioni in indagine ed acquisite ha evidenziato come l'imputato gli abbia direttamente preso l'impronta superiore mettendogli in bocca un cucchiaino con una pasta e, dopò quale ora, gli avesse sistemato la protesi.</w:t>
      </w:r>
    </w:p>
    <w:p w14:paraId="4219AF1D" w14:textId="77777777" w:rsidR="007E5833" w:rsidRPr="007E5833" w:rsidRDefault="007E5833" w:rsidP="007E5833">
      <w:pPr>
        <w:rPr>
          <w:rFonts w:ascii="Arial" w:hAnsi="Arial" w:cs="Arial"/>
        </w:rPr>
      </w:pPr>
    </w:p>
    <w:p w14:paraId="6E5FC30D" w14:textId="5F46C2A7" w:rsidR="007E5833" w:rsidRPr="007E5833" w:rsidRDefault="007E5833" w:rsidP="007E5833">
      <w:pPr>
        <w:rPr>
          <w:rFonts w:ascii="Arial" w:hAnsi="Arial" w:cs="Arial"/>
        </w:rPr>
      </w:pPr>
      <w:r w:rsidRPr="007E5833">
        <w:rPr>
          <w:rFonts w:ascii="Arial" w:hAnsi="Arial" w:cs="Arial"/>
        </w:rPr>
        <w:t xml:space="preserve">Il testimone </w:t>
      </w:r>
      <w:r w:rsidR="00AC63F1">
        <w:rPr>
          <w:rFonts w:ascii="Arial" w:hAnsi="Arial" w:cs="Arial"/>
        </w:rPr>
        <w:t>…</w:t>
      </w:r>
      <w:r w:rsidRPr="007E5833">
        <w:rPr>
          <w:rFonts w:ascii="Arial" w:hAnsi="Arial" w:cs="Arial"/>
        </w:rPr>
        <w:t xml:space="preserve">, invece, negava un diretto intervento </w:t>
      </w:r>
      <w:r w:rsidR="00AC63F1">
        <w:rPr>
          <w:rFonts w:ascii="Arial" w:hAnsi="Arial" w:cs="Arial"/>
        </w:rPr>
        <w:t>…</w:t>
      </w:r>
      <w:r w:rsidRPr="007E5833">
        <w:rPr>
          <w:rFonts w:ascii="Arial" w:hAnsi="Arial" w:cs="Arial"/>
        </w:rPr>
        <w:t>. nelle operazioni odontoiatriche, stando questi fuori dalla stanza e avendo, solo una volta, passato lo strumento ad altro professionista che stava operando materialmente.</w:t>
      </w:r>
    </w:p>
    <w:p w14:paraId="6ACAA98E" w14:textId="77777777" w:rsidR="007E5833" w:rsidRPr="007E5833" w:rsidRDefault="007E5833" w:rsidP="007E5833">
      <w:pPr>
        <w:rPr>
          <w:rFonts w:ascii="Arial" w:hAnsi="Arial" w:cs="Arial"/>
        </w:rPr>
      </w:pPr>
    </w:p>
    <w:p w14:paraId="7BD792B6" w14:textId="77777777" w:rsidR="007E5833" w:rsidRPr="007E5833" w:rsidRDefault="007E5833" w:rsidP="007E5833">
      <w:pPr>
        <w:rPr>
          <w:rFonts w:ascii="Arial" w:hAnsi="Arial" w:cs="Arial"/>
        </w:rPr>
      </w:pPr>
      <w:r w:rsidRPr="007E5833">
        <w:rPr>
          <w:rFonts w:ascii="Arial" w:hAnsi="Arial" w:cs="Arial"/>
        </w:rPr>
        <w:t>Le dichiarazioni rese, infine, dai testimoni Dr. e Ia. chiarivano la dinamica dei rapporti professionali intercorrenti all'interno dello studio dell'imputato.</w:t>
      </w:r>
    </w:p>
    <w:p w14:paraId="18244023" w14:textId="77777777" w:rsidR="007E5833" w:rsidRPr="007E5833" w:rsidRDefault="007E5833" w:rsidP="007E5833">
      <w:pPr>
        <w:rPr>
          <w:rFonts w:ascii="Arial" w:hAnsi="Arial" w:cs="Arial"/>
        </w:rPr>
      </w:pPr>
    </w:p>
    <w:p w14:paraId="41BD4778" w14:textId="77777777" w:rsidR="007E5833" w:rsidRPr="007E5833" w:rsidRDefault="007E5833" w:rsidP="007E5833">
      <w:pPr>
        <w:rPr>
          <w:rFonts w:ascii="Arial" w:hAnsi="Arial" w:cs="Arial"/>
        </w:rPr>
      </w:pPr>
      <w:r w:rsidRPr="007E5833">
        <w:rPr>
          <w:rFonts w:ascii="Arial" w:hAnsi="Arial" w:cs="Arial"/>
        </w:rPr>
        <w:t>2. VALUTAZIONE DELLA PROVA E QUALIFICAZIONE GIURIDICA.</w:t>
      </w:r>
    </w:p>
    <w:p w14:paraId="156BAEBF" w14:textId="77777777" w:rsidR="007E5833" w:rsidRPr="007E5833" w:rsidRDefault="007E5833" w:rsidP="007E5833">
      <w:pPr>
        <w:rPr>
          <w:rFonts w:ascii="Arial" w:hAnsi="Arial" w:cs="Arial"/>
        </w:rPr>
      </w:pPr>
    </w:p>
    <w:p w14:paraId="5F1B9B4B" w14:textId="77777777" w:rsidR="007E5833" w:rsidRPr="007E5833" w:rsidRDefault="007E5833" w:rsidP="007E5833">
      <w:pPr>
        <w:rPr>
          <w:rFonts w:ascii="Arial" w:hAnsi="Arial" w:cs="Arial"/>
        </w:rPr>
      </w:pPr>
      <w:r w:rsidRPr="007E5833">
        <w:rPr>
          <w:rFonts w:ascii="Arial" w:hAnsi="Arial" w:cs="Arial"/>
        </w:rPr>
        <w:lastRenderedPageBreak/>
        <w:t>Cosi compendiati gli elementi di fatto acquisiti nel corso del giudizio, risulta integrato il reato contestato.</w:t>
      </w:r>
    </w:p>
    <w:p w14:paraId="41217825" w14:textId="77777777" w:rsidR="007E5833" w:rsidRPr="007E5833" w:rsidRDefault="007E5833" w:rsidP="007E5833">
      <w:pPr>
        <w:rPr>
          <w:rFonts w:ascii="Arial" w:hAnsi="Arial" w:cs="Arial"/>
        </w:rPr>
      </w:pPr>
    </w:p>
    <w:p w14:paraId="3C0AEC7F" w14:textId="77777777" w:rsidR="007E5833" w:rsidRPr="007E5833" w:rsidRDefault="007E5833" w:rsidP="007E5833">
      <w:pPr>
        <w:rPr>
          <w:rFonts w:ascii="Arial" w:hAnsi="Arial" w:cs="Arial"/>
        </w:rPr>
      </w:pPr>
      <w:r w:rsidRPr="007E5833">
        <w:rPr>
          <w:rFonts w:ascii="Arial" w:hAnsi="Arial" w:cs="Arial"/>
        </w:rPr>
        <w:t>La prova dell'esercizio abusivo della professione di cui all'art. 348 c.p. si ravvisa alla luce delle dichiarazioni dei testimoni Za. e Ma., all'epoca pazienti della struttura dell'imputato nella quale Ag. era odontotecnico e responsabile amministrativo, con la collaborazione di Ia.Fr. quale direttore sanitario nonché di ulteriori professionisti odontoiatri per le connesse prestazioni. Trattasi di dichiarazioni della cui genuinità e attendibilità non Ve alcun motivo di dubitare, peraltro non risultando alcuna versione alternativa e plausibile resa dall'imputato.</w:t>
      </w:r>
    </w:p>
    <w:p w14:paraId="0A1FA1CD" w14:textId="77777777" w:rsidR="007E5833" w:rsidRPr="007E5833" w:rsidRDefault="007E5833" w:rsidP="007E5833">
      <w:pPr>
        <w:rPr>
          <w:rFonts w:ascii="Arial" w:hAnsi="Arial" w:cs="Arial"/>
        </w:rPr>
      </w:pPr>
    </w:p>
    <w:p w14:paraId="7A8EEAE5" w14:textId="77777777" w:rsidR="007E5833" w:rsidRPr="007E5833" w:rsidRDefault="007E5833" w:rsidP="007E5833">
      <w:pPr>
        <w:rPr>
          <w:rFonts w:ascii="Arial" w:hAnsi="Arial" w:cs="Arial"/>
        </w:rPr>
      </w:pPr>
      <w:r w:rsidRPr="007E5833">
        <w:rPr>
          <w:rFonts w:ascii="Arial" w:hAnsi="Arial" w:cs="Arial"/>
        </w:rPr>
        <w:t>In particolare è emerso come nel 2020 l'imputato, all'interno del suo studio, abbia rincollato il ponte, precedentemente staccatosi, riposizionandolo nella bocca di Za.</w:t>
      </w:r>
    </w:p>
    <w:p w14:paraId="57D64096" w14:textId="77777777" w:rsidR="007E5833" w:rsidRPr="007E5833" w:rsidRDefault="007E5833" w:rsidP="007E5833">
      <w:pPr>
        <w:rPr>
          <w:rFonts w:ascii="Arial" w:hAnsi="Arial" w:cs="Arial"/>
        </w:rPr>
      </w:pPr>
    </w:p>
    <w:p w14:paraId="51789BD3" w14:textId="77777777" w:rsidR="007E5833" w:rsidRPr="007E5833" w:rsidRDefault="007E5833" w:rsidP="007E5833">
      <w:pPr>
        <w:rPr>
          <w:rFonts w:ascii="Arial" w:hAnsi="Arial" w:cs="Arial"/>
        </w:rPr>
      </w:pPr>
      <w:r w:rsidRPr="007E5833">
        <w:rPr>
          <w:rFonts w:ascii="Arial" w:hAnsi="Arial" w:cs="Arial"/>
        </w:rPr>
        <w:t>E ancora questi ha rilevato direttamente l'impronta superiore dei denti a Ma. mettendogli in bocca un cucchiaino unitamente a una pasta e, dopo qualche ora, gli ha sistemato la protesi ricollocandogliela in bocca;</w:t>
      </w:r>
    </w:p>
    <w:p w14:paraId="1AFEC59F" w14:textId="77777777" w:rsidR="007E5833" w:rsidRPr="007E5833" w:rsidRDefault="007E5833" w:rsidP="007E5833">
      <w:pPr>
        <w:rPr>
          <w:rFonts w:ascii="Arial" w:hAnsi="Arial" w:cs="Arial"/>
        </w:rPr>
      </w:pPr>
    </w:p>
    <w:p w14:paraId="3AF021AE" w14:textId="77777777" w:rsidR="007E5833" w:rsidRPr="007E5833" w:rsidRDefault="007E5833" w:rsidP="007E5833">
      <w:pPr>
        <w:rPr>
          <w:rFonts w:ascii="Arial" w:hAnsi="Arial" w:cs="Arial"/>
        </w:rPr>
      </w:pPr>
      <w:r w:rsidRPr="007E5833">
        <w:rPr>
          <w:rFonts w:ascii="Arial" w:hAnsi="Arial" w:cs="Arial"/>
        </w:rPr>
        <w:t>nell'occasione è peraltro emerso un ulteriore elemento qualificante ossia che Ag., quel giorno, si trovasse solo a operare all'interno dello studio.</w:t>
      </w:r>
    </w:p>
    <w:p w14:paraId="2948DD8A" w14:textId="77777777" w:rsidR="007E5833" w:rsidRPr="007E5833" w:rsidRDefault="007E5833" w:rsidP="007E5833">
      <w:pPr>
        <w:rPr>
          <w:rFonts w:ascii="Arial" w:hAnsi="Arial" w:cs="Arial"/>
        </w:rPr>
      </w:pPr>
    </w:p>
    <w:p w14:paraId="6B67BBFD" w14:textId="77777777" w:rsidR="007E5833" w:rsidRPr="007E5833" w:rsidRDefault="007E5833" w:rsidP="007E5833">
      <w:pPr>
        <w:rPr>
          <w:rFonts w:ascii="Arial" w:hAnsi="Arial" w:cs="Arial"/>
        </w:rPr>
      </w:pPr>
      <w:r w:rsidRPr="007E5833">
        <w:rPr>
          <w:rFonts w:ascii="Arial" w:hAnsi="Arial" w:cs="Arial"/>
        </w:rPr>
        <w:t>Va dunque osservato che "integrano il delitto di esercizio abusivo della professione medica le condotte consistenti nella diretta rilevazione delle impronte dentarie e nell'ispezione della cavità orale del paziente da parte di un odontotecnico per verificare le condizioni di una protesi o per istallarla, posto che per tale figura professionale l'art. 11 r.d. 31 maggio 1928, n. 1334 preclude qualunque manovra nella bocca del partente" (Sez. 5, Sentenza n. 17164 del 25/03/2024 Ud. (dep. 24/04/2024) Rv. 286251 - 01). E ancora "commette il delitto di esercizio abusivo della professione medica, Fodontotecnico il quale provveda ad ispezionare la cavità orale del paziente per verificare le condizioni di una protesi, rientrando tale operazione in quelle riservate air odontoiatra giacchi si risolve in un rapporto diretto con il paziente medesimo" (Sez. 6, Sentenza n. 44098 del 21/10/2008 Ud. (dep. 26/11/2008) Rv. 242367 - 01).</w:t>
      </w:r>
    </w:p>
    <w:p w14:paraId="05A3D658" w14:textId="77777777" w:rsidR="007E5833" w:rsidRPr="007E5833" w:rsidRDefault="007E5833" w:rsidP="007E5833">
      <w:pPr>
        <w:rPr>
          <w:rFonts w:ascii="Arial" w:hAnsi="Arial" w:cs="Arial"/>
        </w:rPr>
      </w:pPr>
    </w:p>
    <w:p w14:paraId="7962A424" w14:textId="77777777" w:rsidR="007E5833" w:rsidRPr="007E5833" w:rsidRDefault="007E5833" w:rsidP="007E5833">
      <w:pPr>
        <w:rPr>
          <w:rFonts w:ascii="Arial" w:hAnsi="Arial" w:cs="Arial"/>
        </w:rPr>
      </w:pPr>
      <w:r w:rsidRPr="007E5833">
        <w:rPr>
          <w:rFonts w:ascii="Arial" w:hAnsi="Arial" w:cs="Arial"/>
        </w:rPr>
        <w:t xml:space="preserve">Ebbene l'imputato Ag., odontotecnico e titolare dello studio dentistico in Via (Omissis), ha materialmente eseguito sui pazienti Za. e Ma. operazioni riservate all'odontoiatra rilevando le impronte dentarie e collocando protesi all'interno della bocca dei predetti. Tali condotte, tutt'uno con la circostanza che in occasione della visita al Ma. l'imputato Ag. fosse l'unico </w:t>
      </w:r>
      <w:r w:rsidRPr="007E5833">
        <w:rPr>
          <w:rFonts w:ascii="Arial" w:hAnsi="Arial" w:cs="Arial"/>
        </w:rPr>
        <w:lastRenderedPageBreak/>
        <w:t>operatore all'interno della struttura, elemento che rafforza la tipicità del fatto e ne illumina il dolo, integra il reato contestato in tutti i suoi elementi.</w:t>
      </w:r>
    </w:p>
    <w:p w14:paraId="583FDF6E" w14:textId="77777777" w:rsidR="007E5833" w:rsidRPr="007E5833" w:rsidRDefault="007E5833" w:rsidP="007E5833">
      <w:pPr>
        <w:rPr>
          <w:rFonts w:ascii="Arial" w:hAnsi="Arial" w:cs="Arial"/>
        </w:rPr>
      </w:pPr>
    </w:p>
    <w:p w14:paraId="256B5D99" w14:textId="77777777" w:rsidR="007E5833" w:rsidRPr="007E5833" w:rsidRDefault="007E5833" w:rsidP="007E5833">
      <w:pPr>
        <w:rPr>
          <w:rFonts w:ascii="Arial" w:hAnsi="Arial" w:cs="Arial"/>
        </w:rPr>
      </w:pPr>
      <w:r w:rsidRPr="007E5833">
        <w:rPr>
          <w:rFonts w:ascii="Arial" w:hAnsi="Arial" w:cs="Arial"/>
        </w:rPr>
        <w:t>Deve tuttavia precisarsi, in punto di qualificazione giuridica, che le plurime condotte ascrivibili ad Ag. non integrano plurimi reati avvinti dalla continuazione bensì un unico reato, eventualmente abituale, da ciò conseguendo la riqualificazione del fatto espungendo ogni riferimento al reato continuato di cui all'art. 81 cpv. c.p.; trattasi di impostazione suffragata dalla giurisprudenza secondo cui "in tema di esercizio abusivo della professione, questo reato è considerato solo eventualmente abituale, ha reiteratone degli atti tipici dà luogo ad un unico reato, il cui momento consumativo coincide con l'ultimo atto posto in essere, ovvero con la cessatone della condotta (Cass. Pen. Sez. II, ti. 9941 del 19 febbraio 2025).</w:t>
      </w:r>
    </w:p>
    <w:p w14:paraId="22F279DF" w14:textId="77777777" w:rsidR="007E5833" w:rsidRPr="007E5833" w:rsidRDefault="007E5833" w:rsidP="007E5833">
      <w:pPr>
        <w:rPr>
          <w:rFonts w:ascii="Arial" w:hAnsi="Arial" w:cs="Arial"/>
        </w:rPr>
      </w:pPr>
    </w:p>
    <w:p w14:paraId="4B3A17D5" w14:textId="77777777" w:rsidR="007E5833" w:rsidRPr="007E5833" w:rsidRDefault="007E5833" w:rsidP="007E5833">
      <w:pPr>
        <w:rPr>
          <w:rFonts w:ascii="Arial" w:hAnsi="Arial" w:cs="Arial"/>
        </w:rPr>
      </w:pPr>
      <w:r w:rsidRPr="007E5833">
        <w:rPr>
          <w:rFonts w:ascii="Arial" w:hAnsi="Arial" w:cs="Arial"/>
        </w:rPr>
        <w:t>Il fatto non può essere valutato in termini di particolare tenuità ai sensi dell'art. 131-bis c.p.</w:t>
      </w:r>
    </w:p>
    <w:p w14:paraId="0EB12C96" w14:textId="77777777" w:rsidR="007E5833" w:rsidRPr="007E5833" w:rsidRDefault="007E5833" w:rsidP="007E5833">
      <w:pPr>
        <w:rPr>
          <w:rFonts w:ascii="Arial" w:hAnsi="Arial" w:cs="Arial"/>
        </w:rPr>
      </w:pPr>
    </w:p>
    <w:p w14:paraId="3E0820AD" w14:textId="77777777" w:rsidR="007E5833" w:rsidRPr="007E5833" w:rsidRDefault="007E5833" w:rsidP="007E5833">
      <w:pPr>
        <w:rPr>
          <w:rFonts w:ascii="Arial" w:hAnsi="Arial" w:cs="Arial"/>
        </w:rPr>
      </w:pPr>
      <w:r w:rsidRPr="007E5833">
        <w:rPr>
          <w:rFonts w:ascii="Arial" w:hAnsi="Arial" w:cs="Arial"/>
        </w:rPr>
        <w:t>Da un lato il fatto concreto palesa uno schiacciante rapporto tra il numero dei pazienti controllati e coloro che hanno dichiarato di aver ricevuto prestazioni odontoiatriche dall'imputato: in particolare oltre cinquanta pazienti sentiti hanno dichiarato di aver ricevuto prestazioni odontoiatriche da altri professionisti abilitati collaboratori dello studio e non già dall'Ag., mentre solo i due pazienti Ma. e Za. hanno dichiarato il contrario. Né può valorizzarsi al fine di aggravare il fatto la circostanza che l'imputato sia stato colto all'atto del celare quanto rinvenuto dagli operanti in sede di controllo amministrativo, poiché un conto sono le irregolarità che hanno condotto alle sanzioni amministrative nei confronti di Ag. quale odontotecnico, ben altro sono gli elementi a comprova del suo esercizio della professione di odontoiatra, fattispecie sorretta unicamente dalle dichiarazioni dei pazienti. E tuttavia ciò che osta alla tenuità del fatto ai sensi dell'art. 131 bis c.p. è il comportamento abituale e la personalità dell'imputato: in primo luogo il comportamento dell'imputato risulta reiterato nei confronti dei pazienti Za. e Ma., peraltro evidenziandosi come l'esercizio abusivo in occasione della visita a Ma. si sia tradotto in due distinti momenti ossia un primo intervento e, a distanza di qualche ora, un secondo intervento per ricollocare la protesi; in secondo lugo è qualificato dalla circostanza che, sempre in occasione del controllo a Ma., Ag. fosse l'unico ad operare all'interno della struttura, da ciò corroborando l'apparenza di un abituale esercizio della professione; ed infine dal casellario dell'imputato risultano specifici precedenti penali per esercizio abusivo della professione accertati il 16 settembre 1995 (p. 1 casellario) nonché dal 2005 al 15 aprile 2009 (p. 2 casellario), ciò che definitivamente conduce all'esclusione soggettiva della causa di non punibilità.</w:t>
      </w:r>
    </w:p>
    <w:p w14:paraId="58DA70CD" w14:textId="77777777" w:rsidR="007E5833" w:rsidRPr="007E5833" w:rsidRDefault="007E5833" w:rsidP="007E5833">
      <w:pPr>
        <w:rPr>
          <w:rFonts w:ascii="Arial" w:hAnsi="Arial" w:cs="Arial"/>
        </w:rPr>
      </w:pPr>
    </w:p>
    <w:p w14:paraId="4F264E26" w14:textId="77777777" w:rsidR="007E5833" w:rsidRPr="007E5833" w:rsidRDefault="007E5833" w:rsidP="007E5833">
      <w:pPr>
        <w:rPr>
          <w:rFonts w:ascii="Arial" w:hAnsi="Arial" w:cs="Arial"/>
        </w:rPr>
      </w:pPr>
      <w:r w:rsidRPr="007E5833">
        <w:rPr>
          <w:rFonts w:ascii="Arial" w:hAnsi="Arial" w:cs="Arial"/>
        </w:rPr>
        <w:t>Possono tuttavia concedersi le circostanze attenuanti generiche in ragione del comportamento processuale e in particolare dell'acquisizione di tutte le dichiarazioni rese dai pazienti della struttura.</w:t>
      </w:r>
    </w:p>
    <w:p w14:paraId="0B90F44E" w14:textId="77777777" w:rsidR="007E5833" w:rsidRPr="007E5833" w:rsidRDefault="007E5833" w:rsidP="007E5833">
      <w:pPr>
        <w:rPr>
          <w:rFonts w:ascii="Arial" w:hAnsi="Arial" w:cs="Arial"/>
        </w:rPr>
      </w:pPr>
    </w:p>
    <w:p w14:paraId="52F90869" w14:textId="77777777" w:rsidR="007E5833" w:rsidRPr="007E5833" w:rsidRDefault="007E5833" w:rsidP="007E5833">
      <w:pPr>
        <w:rPr>
          <w:rFonts w:ascii="Arial" w:hAnsi="Arial" w:cs="Arial"/>
        </w:rPr>
      </w:pPr>
      <w:r w:rsidRPr="007E5833">
        <w:rPr>
          <w:rFonts w:ascii="Arial" w:hAnsi="Arial" w:cs="Arial"/>
        </w:rPr>
        <w:t>Va invero ravvisata ed applicata la contestata recidiva poiché i fatti per cui si procede sono esattamente analoghi ai precedenti penali per esercizio abusivo della professione accertati il 16 settembre 1995 (p. 1 casellario) nonché dal 2005 al 15 aprile 2009 (p. 2 casellario), da ciò emergendo una reiterazione nel tempo delle medesime condotte senza alcuna revisione critica delle proprie azioni che, tutt'uno con la circostanza che in un'occasione abbia esercitato atti tipici dell'odontoiatra perfino trovandosi a operare quale unico professionista all'interno dello studio, fa concludere per un giudizio di maggior rimprovero del fatto e di pericolosità sociale dell'imputato.</w:t>
      </w:r>
    </w:p>
    <w:p w14:paraId="36C48733" w14:textId="77777777" w:rsidR="007E5833" w:rsidRPr="007E5833" w:rsidRDefault="007E5833" w:rsidP="007E5833">
      <w:pPr>
        <w:rPr>
          <w:rFonts w:ascii="Arial" w:hAnsi="Arial" w:cs="Arial"/>
        </w:rPr>
      </w:pPr>
    </w:p>
    <w:p w14:paraId="2C838E50" w14:textId="77777777" w:rsidR="007E5833" w:rsidRPr="007E5833" w:rsidRDefault="007E5833" w:rsidP="007E5833">
      <w:pPr>
        <w:rPr>
          <w:rFonts w:ascii="Arial" w:hAnsi="Arial" w:cs="Arial"/>
        </w:rPr>
      </w:pPr>
      <w:r w:rsidRPr="007E5833">
        <w:rPr>
          <w:rFonts w:ascii="Arial" w:hAnsi="Arial" w:cs="Arial"/>
        </w:rPr>
        <w:t>3. TRATTAMENTO SANZIONATORIO</w:t>
      </w:r>
    </w:p>
    <w:p w14:paraId="4DF76449" w14:textId="77777777" w:rsidR="007E5833" w:rsidRPr="007E5833" w:rsidRDefault="007E5833" w:rsidP="007E5833">
      <w:pPr>
        <w:rPr>
          <w:rFonts w:ascii="Arial" w:hAnsi="Arial" w:cs="Arial"/>
        </w:rPr>
      </w:pPr>
    </w:p>
    <w:p w14:paraId="26CF1A77" w14:textId="77777777" w:rsidR="007E5833" w:rsidRPr="007E5833" w:rsidRDefault="007E5833" w:rsidP="007E5833">
      <w:pPr>
        <w:rPr>
          <w:rFonts w:ascii="Arial" w:hAnsi="Arial" w:cs="Arial"/>
        </w:rPr>
      </w:pPr>
      <w:r w:rsidRPr="007E5833">
        <w:rPr>
          <w:rFonts w:ascii="Arial" w:hAnsi="Arial" w:cs="Arial"/>
        </w:rPr>
        <w:t>Valutati i criteri stabiliti dall'art. 133 c.p., riqualificato il fatto ai sensi dell'art. 348 c.p. e riconosciute le circostanze attenuanti generiche in regime di prevalenza rispetto alla contestata recidiva, risulta congrua la pena finale di 4 mesi di reclusione e 7.000 Euro di multa così calcolata:</w:t>
      </w:r>
    </w:p>
    <w:p w14:paraId="723707D1" w14:textId="77777777" w:rsidR="007E5833" w:rsidRPr="007E5833" w:rsidRDefault="007E5833" w:rsidP="007E5833">
      <w:pPr>
        <w:rPr>
          <w:rFonts w:ascii="Arial" w:hAnsi="Arial" w:cs="Arial"/>
        </w:rPr>
      </w:pPr>
    </w:p>
    <w:p w14:paraId="4433CCCB" w14:textId="77777777" w:rsidR="007E5833" w:rsidRPr="007E5833" w:rsidRDefault="007E5833" w:rsidP="007E5833">
      <w:pPr>
        <w:rPr>
          <w:rFonts w:ascii="Arial" w:hAnsi="Arial" w:cs="Arial"/>
        </w:rPr>
      </w:pPr>
      <w:r w:rsidRPr="007E5833">
        <w:rPr>
          <w:rFonts w:ascii="Arial" w:hAnsi="Arial" w:cs="Arial"/>
        </w:rPr>
        <w:t>- pena base: 6 mesi di reclusione e 10.000 Euro di multa;</w:t>
      </w:r>
    </w:p>
    <w:p w14:paraId="124468EE" w14:textId="77777777" w:rsidR="007E5833" w:rsidRPr="007E5833" w:rsidRDefault="007E5833" w:rsidP="007E5833">
      <w:pPr>
        <w:rPr>
          <w:rFonts w:ascii="Arial" w:hAnsi="Arial" w:cs="Arial"/>
        </w:rPr>
      </w:pPr>
    </w:p>
    <w:p w14:paraId="657A3C7D" w14:textId="77777777" w:rsidR="007E5833" w:rsidRPr="007E5833" w:rsidRDefault="007E5833" w:rsidP="007E5833">
      <w:pPr>
        <w:rPr>
          <w:rFonts w:ascii="Arial" w:hAnsi="Arial" w:cs="Arial"/>
        </w:rPr>
      </w:pPr>
      <w:r w:rsidRPr="007E5833">
        <w:rPr>
          <w:rFonts w:ascii="Arial" w:hAnsi="Arial" w:cs="Arial"/>
        </w:rPr>
        <w:t>- diminuzione per l'applicazione delle attenuanti generiche: 4 mesi di reclusione e 7.000 Euro di multa;</w:t>
      </w:r>
    </w:p>
    <w:p w14:paraId="1D6F72EF" w14:textId="77777777" w:rsidR="007E5833" w:rsidRPr="007E5833" w:rsidRDefault="007E5833" w:rsidP="007E5833">
      <w:pPr>
        <w:rPr>
          <w:rFonts w:ascii="Arial" w:hAnsi="Arial" w:cs="Arial"/>
        </w:rPr>
      </w:pPr>
    </w:p>
    <w:p w14:paraId="57990766" w14:textId="77777777" w:rsidR="007E5833" w:rsidRPr="007E5833" w:rsidRDefault="007E5833" w:rsidP="007E5833">
      <w:pPr>
        <w:rPr>
          <w:rFonts w:ascii="Arial" w:hAnsi="Arial" w:cs="Arial"/>
        </w:rPr>
      </w:pPr>
      <w:r w:rsidRPr="007E5833">
        <w:rPr>
          <w:rFonts w:ascii="Arial" w:hAnsi="Arial" w:cs="Arial"/>
        </w:rPr>
        <w:t>Non può concedersi la sospensione condizionale della pena di cui all'art. 163 c.p., avendone l'imputato già beneficiato più di due volte.</w:t>
      </w:r>
    </w:p>
    <w:p w14:paraId="24BDC653" w14:textId="77777777" w:rsidR="007E5833" w:rsidRPr="007E5833" w:rsidRDefault="007E5833" w:rsidP="007E5833">
      <w:pPr>
        <w:rPr>
          <w:rFonts w:ascii="Arial" w:hAnsi="Arial" w:cs="Arial"/>
        </w:rPr>
      </w:pPr>
    </w:p>
    <w:p w14:paraId="1F6E11B5" w14:textId="77777777" w:rsidR="007E5833" w:rsidRPr="007E5833" w:rsidRDefault="007E5833" w:rsidP="007E5833">
      <w:pPr>
        <w:rPr>
          <w:rFonts w:ascii="Arial" w:hAnsi="Arial" w:cs="Arial"/>
        </w:rPr>
      </w:pPr>
      <w:r w:rsidRPr="007E5833">
        <w:rPr>
          <w:rFonts w:ascii="Arial" w:hAnsi="Arial" w:cs="Arial"/>
        </w:rPr>
        <w:t>Va disposto il dissequestro dei beni non ancora restituiti all'avente diritto, stante il venir meno delle esigenze probatorie, ai sensi dell'art. 262 c.p.p.</w:t>
      </w:r>
    </w:p>
    <w:p w14:paraId="5CA9FF08" w14:textId="77777777" w:rsidR="007E5833" w:rsidRPr="007E5833" w:rsidRDefault="007E5833" w:rsidP="007E5833">
      <w:pPr>
        <w:rPr>
          <w:rFonts w:ascii="Arial" w:hAnsi="Arial" w:cs="Arial"/>
        </w:rPr>
      </w:pPr>
    </w:p>
    <w:p w14:paraId="00A9AB2E" w14:textId="77777777" w:rsidR="007E5833" w:rsidRPr="007E5833" w:rsidRDefault="007E5833" w:rsidP="007E5833">
      <w:pPr>
        <w:rPr>
          <w:rFonts w:ascii="Arial" w:hAnsi="Arial" w:cs="Arial"/>
        </w:rPr>
      </w:pPr>
      <w:r w:rsidRPr="007E5833">
        <w:rPr>
          <w:rFonts w:ascii="Arial" w:hAnsi="Arial" w:cs="Arial"/>
        </w:rPr>
        <w:t>Alla condanna consegue il pagamento delle spese processuali (art.535 c.p.p.).</w:t>
      </w:r>
    </w:p>
    <w:p w14:paraId="0818ABF4" w14:textId="77777777" w:rsidR="007E5833" w:rsidRPr="007E5833" w:rsidRDefault="007E5833" w:rsidP="007E5833">
      <w:pPr>
        <w:rPr>
          <w:rFonts w:ascii="Arial" w:hAnsi="Arial" w:cs="Arial"/>
        </w:rPr>
      </w:pPr>
    </w:p>
    <w:p w14:paraId="35895183" w14:textId="77777777" w:rsidR="007E5833" w:rsidRPr="007E5833" w:rsidRDefault="007E5833" w:rsidP="007E5833">
      <w:pPr>
        <w:rPr>
          <w:rFonts w:ascii="Arial" w:hAnsi="Arial" w:cs="Arial"/>
        </w:rPr>
      </w:pPr>
      <w:r w:rsidRPr="007E5833">
        <w:rPr>
          <w:rFonts w:ascii="Arial" w:hAnsi="Arial" w:cs="Arial"/>
        </w:rPr>
        <w:t>Data la natura della vicenda processuale e il carico del ruolo risulta termine congruo per la redazione della motivazione quello pari a giorni 30.</w:t>
      </w:r>
    </w:p>
    <w:p w14:paraId="7008D176" w14:textId="77777777" w:rsidR="007E5833" w:rsidRPr="007E5833" w:rsidRDefault="007E5833" w:rsidP="007E5833">
      <w:pPr>
        <w:rPr>
          <w:rFonts w:ascii="Arial" w:hAnsi="Arial" w:cs="Arial"/>
        </w:rPr>
      </w:pPr>
      <w:r w:rsidRPr="007E5833">
        <w:rPr>
          <w:rFonts w:ascii="Arial" w:hAnsi="Arial" w:cs="Arial"/>
        </w:rPr>
        <w:t>P.Q.M</w:t>
      </w:r>
    </w:p>
    <w:p w14:paraId="1D588D50" w14:textId="77777777" w:rsidR="007E5833" w:rsidRPr="007E5833" w:rsidRDefault="007E5833" w:rsidP="007E5833">
      <w:pPr>
        <w:rPr>
          <w:rFonts w:ascii="Arial" w:hAnsi="Arial" w:cs="Arial"/>
        </w:rPr>
      </w:pPr>
      <w:r w:rsidRPr="007E5833">
        <w:rPr>
          <w:rFonts w:ascii="Arial" w:hAnsi="Arial" w:cs="Arial"/>
        </w:rPr>
        <w:t>P.Q.M.</w:t>
      </w:r>
    </w:p>
    <w:p w14:paraId="6931E9D6" w14:textId="77777777" w:rsidR="007E5833" w:rsidRPr="007E5833" w:rsidRDefault="007E5833" w:rsidP="007E5833">
      <w:pPr>
        <w:rPr>
          <w:rFonts w:ascii="Arial" w:hAnsi="Arial" w:cs="Arial"/>
        </w:rPr>
      </w:pPr>
    </w:p>
    <w:p w14:paraId="3AE4A44A" w14:textId="77777777" w:rsidR="007E5833" w:rsidRPr="007E5833" w:rsidRDefault="007E5833" w:rsidP="007E5833">
      <w:pPr>
        <w:rPr>
          <w:rFonts w:ascii="Arial" w:hAnsi="Arial" w:cs="Arial"/>
        </w:rPr>
      </w:pPr>
      <w:r w:rsidRPr="007E5833">
        <w:rPr>
          <w:rFonts w:ascii="Arial" w:hAnsi="Arial" w:cs="Arial"/>
        </w:rPr>
        <w:t>il Tribunale di Gorizia, in composizione monocratica.</w:t>
      </w:r>
    </w:p>
    <w:p w14:paraId="707F73C9" w14:textId="77777777" w:rsidR="007E5833" w:rsidRPr="007E5833" w:rsidRDefault="007E5833" w:rsidP="007E5833">
      <w:pPr>
        <w:rPr>
          <w:rFonts w:ascii="Arial" w:hAnsi="Arial" w:cs="Arial"/>
        </w:rPr>
      </w:pPr>
    </w:p>
    <w:p w14:paraId="6489DC1B" w14:textId="77777777" w:rsidR="007E5833" w:rsidRPr="007E5833" w:rsidRDefault="007E5833" w:rsidP="007E5833">
      <w:pPr>
        <w:rPr>
          <w:rFonts w:ascii="Arial" w:hAnsi="Arial" w:cs="Arial"/>
        </w:rPr>
      </w:pPr>
      <w:r w:rsidRPr="007E5833">
        <w:rPr>
          <w:rFonts w:ascii="Arial" w:hAnsi="Arial" w:cs="Arial"/>
        </w:rPr>
        <w:t>Visti gli artt. 533 e 535 c.p.p.,</w:t>
      </w:r>
    </w:p>
    <w:p w14:paraId="17CDDBD7" w14:textId="77777777" w:rsidR="007E5833" w:rsidRPr="007E5833" w:rsidRDefault="007E5833" w:rsidP="007E5833">
      <w:pPr>
        <w:rPr>
          <w:rFonts w:ascii="Arial" w:hAnsi="Arial" w:cs="Arial"/>
        </w:rPr>
      </w:pPr>
    </w:p>
    <w:p w14:paraId="4F778D63" w14:textId="77777777" w:rsidR="007E5833" w:rsidRPr="007E5833" w:rsidRDefault="007E5833" w:rsidP="007E5833">
      <w:pPr>
        <w:rPr>
          <w:rFonts w:ascii="Arial" w:hAnsi="Arial" w:cs="Arial"/>
        </w:rPr>
      </w:pPr>
      <w:r w:rsidRPr="007E5833">
        <w:rPr>
          <w:rFonts w:ascii="Arial" w:hAnsi="Arial" w:cs="Arial"/>
        </w:rPr>
        <w:t>DICHIARA</w:t>
      </w:r>
    </w:p>
    <w:p w14:paraId="3877F757" w14:textId="77777777" w:rsidR="007E5833" w:rsidRPr="007E5833" w:rsidRDefault="007E5833" w:rsidP="007E5833">
      <w:pPr>
        <w:rPr>
          <w:rFonts w:ascii="Arial" w:hAnsi="Arial" w:cs="Arial"/>
        </w:rPr>
      </w:pPr>
    </w:p>
    <w:p w14:paraId="6D589F6B" w14:textId="77777777" w:rsidR="007E5833" w:rsidRPr="007E5833" w:rsidRDefault="007E5833" w:rsidP="007E5833">
      <w:pPr>
        <w:rPr>
          <w:rFonts w:ascii="Arial" w:hAnsi="Arial" w:cs="Arial"/>
        </w:rPr>
      </w:pPr>
      <w:r w:rsidRPr="007E5833">
        <w:rPr>
          <w:rFonts w:ascii="Arial" w:hAnsi="Arial" w:cs="Arial"/>
        </w:rPr>
        <w:t>Ag. Stefano colpevole del fatto a lui ascritto riqualificato ai sensi dell'art. 348 c.p. e, riconosciute le circostanze attenuanti generiche in regime di prevalenza rispetto alla contestata recidiva, lo</w:t>
      </w:r>
    </w:p>
    <w:p w14:paraId="7BE8AB67" w14:textId="77777777" w:rsidR="007E5833" w:rsidRPr="007E5833" w:rsidRDefault="007E5833" w:rsidP="007E5833">
      <w:pPr>
        <w:rPr>
          <w:rFonts w:ascii="Arial" w:hAnsi="Arial" w:cs="Arial"/>
        </w:rPr>
      </w:pPr>
    </w:p>
    <w:p w14:paraId="28047F09" w14:textId="77777777" w:rsidR="007E5833" w:rsidRPr="007E5833" w:rsidRDefault="007E5833" w:rsidP="007E5833">
      <w:pPr>
        <w:rPr>
          <w:rFonts w:ascii="Arial" w:hAnsi="Arial" w:cs="Arial"/>
        </w:rPr>
      </w:pPr>
      <w:r w:rsidRPr="007E5833">
        <w:rPr>
          <w:rFonts w:ascii="Arial" w:hAnsi="Arial" w:cs="Arial"/>
        </w:rPr>
        <w:t>CONDANNA</w:t>
      </w:r>
    </w:p>
    <w:p w14:paraId="4F8A5668" w14:textId="77777777" w:rsidR="007E5833" w:rsidRPr="007E5833" w:rsidRDefault="007E5833" w:rsidP="007E5833">
      <w:pPr>
        <w:rPr>
          <w:rFonts w:ascii="Arial" w:hAnsi="Arial" w:cs="Arial"/>
        </w:rPr>
      </w:pPr>
    </w:p>
    <w:p w14:paraId="0921C155" w14:textId="77777777" w:rsidR="007E5833" w:rsidRPr="007E5833" w:rsidRDefault="007E5833" w:rsidP="007E5833">
      <w:pPr>
        <w:rPr>
          <w:rFonts w:ascii="Arial" w:hAnsi="Arial" w:cs="Arial"/>
        </w:rPr>
      </w:pPr>
      <w:r w:rsidRPr="007E5833">
        <w:rPr>
          <w:rFonts w:ascii="Arial" w:hAnsi="Arial" w:cs="Arial"/>
        </w:rPr>
        <w:t>alla pena di 4 mesi di reclusione e 7.000 Euro di multa, oltre al pagamento delle spese processuali.</w:t>
      </w:r>
    </w:p>
    <w:p w14:paraId="6F027C6B" w14:textId="77777777" w:rsidR="007E5833" w:rsidRPr="007E5833" w:rsidRDefault="007E5833" w:rsidP="007E5833">
      <w:pPr>
        <w:rPr>
          <w:rFonts w:ascii="Arial" w:hAnsi="Arial" w:cs="Arial"/>
        </w:rPr>
      </w:pPr>
    </w:p>
    <w:p w14:paraId="4D6C0AF5" w14:textId="77777777" w:rsidR="007E5833" w:rsidRPr="007E5833" w:rsidRDefault="007E5833" w:rsidP="007E5833">
      <w:pPr>
        <w:rPr>
          <w:rFonts w:ascii="Arial" w:hAnsi="Arial" w:cs="Arial"/>
        </w:rPr>
      </w:pPr>
      <w:r w:rsidRPr="007E5833">
        <w:rPr>
          <w:rFonts w:ascii="Arial" w:hAnsi="Arial" w:cs="Arial"/>
        </w:rPr>
        <w:t>Visto l'art. 262 c.p.p.</w:t>
      </w:r>
    </w:p>
    <w:p w14:paraId="44ED3D08" w14:textId="77777777" w:rsidR="007E5833" w:rsidRPr="007E5833" w:rsidRDefault="007E5833" w:rsidP="007E5833">
      <w:pPr>
        <w:rPr>
          <w:rFonts w:ascii="Arial" w:hAnsi="Arial" w:cs="Arial"/>
        </w:rPr>
      </w:pPr>
    </w:p>
    <w:p w14:paraId="5C4B488D" w14:textId="77777777" w:rsidR="007E5833" w:rsidRPr="007E5833" w:rsidRDefault="007E5833" w:rsidP="007E5833">
      <w:pPr>
        <w:rPr>
          <w:rFonts w:ascii="Arial" w:hAnsi="Arial" w:cs="Arial"/>
        </w:rPr>
      </w:pPr>
      <w:r w:rsidRPr="007E5833">
        <w:rPr>
          <w:rFonts w:ascii="Arial" w:hAnsi="Arial" w:cs="Arial"/>
        </w:rPr>
        <w:t>DISPONE</w:t>
      </w:r>
    </w:p>
    <w:p w14:paraId="4F2B3199" w14:textId="77777777" w:rsidR="007E5833" w:rsidRPr="007E5833" w:rsidRDefault="007E5833" w:rsidP="007E5833">
      <w:pPr>
        <w:rPr>
          <w:rFonts w:ascii="Arial" w:hAnsi="Arial" w:cs="Arial"/>
        </w:rPr>
      </w:pPr>
    </w:p>
    <w:p w14:paraId="471A9565" w14:textId="77777777" w:rsidR="007E5833" w:rsidRPr="007E5833" w:rsidRDefault="007E5833" w:rsidP="007E5833">
      <w:pPr>
        <w:rPr>
          <w:rFonts w:ascii="Arial" w:hAnsi="Arial" w:cs="Arial"/>
        </w:rPr>
      </w:pPr>
      <w:r w:rsidRPr="007E5833">
        <w:rPr>
          <w:rFonts w:ascii="Arial" w:hAnsi="Arial" w:cs="Arial"/>
        </w:rPr>
        <w:t>la restituzione dei beni in sequestro all'avente diritto. Visto l'art. 348 co.2 c.p.</w:t>
      </w:r>
    </w:p>
    <w:p w14:paraId="61E22339" w14:textId="77777777" w:rsidR="007E5833" w:rsidRPr="007E5833" w:rsidRDefault="007E5833" w:rsidP="007E5833">
      <w:pPr>
        <w:rPr>
          <w:rFonts w:ascii="Arial" w:hAnsi="Arial" w:cs="Arial"/>
        </w:rPr>
      </w:pPr>
    </w:p>
    <w:p w14:paraId="3B6E3240" w14:textId="77777777" w:rsidR="007E5833" w:rsidRPr="007E5833" w:rsidRDefault="007E5833" w:rsidP="007E5833">
      <w:pPr>
        <w:rPr>
          <w:rFonts w:ascii="Arial" w:hAnsi="Arial" w:cs="Arial"/>
        </w:rPr>
      </w:pPr>
      <w:r w:rsidRPr="007E5833">
        <w:rPr>
          <w:rFonts w:ascii="Arial" w:hAnsi="Arial" w:cs="Arial"/>
        </w:rPr>
        <w:t>DISPONE</w:t>
      </w:r>
    </w:p>
    <w:p w14:paraId="0D8A9459" w14:textId="77777777" w:rsidR="007E5833" w:rsidRPr="007E5833" w:rsidRDefault="007E5833" w:rsidP="007E5833">
      <w:pPr>
        <w:rPr>
          <w:rFonts w:ascii="Arial" w:hAnsi="Arial" w:cs="Arial"/>
        </w:rPr>
      </w:pPr>
    </w:p>
    <w:p w14:paraId="1869DEAB" w14:textId="77777777" w:rsidR="007E5833" w:rsidRPr="007E5833" w:rsidRDefault="007E5833" w:rsidP="007E5833">
      <w:pPr>
        <w:rPr>
          <w:rFonts w:ascii="Arial" w:hAnsi="Arial" w:cs="Arial"/>
        </w:rPr>
      </w:pPr>
      <w:r w:rsidRPr="007E5833">
        <w:rPr>
          <w:rFonts w:ascii="Arial" w:hAnsi="Arial" w:cs="Arial"/>
        </w:rPr>
        <w:t>la trasmissione della sentenza all'Ordine di appartenenza di Ag.St.</w:t>
      </w:r>
    </w:p>
    <w:p w14:paraId="309012C6" w14:textId="77777777" w:rsidR="007E5833" w:rsidRPr="007E5833" w:rsidRDefault="007E5833" w:rsidP="007E5833">
      <w:pPr>
        <w:rPr>
          <w:rFonts w:ascii="Arial" w:hAnsi="Arial" w:cs="Arial"/>
        </w:rPr>
      </w:pPr>
    </w:p>
    <w:p w14:paraId="222D08CD" w14:textId="77777777" w:rsidR="007E5833" w:rsidRPr="007E5833" w:rsidRDefault="007E5833" w:rsidP="007E5833">
      <w:pPr>
        <w:rPr>
          <w:rFonts w:ascii="Arial" w:hAnsi="Arial" w:cs="Arial"/>
        </w:rPr>
      </w:pPr>
      <w:r w:rsidRPr="007E5833">
        <w:rPr>
          <w:rFonts w:ascii="Arial" w:hAnsi="Arial" w:cs="Arial"/>
        </w:rPr>
        <w:t>Visto l'art. 544, co. 3, c.p.p.,</w:t>
      </w:r>
    </w:p>
    <w:p w14:paraId="34B77644" w14:textId="77777777" w:rsidR="007E5833" w:rsidRPr="007E5833" w:rsidRDefault="007E5833" w:rsidP="007E5833">
      <w:pPr>
        <w:rPr>
          <w:rFonts w:ascii="Arial" w:hAnsi="Arial" w:cs="Arial"/>
        </w:rPr>
      </w:pPr>
    </w:p>
    <w:p w14:paraId="7D40E7B7" w14:textId="77777777" w:rsidR="007E5833" w:rsidRPr="007E5833" w:rsidRDefault="007E5833" w:rsidP="007E5833">
      <w:pPr>
        <w:rPr>
          <w:rFonts w:ascii="Arial" w:hAnsi="Arial" w:cs="Arial"/>
        </w:rPr>
      </w:pPr>
      <w:r w:rsidRPr="007E5833">
        <w:rPr>
          <w:rFonts w:ascii="Arial" w:hAnsi="Arial" w:cs="Arial"/>
        </w:rPr>
        <w:t>INDICA</w:t>
      </w:r>
    </w:p>
    <w:p w14:paraId="3E064F97" w14:textId="77777777" w:rsidR="007E5833" w:rsidRPr="007E5833" w:rsidRDefault="007E5833" w:rsidP="007E5833">
      <w:pPr>
        <w:rPr>
          <w:rFonts w:ascii="Arial" w:hAnsi="Arial" w:cs="Arial"/>
        </w:rPr>
      </w:pPr>
    </w:p>
    <w:p w14:paraId="1328344B" w14:textId="77777777" w:rsidR="007E5833" w:rsidRPr="007E5833" w:rsidRDefault="007E5833" w:rsidP="007E5833">
      <w:pPr>
        <w:rPr>
          <w:rFonts w:ascii="Arial" w:hAnsi="Arial" w:cs="Arial"/>
        </w:rPr>
      </w:pPr>
      <w:r w:rsidRPr="007E5833">
        <w:rPr>
          <w:rFonts w:ascii="Arial" w:hAnsi="Arial" w:cs="Arial"/>
        </w:rPr>
        <w:t>il termine di giorni 30 per il deposito della motivazione.</w:t>
      </w:r>
    </w:p>
    <w:p w14:paraId="086ACBF5" w14:textId="77777777" w:rsidR="007E5833" w:rsidRPr="007E5833" w:rsidRDefault="007E5833" w:rsidP="007E5833">
      <w:pPr>
        <w:rPr>
          <w:rFonts w:ascii="Arial" w:hAnsi="Arial" w:cs="Arial"/>
        </w:rPr>
      </w:pPr>
    </w:p>
    <w:p w14:paraId="041F3E04" w14:textId="77777777" w:rsidR="007E5833" w:rsidRPr="007E5833" w:rsidRDefault="007E5833" w:rsidP="007E5833">
      <w:pPr>
        <w:rPr>
          <w:rFonts w:ascii="Arial" w:hAnsi="Arial" w:cs="Arial"/>
        </w:rPr>
      </w:pPr>
      <w:r w:rsidRPr="007E5833">
        <w:rPr>
          <w:rFonts w:ascii="Arial" w:hAnsi="Arial" w:cs="Arial"/>
        </w:rPr>
        <w:t>Così deciso in Gorizia, il 25 maggio 2026.</w:t>
      </w:r>
    </w:p>
    <w:p w14:paraId="3D9AC1EC" w14:textId="77777777" w:rsidR="007E5833" w:rsidRPr="007E5833" w:rsidRDefault="007E5833" w:rsidP="007E5833">
      <w:pPr>
        <w:rPr>
          <w:rFonts w:ascii="Arial" w:hAnsi="Arial" w:cs="Arial"/>
        </w:rPr>
      </w:pPr>
    </w:p>
    <w:p w14:paraId="6B7B1379" w14:textId="750E437D" w:rsidR="0028686D" w:rsidRPr="007E5833" w:rsidRDefault="007E5833" w:rsidP="007E5833">
      <w:pPr>
        <w:rPr>
          <w:rFonts w:ascii="Arial" w:hAnsi="Arial" w:cs="Arial"/>
        </w:rPr>
      </w:pPr>
      <w:r w:rsidRPr="007E5833">
        <w:rPr>
          <w:rFonts w:ascii="Arial" w:hAnsi="Arial" w:cs="Arial"/>
        </w:rPr>
        <w:t>Depositata in Cancelleria il 29 maggio 2026.</w:t>
      </w:r>
    </w:p>
    <w:sectPr w:rsidR="0028686D" w:rsidRPr="007E583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833"/>
    <w:rsid w:val="0028686D"/>
    <w:rsid w:val="00502409"/>
    <w:rsid w:val="007E5833"/>
    <w:rsid w:val="00AB5BF8"/>
    <w:rsid w:val="00AC63F1"/>
    <w:rsid w:val="00E247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3195D"/>
  <w15:chartTrackingRefBased/>
  <w15:docId w15:val="{6FB0B89C-10BD-4032-B15D-A2099015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E5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E5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E583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E583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E583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E583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E583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E583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E583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E583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E583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E583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E583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E583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E583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E583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E583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E5833"/>
    <w:rPr>
      <w:rFonts w:eastAsiaTheme="majorEastAsia" w:cstheme="majorBidi"/>
      <w:color w:val="272727" w:themeColor="text1" w:themeTint="D8"/>
    </w:rPr>
  </w:style>
  <w:style w:type="paragraph" w:styleId="Titolo">
    <w:name w:val="Title"/>
    <w:basedOn w:val="Normale"/>
    <w:next w:val="Normale"/>
    <w:link w:val="TitoloCarattere"/>
    <w:uiPriority w:val="10"/>
    <w:qFormat/>
    <w:rsid w:val="007E5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E583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E583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E583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E583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E5833"/>
    <w:rPr>
      <w:i/>
      <w:iCs/>
      <w:color w:val="404040" w:themeColor="text1" w:themeTint="BF"/>
    </w:rPr>
  </w:style>
  <w:style w:type="paragraph" w:styleId="Paragrafoelenco">
    <w:name w:val="List Paragraph"/>
    <w:basedOn w:val="Normale"/>
    <w:uiPriority w:val="34"/>
    <w:qFormat/>
    <w:rsid w:val="007E5833"/>
    <w:pPr>
      <w:ind w:left="720"/>
      <w:contextualSpacing/>
    </w:pPr>
  </w:style>
  <w:style w:type="character" w:styleId="Enfasiintensa">
    <w:name w:val="Intense Emphasis"/>
    <w:basedOn w:val="Carpredefinitoparagrafo"/>
    <w:uiPriority w:val="21"/>
    <w:qFormat/>
    <w:rsid w:val="007E5833"/>
    <w:rPr>
      <w:i/>
      <w:iCs/>
      <w:color w:val="0F4761" w:themeColor="accent1" w:themeShade="BF"/>
    </w:rPr>
  </w:style>
  <w:style w:type="paragraph" w:styleId="Citazioneintensa">
    <w:name w:val="Intense Quote"/>
    <w:basedOn w:val="Normale"/>
    <w:next w:val="Normale"/>
    <w:link w:val="CitazioneintensaCarattere"/>
    <w:uiPriority w:val="30"/>
    <w:qFormat/>
    <w:rsid w:val="007E5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E5833"/>
    <w:rPr>
      <w:i/>
      <w:iCs/>
      <w:color w:val="0F4761" w:themeColor="accent1" w:themeShade="BF"/>
    </w:rPr>
  </w:style>
  <w:style w:type="character" w:styleId="Riferimentointenso">
    <w:name w:val="Intense Reference"/>
    <w:basedOn w:val="Carpredefinitoparagrafo"/>
    <w:uiPriority w:val="32"/>
    <w:qFormat/>
    <w:rsid w:val="007E58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1741</Words>
  <Characters>9924</Characters>
  <Application>Microsoft Office Word</Application>
  <DocSecurity>0</DocSecurity>
  <Lines>82</Lines>
  <Paragraphs>23</Paragraphs>
  <ScaleCrop>false</ScaleCrop>
  <Company>FNOMCeO</Company>
  <LinksUpToDate>false</LinksUpToDate>
  <CharactersWithSpaces>11642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Fontana</dc:creator>
  <cp:keywords/>
  <dc:description/>
  <cp:lastModifiedBy>Marcello Fontana</cp:lastModifiedBy>
  <cp:revision>2</cp:revision>
  <dcterms:created xsi:type="dcterms:W3CDTF">2026-10-06T07:52:00Z</dcterms:created>
  <dcterms:modified xsi:type="dcterms:W3CDTF">2026-10-06T10:03:00Z</dcterms:modified>
</cp:coreProperties>
</file>