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E853C" w14:textId="77777777" w:rsidR="00662209" w:rsidRPr="00D12AB9" w:rsidRDefault="00662209" w:rsidP="00662209">
      <w:pPr>
        <w:shd w:val="clear" w:color="auto" w:fill="FFFFFF"/>
        <w:spacing w:before="100" w:beforeAutospacing="1" w:after="100" w:afterAutospacing="1" w:line="240" w:lineRule="auto"/>
        <w:jc w:val="both"/>
        <w:rPr>
          <w:rFonts w:ascii="Arial" w:eastAsia="Times New Roman" w:hAnsi="Arial" w:cs="Arial"/>
          <w:sz w:val="28"/>
          <w:szCs w:val="28"/>
          <w:lang w:eastAsia="it-IT"/>
        </w:rPr>
      </w:pPr>
      <w:r w:rsidRPr="00D12AB9">
        <w:rPr>
          <w:rFonts w:ascii="Arial" w:eastAsia="Times New Roman" w:hAnsi="Arial" w:cs="Arial"/>
          <w:b/>
          <w:bCs/>
          <w:color w:val="002060"/>
          <w:sz w:val="28"/>
          <w:szCs w:val="28"/>
          <w:lang w:eastAsia="it-IT"/>
        </w:rPr>
        <w:t>Delega al Governo in materia di professioni sanitarie e disposizioni relative alla responsabilità professionale degli esercenti le professioni sanitarie.</w:t>
      </w:r>
      <w:r w:rsidRPr="00D12AB9">
        <w:rPr>
          <w:rFonts w:ascii="Arial" w:eastAsia="Times New Roman" w:hAnsi="Arial" w:cs="Arial"/>
          <w:color w:val="002060"/>
          <w:sz w:val="28"/>
          <w:szCs w:val="28"/>
          <w:lang w:eastAsia="it-IT"/>
        </w:rPr>
        <w:t xml:space="preserve"> </w:t>
      </w:r>
      <w:r w:rsidRPr="00D12AB9">
        <w:rPr>
          <w:rFonts w:ascii="Arial" w:eastAsia="Times New Roman" w:hAnsi="Arial" w:cs="Arial"/>
          <w:b/>
          <w:bCs/>
          <w:color w:val="002060"/>
          <w:sz w:val="28"/>
          <w:szCs w:val="28"/>
          <w:lang w:eastAsia="it-IT"/>
        </w:rPr>
        <w:t>C. 2700 Governo – Assegnato alla Commissione Affari sociali in sede referente – Nominata relatrice On. Marta Schifone.</w:t>
      </w:r>
      <w:r w:rsidRPr="00D12AB9">
        <w:rPr>
          <w:rFonts w:ascii="Arial" w:eastAsia="Times New Roman" w:hAnsi="Arial" w:cs="Arial"/>
          <w:color w:val="333333"/>
          <w:sz w:val="28"/>
          <w:szCs w:val="28"/>
          <w:lang w:eastAsia="it-IT"/>
        </w:rPr>
        <w:br/>
      </w:r>
    </w:p>
    <w:p w14:paraId="27DA47E2" w14:textId="5E2A9D35" w:rsidR="00662209" w:rsidRPr="00D12AB9" w:rsidRDefault="00662209" w:rsidP="00662209">
      <w:pPr>
        <w:shd w:val="clear" w:color="auto" w:fill="FFFFFF"/>
        <w:spacing w:before="100" w:beforeAutospacing="1" w:after="100" w:afterAutospacing="1" w:line="240" w:lineRule="auto"/>
        <w:jc w:val="both"/>
        <w:rPr>
          <w:rFonts w:ascii="Arial" w:eastAsia="Times New Roman" w:hAnsi="Arial" w:cs="Arial"/>
          <w:b/>
          <w:bCs/>
          <w:color w:val="002060"/>
          <w:sz w:val="28"/>
          <w:szCs w:val="28"/>
          <w:lang w:eastAsia="it-IT"/>
        </w:rPr>
      </w:pPr>
      <w:r w:rsidRPr="00D12AB9">
        <w:rPr>
          <w:rFonts w:ascii="Arial" w:hAnsi="Arial" w:cs="Arial"/>
          <w:b/>
          <w:bCs/>
          <w:color w:val="002060"/>
          <w:sz w:val="28"/>
          <w:szCs w:val="28"/>
          <w:shd w:val="clear" w:color="auto" w:fill="FFFFFF"/>
        </w:rPr>
        <w:t>La Commissione nella seduta in sede referente del 7-10.26 ha deliberato di conferire alla relatrice il mandato a riferire favorevolmente all'Assemblea sul provvedimento in esame. Delibera altresì di chiedere l'autorizzazione a riferire oralmente.</w:t>
      </w:r>
      <w:r w:rsidRPr="00D12AB9">
        <w:rPr>
          <w:rFonts w:ascii="Arial" w:eastAsia="Times New Roman" w:hAnsi="Arial" w:cs="Arial"/>
          <w:b/>
          <w:bCs/>
          <w:color w:val="002060"/>
          <w:sz w:val="28"/>
          <w:szCs w:val="28"/>
          <w:lang w:eastAsia="it-IT"/>
        </w:rPr>
        <w:t> </w:t>
      </w:r>
      <w:r w:rsidRPr="00D12AB9">
        <w:rPr>
          <w:rFonts w:ascii="Arial" w:eastAsia="Times New Roman" w:hAnsi="Arial" w:cs="Arial"/>
          <w:b/>
          <w:bCs/>
          <w:color w:val="002060"/>
          <w:sz w:val="28"/>
          <w:szCs w:val="28"/>
          <w:lang w:eastAsia="it-IT"/>
        </w:rPr>
        <w:t xml:space="preserve">Nella seduta del 12.10.26 </w:t>
      </w:r>
      <w:r w:rsidR="00F720BE">
        <w:rPr>
          <w:rFonts w:ascii="Arial" w:eastAsia="Times New Roman" w:hAnsi="Arial" w:cs="Arial"/>
          <w:b/>
          <w:bCs/>
          <w:color w:val="002060"/>
          <w:sz w:val="28"/>
          <w:szCs w:val="28"/>
          <w:lang w:eastAsia="it-IT"/>
        </w:rPr>
        <w:t xml:space="preserve">dell’Assemblea </w:t>
      </w:r>
      <w:r w:rsidRPr="00D12AB9">
        <w:rPr>
          <w:rFonts w:ascii="Arial" w:eastAsia="Times New Roman" w:hAnsi="Arial" w:cs="Arial"/>
          <w:b/>
          <w:bCs/>
          <w:color w:val="002060"/>
          <w:sz w:val="28"/>
          <w:szCs w:val="28"/>
          <w:lang w:eastAsia="it-IT"/>
        </w:rPr>
        <w:t>si è svolta la discussione generale del provvedimento</w:t>
      </w:r>
      <w:r w:rsidR="00F720BE">
        <w:rPr>
          <w:rFonts w:ascii="Arial" w:eastAsia="Times New Roman" w:hAnsi="Arial" w:cs="Arial"/>
          <w:b/>
          <w:bCs/>
          <w:color w:val="002060"/>
          <w:sz w:val="28"/>
          <w:szCs w:val="28"/>
          <w:lang w:eastAsia="it-IT"/>
        </w:rPr>
        <w:t>.</w:t>
      </w:r>
    </w:p>
    <w:p w14:paraId="7C047F57" w14:textId="77777777" w:rsidR="00662209" w:rsidRPr="00D12AB9" w:rsidRDefault="00662209" w:rsidP="00662209">
      <w:pPr>
        <w:shd w:val="clear" w:color="auto" w:fill="FFFFFF"/>
        <w:spacing w:before="100" w:beforeAutospacing="1" w:after="100" w:afterAutospacing="1" w:line="240" w:lineRule="auto"/>
        <w:jc w:val="both"/>
        <w:rPr>
          <w:rFonts w:ascii="Arial" w:hAnsi="Arial" w:cs="Arial"/>
          <w:sz w:val="28"/>
          <w:szCs w:val="28"/>
        </w:rPr>
      </w:pPr>
      <w:r w:rsidRPr="00D12AB9">
        <w:rPr>
          <w:rFonts w:ascii="Arial" w:hAnsi="Arial" w:cs="Arial"/>
          <w:b/>
          <w:bCs/>
          <w:color w:val="002060"/>
          <w:sz w:val="28"/>
          <w:szCs w:val="28"/>
        </w:rPr>
        <w:t>Gli articoli da 1 a 6 recano una disciplina di delega al Governo per la revisione della disciplina delle professioni sanitarie.</w:t>
      </w:r>
      <w:r w:rsidRPr="00D12AB9">
        <w:rPr>
          <w:rFonts w:ascii="Arial" w:hAnsi="Arial" w:cs="Arial"/>
          <w:color w:val="002060"/>
          <w:sz w:val="28"/>
          <w:szCs w:val="28"/>
        </w:rPr>
        <w:t xml:space="preserve"> </w:t>
      </w:r>
      <w:r w:rsidRPr="00D12AB9">
        <w:rPr>
          <w:rFonts w:ascii="Arial" w:hAnsi="Arial" w:cs="Arial"/>
          <w:sz w:val="28"/>
          <w:szCs w:val="28"/>
        </w:rPr>
        <w:t xml:space="preserve">Nello specifico, l'articolo 1 prevede che la delega possa essere esercitata, secondo le modalità in esso stabilite, entro sei mesi dalla data di entrata in vigore del presente disegno di legge, fatta salva l'ipotesi di scorrimento del termine (nella misura di 3 mesi) prevista dal comma 3 del medesimo articolo 1. I princìpi e i criteri direttivi di delega – oltre a quelli generali (di cui all'articolo 2), inerenti ai profili del coordinamento normativo, delle abrogazioni esplicite e delle sanzioni amministrative e disciplinari – concernono: la definizione di misure relative al personale sanitario degli enti e aziende del Servizio sanitario nazionale e riguardanti i profili delle forme di lavoro flessibile per i medici in formazione specialistica, della permanenza presso strutture in aree disagiate, della razionalizzazione e semplificazione delle attività amministrative, della sicurezza degli operatori sanitari, della definizione di alcuni criteri premiali e di riconoscimento, della pianificazione del numero di medici in formazione specialistica, nonché del numero degli operatori di tutte le professioni sanitarie, della previsione dell'obbligo, per i professionisti sanitari autorizzati a esercitare temporaneamente (fino al 31 dicembre 2029 ai sensi dell'articolo 15 del decreto-legge n. 34 del 2023) </w:t>
      </w:r>
      <w:r w:rsidRPr="00BD6E24">
        <w:rPr>
          <w:rFonts w:ascii="Arial" w:hAnsi="Arial" w:cs="Arial"/>
          <w:b/>
          <w:bCs/>
          <w:color w:val="002060"/>
          <w:sz w:val="28"/>
          <w:szCs w:val="28"/>
        </w:rPr>
        <w:t>l'attività in deroga al riconoscimento delle qualifiche sanitarie conseguite all'estero, di iscrizione nell'elenco speciale straordinario corrispondente al proprio profilo, istituito presso l'Ordine professionale competente</w:t>
      </w:r>
      <w:r w:rsidRPr="00D12AB9">
        <w:rPr>
          <w:rFonts w:ascii="Arial" w:hAnsi="Arial" w:cs="Arial"/>
          <w:sz w:val="28"/>
          <w:szCs w:val="28"/>
        </w:rPr>
        <w:t xml:space="preserve">, nonché al previo accertamento delle necessarie conoscenze linguistiche presso il medesimo Ordine, quali requisiti per l'avvio o la prosecuzione dell'attività in deroga e al fine di garantire la sicurezza delle cure e l'adeguata comunicazione con i pazienti, la previsione di un riordino delle specializzazioni della professione di psicologo (articolo 3); la valorizzazione delle competenze del personale sanitario, </w:t>
      </w:r>
      <w:r w:rsidRPr="009B764D">
        <w:rPr>
          <w:rFonts w:ascii="Arial" w:hAnsi="Arial" w:cs="Arial"/>
          <w:b/>
          <w:bCs/>
          <w:color w:val="002060"/>
          <w:sz w:val="28"/>
          <w:szCs w:val="28"/>
        </w:rPr>
        <w:t>con particolare riferimento alla formazione continua del medesimo e alla formazione manageriale, all'introduzione di un sistema nazionale di certificazione delle competenze e all'intelligenza artificiale</w:t>
      </w:r>
      <w:r w:rsidRPr="00D12AB9">
        <w:rPr>
          <w:rFonts w:ascii="Arial" w:hAnsi="Arial" w:cs="Arial"/>
          <w:sz w:val="28"/>
          <w:szCs w:val="28"/>
        </w:rPr>
        <w:t xml:space="preserve">, alla promozione della razionalizzazione e dell'aggiornamento della disciplina delle figure ausiliarie delle professioni sanitarie, fermo restando il loro inquadramento secondo la </w:t>
      </w:r>
      <w:r w:rsidRPr="00D12AB9">
        <w:rPr>
          <w:rFonts w:ascii="Arial" w:hAnsi="Arial" w:cs="Arial"/>
          <w:sz w:val="28"/>
          <w:szCs w:val="28"/>
        </w:rPr>
        <w:lastRenderedPageBreak/>
        <w:t xml:space="preserve">normativa vigente, nonché dell'attivazione di corsi regionali di formazione in materia di digitalizzazione della sanità pubblica, finalizzati anche all'acquisizione di competenze relative all'utilizzo degli strumenti di intelligenza artificiale nel settore sanitario, all'individuazione dei criteri per la costruzione di un sistema integrato di collaborazione </w:t>
      </w:r>
      <w:r w:rsidRPr="009B764D">
        <w:rPr>
          <w:rFonts w:ascii="Arial" w:hAnsi="Arial" w:cs="Arial"/>
          <w:b/>
          <w:bCs/>
          <w:color w:val="002060"/>
          <w:sz w:val="28"/>
          <w:szCs w:val="28"/>
        </w:rPr>
        <w:t>interdisciplinare tra gli specialisti in medicina dello sport</w:t>
      </w:r>
      <w:r w:rsidRPr="00D12AB9">
        <w:rPr>
          <w:rFonts w:ascii="Arial" w:hAnsi="Arial" w:cs="Arial"/>
          <w:sz w:val="28"/>
          <w:szCs w:val="28"/>
        </w:rPr>
        <w:t xml:space="preserve">, </w:t>
      </w:r>
      <w:r w:rsidRPr="009B764D">
        <w:rPr>
          <w:rFonts w:ascii="Arial" w:hAnsi="Arial" w:cs="Arial"/>
          <w:b/>
          <w:bCs/>
          <w:color w:val="002060"/>
          <w:sz w:val="28"/>
          <w:szCs w:val="28"/>
        </w:rPr>
        <w:t>i medici di medicina generale, i pediatri di libera scelta</w:t>
      </w:r>
      <w:r w:rsidRPr="009B764D">
        <w:rPr>
          <w:rFonts w:ascii="Arial" w:hAnsi="Arial" w:cs="Arial"/>
          <w:color w:val="002060"/>
          <w:sz w:val="28"/>
          <w:szCs w:val="28"/>
        </w:rPr>
        <w:t xml:space="preserve"> </w:t>
      </w:r>
      <w:r w:rsidRPr="00D12AB9">
        <w:rPr>
          <w:rFonts w:ascii="Arial" w:hAnsi="Arial" w:cs="Arial"/>
          <w:sz w:val="28"/>
          <w:szCs w:val="28"/>
        </w:rPr>
        <w:t xml:space="preserve">e i fisioterapisti, ai fini del riconoscimento e della promozione dell'esercizio fisico strutturato quale strumento per il benessere fisico e mentale della persona (articolo 4); la formazione sanitaria specialistica, con particolare riferimento alla medicina generale e alle professioni di chimico, odontoiatra, psicologo e di ostetrica (articolo 5); la revisione della disciplina degli ordini delle professioni sanitarie e delle relative federazioni nazionali (articolo 6). L'articolo 7 modifica il regime speciale della responsabilità penale relativa agli eventi di omicidio colposo e di lesioni personali colpose verificatisi nell'esercizio di una professione sanitaria. Nella disciplina vigente, la punibilità di tali casi è esclusa qualora l'evento si sia verificato a causa di imperizia e il professionista abbia rispettato le raccomandazioni previste dalle linee guida, come definite e pubblicate ai sensi di legge, ovvero, in mancanza di esse, le buone pratiche clinico-assistenziali e sempre che le raccomandazioni </w:t>
      </w:r>
      <w:proofErr w:type="gramStart"/>
      <w:r w:rsidRPr="00D12AB9">
        <w:rPr>
          <w:rFonts w:ascii="Arial" w:hAnsi="Arial" w:cs="Arial"/>
          <w:sz w:val="28"/>
          <w:szCs w:val="28"/>
        </w:rPr>
        <w:t>summenzionate</w:t>
      </w:r>
      <w:proofErr w:type="gramEnd"/>
      <w:r w:rsidRPr="00D12AB9">
        <w:rPr>
          <w:rFonts w:ascii="Arial" w:hAnsi="Arial" w:cs="Arial"/>
          <w:sz w:val="28"/>
          <w:szCs w:val="28"/>
        </w:rPr>
        <w:t xml:space="preserve"> risultino adeguate alle specificità del caso concreto. </w:t>
      </w:r>
      <w:r w:rsidRPr="00D12AB9">
        <w:rPr>
          <w:rFonts w:ascii="Arial" w:hAnsi="Arial" w:cs="Arial"/>
          <w:b/>
          <w:bCs/>
          <w:color w:val="002060"/>
          <w:sz w:val="28"/>
          <w:szCs w:val="28"/>
        </w:rPr>
        <w:t>La novella di cui al comma 1, lettera a), estende l'esclusione della punibilità ad altre possibili forme del fatto colposo, quali la negligenza e l'imprudenza, e specifica che l'esclusione della punibilità è limitata ai casi diversi dalla colpa grave, ponendo in via legislativa il principio di limitazione alla colpa non grave già sostenuto in via interpretativa dalle sezioni unite penali della Corte di cassazione con riferimento alla suddetta norma vigente sulla imperizia; nella formulazione della novella di cui alla lettera a), inoltre, le buone pratiche clinico assistenziali sono poste – in luogo del riferimento ad esse in via suppletiva – sullo stesso piano delle raccomandazioni delle suddette linee guida e la condizione dell'adeguatezza alle specificità del caso concreto viene esplicitata anche per le medesime buone pratiche.</w:t>
      </w:r>
      <w:r w:rsidRPr="00D12AB9">
        <w:rPr>
          <w:rFonts w:ascii="Arial" w:hAnsi="Arial" w:cs="Arial"/>
          <w:color w:val="002060"/>
          <w:sz w:val="28"/>
          <w:szCs w:val="28"/>
        </w:rPr>
        <w:t xml:space="preserve"> </w:t>
      </w:r>
      <w:r w:rsidRPr="00D12AB9">
        <w:rPr>
          <w:rFonts w:ascii="Arial" w:hAnsi="Arial" w:cs="Arial"/>
          <w:sz w:val="28"/>
          <w:szCs w:val="28"/>
        </w:rPr>
        <w:t xml:space="preserve">La novella di cui alla lettera b) introduce alcuni criteri specifici per l'accertamento della colpa o del suo grado; si prevede che in tali accertamenti si tenga conto anche (a seconda delle evenienze) della scarsità delle risorse umane e materiali disponibili e delle carenze organizzative – limitatamente ai casi in cui la scarsità e le carenze non siano evitabili da parte dell'esercente la professione sanitaria –, della mancanza, limitatezza o contraddittorietà delle conoscenze scientifiche sulla patologia o sulla terapia, della concreta disponibilità di terapie adeguate, della complessità della patologia o della difficoltà della particolare attività sanitaria, dello specifico ruolo (svolto dall'agente) in caso di cooperazione multidisciplinare, nonché della presenza di situazioni di urgenza o emergenza. </w:t>
      </w:r>
      <w:r w:rsidRPr="00D12AB9">
        <w:rPr>
          <w:rFonts w:ascii="Arial" w:hAnsi="Arial" w:cs="Arial"/>
          <w:b/>
          <w:bCs/>
          <w:color w:val="002060"/>
          <w:sz w:val="28"/>
          <w:szCs w:val="28"/>
        </w:rPr>
        <w:t xml:space="preserve">L'articolo 7-bis, introdotto in sede referente, inserisce il nuovo articolo 42-bis nel regolamento di cui al decreto del Presidente della Repubblica n. 221 del 1950, con cui si </w:t>
      </w:r>
      <w:r w:rsidRPr="00D12AB9">
        <w:rPr>
          <w:rFonts w:ascii="Arial" w:hAnsi="Arial" w:cs="Arial"/>
          <w:b/>
          <w:bCs/>
          <w:color w:val="002060"/>
          <w:sz w:val="28"/>
          <w:szCs w:val="28"/>
        </w:rPr>
        <w:lastRenderedPageBreak/>
        <w:t>prevede che il sanitario radiato dall'Albo per fatti non dolosi commessi nel periodo di vigenza dell'articolo 3-bis - concernente la limitazione della punibilità ai soli casi di colpa grave per morte o lesioni personali in ambito sanitario durante lo stato di emergenza epidemiologica da COVID-19 - del decreto-legge n. 44 del 2021, riconducibili alla limitatezza delle conoscenze scientifiche sulle patologie da SARS-CoV-2 e sulle relative terapie, alla scarsità delle risorse umane e materiali disponibili rispetto al numero dei casi da trattare, e al minore grado di esperienza del personale non specializzato impiegato per l'emergenza, possa chiedere la reiscrizione alla Commissione centrale per gli esercenti le professioni sanitarie, entro sessanta giorni dalla data di entrata in vigore della presente disposizione.</w:t>
      </w:r>
      <w:r w:rsidRPr="00D12AB9">
        <w:rPr>
          <w:rFonts w:ascii="Arial" w:hAnsi="Arial" w:cs="Arial"/>
          <w:sz w:val="28"/>
          <w:szCs w:val="28"/>
        </w:rPr>
        <w:t xml:space="preserve"> Si specifica, altresì, che, ai fini della reiscrizione a seguito di radiazione dovuta a condanna penale, è necessaria la riabilitazione.</w:t>
      </w:r>
    </w:p>
    <w:p w14:paraId="53962F6E" w14:textId="77777777" w:rsidR="00662209" w:rsidRPr="00D12AB9" w:rsidRDefault="00662209" w:rsidP="00662209">
      <w:pPr>
        <w:shd w:val="clear" w:color="auto" w:fill="FFFFFF"/>
        <w:spacing w:before="100" w:beforeAutospacing="1" w:after="100" w:afterAutospacing="1" w:line="240" w:lineRule="auto"/>
        <w:jc w:val="both"/>
        <w:rPr>
          <w:rFonts w:ascii="Arial" w:eastAsia="Times New Roman" w:hAnsi="Arial" w:cs="Arial"/>
          <w:b/>
          <w:bCs/>
          <w:color w:val="002060"/>
          <w:sz w:val="28"/>
          <w:szCs w:val="28"/>
          <w:lang w:eastAsia="it-IT"/>
        </w:rPr>
      </w:pPr>
      <w:r w:rsidRPr="00D12AB9">
        <w:rPr>
          <w:rFonts w:ascii="Arial" w:hAnsi="Arial" w:cs="Arial"/>
          <w:b/>
          <w:bCs/>
          <w:color w:val="002060"/>
          <w:sz w:val="28"/>
          <w:szCs w:val="28"/>
        </w:rPr>
        <w:t xml:space="preserve">L'articolo 8 modifica il regime di responsabilità professionale dell'esercente una professione sanitaria, con particolare riferimento alla responsabilità civile. La novella di cui al comma 1, lettera a), pone, con riferimento alla responsabilità dei professionisti sanitari, le buone pratiche clinico-assistenziali – in luogo del riferimento ad esse in via suppletiva – sullo stesso piano delle raccomandazioni previste dalle linee guida, come definite e pubblicate ai sensi di legge, fatte salve le specificità del caso concreto. Le novelle di cui ai numeri 1) e 4) della successiva lettera b) operano modifiche formali nella disciplina della responsabilità civile </w:t>
      </w:r>
      <w:proofErr w:type="gramStart"/>
      <w:r w:rsidRPr="00D12AB9">
        <w:rPr>
          <w:rFonts w:ascii="Arial" w:hAnsi="Arial" w:cs="Arial"/>
          <w:b/>
          <w:bCs/>
          <w:color w:val="002060"/>
          <w:sz w:val="28"/>
          <w:szCs w:val="28"/>
        </w:rPr>
        <w:t>summenzionata</w:t>
      </w:r>
      <w:proofErr w:type="gramEnd"/>
      <w:r w:rsidRPr="00D12AB9">
        <w:rPr>
          <w:rFonts w:ascii="Arial" w:hAnsi="Arial" w:cs="Arial"/>
          <w:b/>
          <w:bCs/>
          <w:color w:val="002060"/>
          <w:sz w:val="28"/>
          <w:szCs w:val="28"/>
        </w:rPr>
        <w:t xml:space="preserve">. In quest'ultima disciplina, la novella di cui al numero 2) della stessa lettera sopprime il riferimento alle suddette linee guida e buone pratiche clinico-assistenziali – riferimento che la norma vigente pone letteralmente con riferimento alla determinazione del danno, a carico del professionista sanitario, e non all'accertamento della sussistenza della colpa del professionista (che si sia discostato dalle medesime linee guida e buone pratiche) –, mentre la novella di cui al numero 3) introduce alcuni criteri specifici per l'accertamento della colpa o del suo grado. In particolare, quest'ultima novella – oltre a far salvo il principio secondo cui, nel contratto di opera professionale, qualora la prestazione implichi la soluzione di problemi tecnici di speciale difficoltà, il prestatore risponde dei danni solo in caso di dolo o di colpa grave – prevede che nel suddetto accertamento della colpa o del suo grado si tenga conto anche (a seconda delle evenienze) della scarsità delle risorse umane e materiali disponibili e delle carenze organizzative – limitatamente ai casi in cui la scarsità e le carenze non siano evitabili da parte dell'esercente la professione sanitaria –, della mancanza, limitatezza o contraddittorietà delle conoscenze scientifiche sulla patologia o sulla terapia, della concreta disponibilità di terapie adeguate, della complessità della patologia o della difficoltà della particolare attività sanitaria, dello specifico ruolo (svolto dall'agente) in </w:t>
      </w:r>
      <w:r w:rsidRPr="00D12AB9">
        <w:rPr>
          <w:rFonts w:ascii="Arial" w:hAnsi="Arial" w:cs="Arial"/>
          <w:b/>
          <w:bCs/>
          <w:color w:val="002060"/>
          <w:sz w:val="28"/>
          <w:szCs w:val="28"/>
        </w:rPr>
        <w:lastRenderedPageBreak/>
        <w:t>caso di cooperazione multidisciplinare, nonché della presenza di situazioni di urgenza o emergenza. L'articolo 9 reca la clausola di invarianza finanziaria. L'articolo 9-bis, introdotto in sede referente, reca una clausola di salvaguarda delle autonomie speciali, prevedendo che le disposizioni del presente disegno di legge e quelle dei decreti legislativi emanati in attuazione della delega ivi contenuta si applicano nelle regioni a statuto speciale e nelle province autonome di Trento e di Bolzano compatibilmente con i rispettivi statuti e le relative norme di attuazione, anche con riferimento alla legge costituzionale n. 3 del 2001.</w:t>
      </w:r>
    </w:p>
    <w:p w14:paraId="39994E5E" w14:textId="77777777" w:rsidR="0028686D" w:rsidRDefault="0028686D"/>
    <w:sectPr w:rsidR="0028686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209"/>
    <w:rsid w:val="0028686D"/>
    <w:rsid w:val="00502409"/>
    <w:rsid w:val="00662209"/>
    <w:rsid w:val="009B764D"/>
    <w:rsid w:val="00AB5BF8"/>
    <w:rsid w:val="00BD6E24"/>
    <w:rsid w:val="00DF2F71"/>
    <w:rsid w:val="00F720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919C7"/>
  <w15:chartTrackingRefBased/>
  <w15:docId w15:val="{B2CAA9A5-EF52-4078-B6B6-4E70E1862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2209"/>
    <w:pPr>
      <w:spacing w:line="259" w:lineRule="auto"/>
    </w:pPr>
    <w:rPr>
      <w:kern w:val="0"/>
      <w:sz w:val="22"/>
      <w:szCs w:val="22"/>
      <w14:ligatures w14:val="none"/>
    </w:rPr>
  </w:style>
  <w:style w:type="paragraph" w:styleId="Titolo1">
    <w:name w:val="heading 1"/>
    <w:basedOn w:val="Normale"/>
    <w:next w:val="Normale"/>
    <w:link w:val="Titolo1Carattere"/>
    <w:uiPriority w:val="9"/>
    <w:qFormat/>
    <w:rsid w:val="0066220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66220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66220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66220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olo5">
    <w:name w:val="heading 5"/>
    <w:basedOn w:val="Normale"/>
    <w:next w:val="Normale"/>
    <w:link w:val="Titolo5Carattere"/>
    <w:uiPriority w:val="9"/>
    <w:semiHidden/>
    <w:unhideWhenUsed/>
    <w:qFormat/>
    <w:rsid w:val="0066220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olo6">
    <w:name w:val="heading 6"/>
    <w:basedOn w:val="Normale"/>
    <w:next w:val="Normale"/>
    <w:link w:val="Titolo6Carattere"/>
    <w:uiPriority w:val="9"/>
    <w:semiHidden/>
    <w:unhideWhenUsed/>
    <w:qFormat/>
    <w:rsid w:val="0066220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olo7">
    <w:name w:val="heading 7"/>
    <w:basedOn w:val="Normale"/>
    <w:next w:val="Normale"/>
    <w:link w:val="Titolo7Carattere"/>
    <w:uiPriority w:val="9"/>
    <w:semiHidden/>
    <w:unhideWhenUsed/>
    <w:qFormat/>
    <w:rsid w:val="0066220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olo8">
    <w:name w:val="heading 8"/>
    <w:basedOn w:val="Normale"/>
    <w:next w:val="Normale"/>
    <w:link w:val="Titolo8Carattere"/>
    <w:uiPriority w:val="9"/>
    <w:semiHidden/>
    <w:unhideWhenUsed/>
    <w:qFormat/>
    <w:rsid w:val="0066220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olo9">
    <w:name w:val="heading 9"/>
    <w:basedOn w:val="Normale"/>
    <w:next w:val="Normale"/>
    <w:link w:val="Titolo9Carattere"/>
    <w:uiPriority w:val="9"/>
    <w:semiHidden/>
    <w:unhideWhenUsed/>
    <w:qFormat/>
    <w:rsid w:val="0066220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220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6220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6220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6220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6220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622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622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622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622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66220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6622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220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6622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2209"/>
    <w:pPr>
      <w:spacing w:before="160" w:line="278" w:lineRule="auto"/>
      <w:jc w:val="center"/>
    </w:pPr>
    <w:rPr>
      <w:i/>
      <w:iCs/>
      <w:color w:val="404040" w:themeColor="text1" w:themeTint="BF"/>
      <w:kern w:val="2"/>
      <w:sz w:val="24"/>
      <w:szCs w:val="24"/>
      <w14:ligatures w14:val="standardContextual"/>
    </w:rPr>
  </w:style>
  <w:style w:type="character" w:customStyle="1" w:styleId="CitazioneCarattere">
    <w:name w:val="Citazione Carattere"/>
    <w:basedOn w:val="Carpredefinitoparagrafo"/>
    <w:link w:val="Citazione"/>
    <w:uiPriority w:val="29"/>
    <w:rsid w:val="00662209"/>
    <w:rPr>
      <w:i/>
      <w:iCs/>
      <w:color w:val="404040" w:themeColor="text1" w:themeTint="BF"/>
    </w:rPr>
  </w:style>
  <w:style w:type="paragraph" w:styleId="Paragrafoelenco">
    <w:name w:val="List Paragraph"/>
    <w:basedOn w:val="Normale"/>
    <w:uiPriority w:val="34"/>
    <w:qFormat/>
    <w:rsid w:val="00662209"/>
    <w:pPr>
      <w:spacing w:line="278" w:lineRule="auto"/>
      <w:ind w:left="720"/>
      <w:contextualSpacing/>
    </w:pPr>
    <w:rPr>
      <w:kern w:val="2"/>
      <w:sz w:val="24"/>
      <w:szCs w:val="24"/>
      <w14:ligatures w14:val="standardContextual"/>
    </w:rPr>
  </w:style>
  <w:style w:type="character" w:styleId="Enfasiintensa">
    <w:name w:val="Intense Emphasis"/>
    <w:basedOn w:val="Carpredefinitoparagrafo"/>
    <w:uiPriority w:val="21"/>
    <w:qFormat/>
    <w:rsid w:val="00662209"/>
    <w:rPr>
      <w:i/>
      <w:iCs/>
      <w:color w:val="0F4761" w:themeColor="accent1" w:themeShade="BF"/>
    </w:rPr>
  </w:style>
  <w:style w:type="paragraph" w:styleId="Citazioneintensa">
    <w:name w:val="Intense Quote"/>
    <w:basedOn w:val="Normale"/>
    <w:next w:val="Normale"/>
    <w:link w:val="CitazioneintensaCarattere"/>
    <w:uiPriority w:val="30"/>
    <w:qFormat/>
    <w:rsid w:val="0066220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zioneintensaCarattere">
    <w:name w:val="Citazione intensa Carattere"/>
    <w:basedOn w:val="Carpredefinitoparagrafo"/>
    <w:link w:val="Citazioneintensa"/>
    <w:uiPriority w:val="30"/>
    <w:rsid w:val="00662209"/>
    <w:rPr>
      <w:i/>
      <w:iCs/>
      <w:color w:val="0F4761" w:themeColor="accent1" w:themeShade="BF"/>
    </w:rPr>
  </w:style>
  <w:style w:type="character" w:styleId="Riferimentointenso">
    <w:name w:val="Intense Reference"/>
    <w:basedOn w:val="Carpredefinitoparagrafo"/>
    <w:uiPriority w:val="32"/>
    <w:qFormat/>
    <w:rsid w:val="006622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1532</Words>
  <Characters>8736</Characters>
  <Application>Microsoft Office Word</Application>
  <DocSecurity>0</DocSecurity>
  <Lines>72</Lines>
  <Paragraphs>20</Paragraphs>
  <ScaleCrop>false</ScaleCrop>
  <Company>FNOMCeO</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Fontana</dc:creator>
  <cp:keywords/>
  <dc:description/>
  <cp:lastModifiedBy>Marcello Fontana</cp:lastModifiedBy>
  <cp:revision>5</cp:revision>
  <dcterms:created xsi:type="dcterms:W3CDTF">2026-10-13T05:26:00Z</dcterms:created>
  <dcterms:modified xsi:type="dcterms:W3CDTF">2026-10-13T05:36:00Z</dcterms:modified>
</cp:coreProperties>
</file>