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CD819" w14:textId="77777777" w:rsidR="00555CE7" w:rsidRPr="00A651A1" w:rsidRDefault="00555CE7" w:rsidP="00555CE7">
      <w:pPr>
        <w:spacing w:after="0" w:line="240" w:lineRule="auto"/>
        <w:rPr>
          <w:rFonts w:ascii="Arial" w:eastAsia="Times New Roman" w:hAnsi="Arial" w:cs="Arial"/>
          <w:kern w:val="0"/>
          <w:lang w:eastAsia="it-IT"/>
          <w14:ligatures w14:val="none"/>
        </w:rPr>
      </w:pPr>
      <w:r w:rsidRPr="00A651A1">
        <w:rPr>
          <w:rFonts w:ascii="Arial" w:eastAsia="Times New Roman" w:hAnsi="Arial" w:cs="Arial"/>
          <w:color w:val="000000"/>
          <w:kern w:val="0"/>
          <w:sz w:val="27"/>
          <w:szCs w:val="27"/>
          <w:lang w:eastAsia="it-IT"/>
          <w14:ligatures w14:val="none"/>
        </w:rPr>
        <w:t>Pubblicato il 14/10/2026</w:t>
      </w:r>
    </w:p>
    <w:p w14:paraId="585B3184" w14:textId="77777777" w:rsidR="00555CE7" w:rsidRPr="00A651A1" w:rsidRDefault="00555CE7" w:rsidP="00555CE7">
      <w:pPr>
        <w:spacing w:before="100" w:beforeAutospacing="1" w:after="100" w:afterAutospacing="1" w:line="0" w:lineRule="atLeast"/>
        <w:jc w:val="right"/>
        <w:rPr>
          <w:rFonts w:ascii="Arial" w:eastAsia="Times New Roman" w:hAnsi="Arial" w:cs="Arial"/>
          <w:b/>
          <w:bCs/>
          <w:color w:val="000000"/>
          <w:kern w:val="0"/>
          <w:sz w:val="22"/>
          <w:szCs w:val="22"/>
          <w:lang w:eastAsia="it-IT"/>
          <w14:ligatures w14:val="none"/>
        </w:rPr>
      </w:pPr>
      <w:r w:rsidRPr="00A651A1">
        <w:rPr>
          <w:rFonts w:ascii="Arial" w:eastAsia="Times New Roman" w:hAnsi="Arial" w:cs="Arial"/>
          <w:b/>
          <w:bCs/>
          <w:color w:val="000000"/>
          <w:kern w:val="0"/>
          <w:sz w:val="22"/>
          <w:szCs w:val="22"/>
          <w:lang w:eastAsia="it-IT"/>
          <w14:ligatures w14:val="none"/>
        </w:rPr>
        <w:t>N. 00420/2026 REG.PROV.COLL.</w:t>
      </w:r>
    </w:p>
    <w:p w14:paraId="3D876726" w14:textId="77777777" w:rsidR="00555CE7" w:rsidRPr="00A651A1" w:rsidRDefault="00555CE7" w:rsidP="00555CE7">
      <w:pPr>
        <w:spacing w:before="100" w:beforeAutospacing="1" w:after="100" w:afterAutospacing="1" w:line="0" w:lineRule="atLeast"/>
        <w:jc w:val="right"/>
        <w:rPr>
          <w:rFonts w:ascii="Arial" w:eastAsia="Times New Roman" w:hAnsi="Arial" w:cs="Arial"/>
          <w:b/>
          <w:bCs/>
          <w:color w:val="000000"/>
          <w:kern w:val="0"/>
          <w:sz w:val="22"/>
          <w:szCs w:val="22"/>
          <w:lang w:eastAsia="it-IT"/>
          <w14:ligatures w14:val="none"/>
        </w:rPr>
      </w:pPr>
      <w:r w:rsidRPr="00A651A1">
        <w:rPr>
          <w:rFonts w:ascii="Arial" w:eastAsia="Times New Roman" w:hAnsi="Arial" w:cs="Arial"/>
          <w:b/>
          <w:bCs/>
          <w:color w:val="000000"/>
          <w:kern w:val="0"/>
          <w:sz w:val="22"/>
          <w:szCs w:val="22"/>
          <w:lang w:eastAsia="it-IT"/>
          <w14:ligatures w14:val="none"/>
        </w:rPr>
        <w:t>N. 00084/2026 REG.RIC.</w:t>
      </w:r>
    </w:p>
    <w:p w14:paraId="0E8D009D" w14:textId="77777777" w:rsidR="00555CE7" w:rsidRPr="00A651A1" w:rsidRDefault="00555CE7" w:rsidP="00555CE7">
      <w:pPr>
        <w:spacing w:before="100" w:beforeAutospacing="1" w:after="100" w:afterAutospacing="1" w:line="240" w:lineRule="auto"/>
        <w:jc w:val="center"/>
        <w:rPr>
          <w:rFonts w:ascii="Arial" w:eastAsia="Times New Roman" w:hAnsi="Arial" w:cs="Arial"/>
          <w:b/>
          <w:bCs/>
          <w:color w:val="000000"/>
          <w:spacing w:val="150"/>
          <w:kern w:val="0"/>
          <w:sz w:val="27"/>
          <w:szCs w:val="27"/>
          <w:lang w:eastAsia="it-IT"/>
          <w14:ligatures w14:val="none"/>
        </w:rPr>
      </w:pPr>
      <w:r w:rsidRPr="00A651A1">
        <w:rPr>
          <w:rFonts w:ascii="Arial" w:eastAsia="Times New Roman" w:hAnsi="Arial" w:cs="Arial"/>
          <w:b/>
          <w:bCs/>
          <w:noProof/>
          <w:color w:val="000000"/>
          <w:spacing w:val="150"/>
          <w:kern w:val="0"/>
          <w:sz w:val="27"/>
          <w:szCs w:val="27"/>
          <w:lang w:eastAsia="it-IT"/>
          <w14:ligatures w14:val="none"/>
        </w:rPr>
        <w:drawing>
          <wp:inline distT="0" distB="0" distL="0" distR="0" wp14:anchorId="23181F20" wp14:editId="6F6EC326">
            <wp:extent cx="723900" cy="830580"/>
            <wp:effectExtent l="0" t="0" r="0" b="762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23900" cy="830580"/>
                    </a:xfrm>
                    <a:prstGeom prst="rect">
                      <a:avLst/>
                    </a:prstGeom>
                    <a:noFill/>
                    <a:ln>
                      <a:noFill/>
                    </a:ln>
                  </pic:spPr>
                </pic:pic>
              </a:graphicData>
            </a:graphic>
          </wp:inline>
        </w:drawing>
      </w:r>
    </w:p>
    <w:p w14:paraId="525D386A" w14:textId="77777777" w:rsidR="00555CE7" w:rsidRPr="00A651A1" w:rsidRDefault="00555CE7" w:rsidP="00555CE7">
      <w:pPr>
        <w:spacing w:before="100" w:beforeAutospacing="1" w:after="100" w:afterAutospacing="1" w:line="240" w:lineRule="auto"/>
        <w:jc w:val="center"/>
        <w:rPr>
          <w:rFonts w:ascii="Arial" w:eastAsia="Times New Roman" w:hAnsi="Arial" w:cs="Arial"/>
          <w:b/>
          <w:bCs/>
          <w:color w:val="000000"/>
          <w:spacing w:val="150"/>
          <w:kern w:val="0"/>
          <w:sz w:val="27"/>
          <w:szCs w:val="27"/>
          <w:lang w:eastAsia="it-IT"/>
          <w14:ligatures w14:val="none"/>
        </w:rPr>
      </w:pPr>
      <w:r w:rsidRPr="00A651A1">
        <w:rPr>
          <w:rFonts w:ascii="Arial" w:eastAsia="Times New Roman" w:hAnsi="Arial" w:cs="Arial"/>
          <w:b/>
          <w:bCs/>
          <w:color w:val="000000"/>
          <w:spacing w:val="150"/>
          <w:kern w:val="0"/>
          <w:sz w:val="27"/>
          <w:szCs w:val="27"/>
          <w:lang w:eastAsia="it-IT"/>
          <w14:ligatures w14:val="none"/>
        </w:rPr>
        <w:t>REPUBBLICA ITALIANA</w:t>
      </w:r>
    </w:p>
    <w:p w14:paraId="5D4A08E2" w14:textId="77777777" w:rsidR="00555CE7" w:rsidRPr="00A651A1" w:rsidRDefault="00555CE7" w:rsidP="00555CE7">
      <w:pPr>
        <w:spacing w:before="100" w:beforeAutospacing="1" w:after="100" w:afterAutospacing="1" w:line="240" w:lineRule="auto"/>
        <w:jc w:val="center"/>
        <w:rPr>
          <w:rFonts w:ascii="Arial" w:eastAsia="Times New Roman" w:hAnsi="Arial" w:cs="Arial"/>
          <w:b/>
          <w:bCs/>
          <w:color w:val="000000"/>
          <w:kern w:val="0"/>
          <w:sz w:val="22"/>
          <w:szCs w:val="22"/>
          <w:lang w:eastAsia="it-IT"/>
          <w14:ligatures w14:val="none"/>
        </w:rPr>
      </w:pPr>
      <w:r w:rsidRPr="00A651A1">
        <w:rPr>
          <w:rFonts w:ascii="Arial" w:eastAsia="Times New Roman" w:hAnsi="Arial" w:cs="Arial"/>
          <w:b/>
          <w:bCs/>
          <w:color w:val="000000"/>
          <w:kern w:val="0"/>
          <w:sz w:val="22"/>
          <w:szCs w:val="22"/>
          <w:lang w:eastAsia="it-IT"/>
          <w14:ligatures w14:val="none"/>
        </w:rPr>
        <w:t>IN NOME DEL POPOLO ITALIANO</w:t>
      </w:r>
    </w:p>
    <w:p w14:paraId="7C439FCA" w14:textId="77777777" w:rsidR="00555CE7" w:rsidRPr="00A651A1" w:rsidRDefault="00555CE7" w:rsidP="00555CE7">
      <w:pPr>
        <w:spacing w:before="100" w:beforeAutospacing="1" w:after="100" w:afterAutospacing="1" w:line="240" w:lineRule="auto"/>
        <w:jc w:val="center"/>
        <w:rPr>
          <w:rFonts w:ascii="Arial" w:eastAsia="Times New Roman" w:hAnsi="Arial" w:cs="Arial"/>
          <w:b/>
          <w:bCs/>
          <w:color w:val="000000"/>
          <w:kern w:val="0"/>
          <w:sz w:val="26"/>
          <w:szCs w:val="26"/>
          <w:lang w:eastAsia="it-IT"/>
          <w14:ligatures w14:val="none"/>
        </w:rPr>
      </w:pPr>
      <w:r w:rsidRPr="00A651A1">
        <w:rPr>
          <w:rFonts w:ascii="Arial" w:eastAsia="Times New Roman" w:hAnsi="Arial" w:cs="Arial"/>
          <w:b/>
          <w:bCs/>
          <w:color w:val="000000"/>
          <w:kern w:val="0"/>
          <w:sz w:val="26"/>
          <w:szCs w:val="26"/>
          <w:lang w:eastAsia="it-IT"/>
          <w14:ligatures w14:val="none"/>
        </w:rPr>
        <w:t>Il Tribunale Amministrativo Regionale per il Molise</w:t>
      </w:r>
    </w:p>
    <w:p w14:paraId="4955F27B" w14:textId="77777777" w:rsidR="00555CE7" w:rsidRPr="00A651A1" w:rsidRDefault="00555CE7" w:rsidP="00555CE7">
      <w:pPr>
        <w:spacing w:before="100" w:beforeAutospacing="1" w:after="100" w:afterAutospacing="1" w:line="240" w:lineRule="auto"/>
        <w:jc w:val="center"/>
        <w:rPr>
          <w:rFonts w:ascii="Arial" w:eastAsia="Times New Roman" w:hAnsi="Arial" w:cs="Arial"/>
          <w:b/>
          <w:bCs/>
          <w:color w:val="000000"/>
          <w:kern w:val="0"/>
          <w:sz w:val="26"/>
          <w:szCs w:val="26"/>
          <w:lang w:eastAsia="it-IT"/>
          <w14:ligatures w14:val="none"/>
        </w:rPr>
      </w:pPr>
      <w:r w:rsidRPr="00A651A1">
        <w:rPr>
          <w:rFonts w:ascii="Arial" w:eastAsia="Times New Roman" w:hAnsi="Arial" w:cs="Arial"/>
          <w:b/>
          <w:bCs/>
          <w:color w:val="000000"/>
          <w:kern w:val="0"/>
          <w:sz w:val="26"/>
          <w:szCs w:val="26"/>
          <w:lang w:eastAsia="it-IT"/>
          <w14:ligatures w14:val="none"/>
        </w:rPr>
        <w:t>(Sezione Prima)</w:t>
      </w:r>
    </w:p>
    <w:p w14:paraId="01443A52" w14:textId="77777777" w:rsidR="00555CE7" w:rsidRPr="00A651A1" w:rsidRDefault="00555CE7" w:rsidP="00555CE7">
      <w:pPr>
        <w:spacing w:after="0" w:line="520" w:lineRule="atLeast"/>
        <w:ind w:firstLine="567"/>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ha pronunciato la presente</w:t>
      </w:r>
    </w:p>
    <w:p w14:paraId="317E02E7" w14:textId="77777777" w:rsidR="00555CE7" w:rsidRPr="00A651A1" w:rsidRDefault="00555CE7" w:rsidP="00555CE7">
      <w:pPr>
        <w:spacing w:before="100" w:beforeAutospacing="1" w:after="100" w:afterAutospacing="1" w:line="240" w:lineRule="auto"/>
        <w:jc w:val="center"/>
        <w:rPr>
          <w:rFonts w:ascii="Arial" w:eastAsia="Times New Roman" w:hAnsi="Arial" w:cs="Arial"/>
          <w:b/>
          <w:bCs/>
          <w:color w:val="000000"/>
          <w:kern w:val="0"/>
          <w:sz w:val="26"/>
          <w:szCs w:val="26"/>
          <w:lang w:eastAsia="it-IT"/>
          <w14:ligatures w14:val="none"/>
        </w:rPr>
      </w:pPr>
      <w:r w:rsidRPr="00A651A1">
        <w:rPr>
          <w:rFonts w:ascii="Arial" w:eastAsia="Times New Roman" w:hAnsi="Arial" w:cs="Arial"/>
          <w:b/>
          <w:bCs/>
          <w:color w:val="000000"/>
          <w:kern w:val="0"/>
          <w:sz w:val="26"/>
          <w:szCs w:val="26"/>
          <w:lang w:eastAsia="it-IT"/>
          <w14:ligatures w14:val="none"/>
        </w:rPr>
        <w:t>SENTENZA</w:t>
      </w:r>
    </w:p>
    <w:p w14:paraId="4A422AB7"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sul ricorso numero di registro generale 84 del 2026, integrato da motivi aggiunti, proposto dalla</w:t>
      </w:r>
      <w:r w:rsidRPr="00A651A1">
        <w:rPr>
          <w:rFonts w:ascii="Arial" w:eastAsia="Times New Roman" w:hAnsi="Arial" w:cs="Arial"/>
          <w:color w:val="000000"/>
          <w:kern w:val="0"/>
          <w:sz w:val="30"/>
          <w:szCs w:val="30"/>
          <w:lang w:eastAsia="it-IT"/>
          <w14:ligatures w14:val="none"/>
        </w:rPr>
        <w:br/>
        <w:t xml:space="preserve">Federazione Nazionale degli Ordini dei Medici Chirurghi e degli Odontoiatri - FNOMCeO, dall’Ordine Provinciale dei Medici Chirurghi e Odontoiatri di Campobasso - OMCeO di Campobasso e dall’Ordine Provinciale dei Medici Chirurghi e Odontoiatri di Isernia - OMCeO di Isernia, in persona del rispettivo legale rappresentante </w:t>
      </w:r>
      <w:r w:rsidRPr="00A651A1">
        <w:rPr>
          <w:rFonts w:ascii="Arial" w:eastAsia="Times New Roman" w:hAnsi="Arial" w:cs="Arial"/>
          <w:i/>
          <w:iCs/>
          <w:color w:val="000000"/>
          <w:kern w:val="0"/>
          <w:sz w:val="30"/>
          <w:szCs w:val="30"/>
          <w:lang w:eastAsia="it-IT"/>
          <w14:ligatures w14:val="none"/>
        </w:rPr>
        <w:t>pro tempore</w:t>
      </w:r>
      <w:r w:rsidRPr="00A651A1">
        <w:rPr>
          <w:rFonts w:ascii="Arial" w:eastAsia="Times New Roman" w:hAnsi="Arial" w:cs="Arial"/>
          <w:color w:val="000000"/>
          <w:kern w:val="0"/>
          <w:sz w:val="30"/>
          <w:szCs w:val="30"/>
          <w:lang w:eastAsia="it-IT"/>
          <w14:ligatures w14:val="none"/>
        </w:rPr>
        <w:t>, tutti rappresentati e difesi dagli avvocati Giuseppe Colavitti e Francesco Saverio Bertolini, con domicilio eletto presso lo studio Giuseppe Colavitti in Roma, via C Ferrero di Cambiano 82;</w:t>
      </w:r>
    </w:p>
    <w:p w14:paraId="676D88CE" w14:textId="77777777" w:rsidR="00555CE7" w:rsidRPr="00A651A1" w:rsidRDefault="00555CE7" w:rsidP="00555CE7">
      <w:pPr>
        <w:spacing w:after="0" w:line="520" w:lineRule="atLeast"/>
        <w:jc w:val="center"/>
        <w:rPr>
          <w:rFonts w:ascii="Arial" w:eastAsia="Times New Roman" w:hAnsi="Arial" w:cs="Arial"/>
          <w:b/>
          <w:bCs/>
          <w:i/>
          <w:iCs/>
          <w:color w:val="000000"/>
          <w:kern w:val="0"/>
          <w:sz w:val="30"/>
          <w:szCs w:val="30"/>
          <w:lang w:eastAsia="it-IT"/>
          <w14:ligatures w14:val="none"/>
        </w:rPr>
      </w:pPr>
      <w:r w:rsidRPr="00A651A1">
        <w:rPr>
          <w:rFonts w:ascii="Arial" w:eastAsia="Times New Roman" w:hAnsi="Arial" w:cs="Arial"/>
          <w:b/>
          <w:bCs/>
          <w:i/>
          <w:iCs/>
          <w:color w:val="000000"/>
          <w:kern w:val="0"/>
          <w:sz w:val="30"/>
          <w:szCs w:val="30"/>
          <w:lang w:eastAsia="it-IT"/>
          <w14:ligatures w14:val="none"/>
        </w:rPr>
        <w:t>contro</w:t>
      </w:r>
    </w:p>
    <w:p w14:paraId="70263295"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 xml:space="preserve">l’Azienda Sanitaria Regionale del Molise - ASREM, in persona del legale rappresentante </w:t>
      </w:r>
      <w:r w:rsidRPr="00A651A1">
        <w:rPr>
          <w:rFonts w:ascii="Arial" w:eastAsia="Times New Roman" w:hAnsi="Arial" w:cs="Arial"/>
          <w:i/>
          <w:iCs/>
          <w:color w:val="000000"/>
          <w:kern w:val="0"/>
          <w:sz w:val="30"/>
          <w:szCs w:val="30"/>
          <w:lang w:eastAsia="it-IT"/>
          <w14:ligatures w14:val="none"/>
        </w:rPr>
        <w:t>pro tempore</w:t>
      </w:r>
      <w:r w:rsidRPr="00A651A1">
        <w:rPr>
          <w:rFonts w:ascii="Arial" w:eastAsia="Times New Roman" w:hAnsi="Arial" w:cs="Arial"/>
          <w:color w:val="000000"/>
          <w:kern w:val="0"/>
          <w:sz w:val="30"/>
          <w:szCs w:val="30"/>
          <w:lang w:eastAsia="it-IT"/>
          <w14:ligatures w14:val="none"/>
        </w:rPr>
        <w:t>, rappresentata e difesa dall'avvocato Rosa Sciatta, con domicilio digitale come da PEC da Registri di Giustizia;</w:t>
      </w:r>
      <w:r w:rsidRPr="00A651A1">
        <w:rPr>
          <w:rFonts w:ascii="Arial" w:eastAsia="Times New Roman" w:hAnsi="Arial" w:cs="Arial"/>
          <w:color w:val="000000"/>
          <w:kern w:val="0"/>
          <w:sz w:val="30"/>
          <w:szCs w:val="30"/>
          <w:lang w:eastAsia="it-IT"/>
          <w14:ligatures w14:val="none"/>
        </w:rPr>
        <w:br/>
      </w:r>
      <w:r w:rsidRPr="00A651A1">
        <w:rPr>
          <w:rFonts w:ascii="Arial" w:eastAsia="Times New Roman" w:hAnsi="Arial" w:cs="Arial"/>
          <w:color w:val="000000"/>
          <w:kern w:val="0"/>
          <w:sz w:val="30"/>
          <w:szCs w:val="30"/>
          <w:lang w:eastAsia="it-IT"/>
          <w14:ligatures w14:val="none"/>
        </w:rPr>
        <w:lastRenderedPageBreak/>
        <w:t xml:space="preserve">la Regione Molise e il Commissario ad acta per l’attuazione del Piano di rientro dal disavanzo finanziario del Settore Sanitario della Regione Molise, in persona del rispettivo legale rappresentante </w:t>
      </w:r>
      <w:r w:rsidRPr="00A651A1">
        <w:rPr>
          <w:rFonts w:ascii="Arial" w:eastAsia="Times New Roman" w:hAnsi="Arial" w:cs="Arial"/>
          <w:i/>
          <w:iCs/>
          <w:color w:val="000000"/>
          <w:kern w:val="0"/>
          <w:sz w:val="30"/>
          <w:szCs w:val="30"/>
          <w:lang w:eastAsia="it-IT"/>
          <w14:ligatures w14:val="none"/>
        </w:rPr>
        <w:t>pro tempore</w:t>
      </w:r>
      <w:r w:rsidRPr="00A651A1">
        <w:rPr>
          <w:rFonts w:ascii="Arial" w:eastAsia="Times New Roman" w:hAnsi="Arial" w:cs="Arial"/>
          <w:color w:val="000000"/>
          <w:kern w:val="0"/>
          <w:sz w:val="30"/>
          <w:szCs w:val="30"/>
          <w:lang w:eastAsia="it-IT"/>
          <w14:ligatures w14:val="none"/>
        </w:rPr>
        <w:t xml:space="preserve">, rappresentati e difesi dall'Avvocatura Distrettuale dello Stato, domiciliataria </w:t>
      </w:r>
      <w:r w:rsidRPr="00A651A1">
        <w:rPr>
          <w:rFonts w:ascii="Arial" w:eastAsia="Times New Roman" w:hAnsi="Arial" w:cs="Arial"/>
          <w:i/>
          <w:iCs/>
          <w:color w:val="000000"/>
          <w:kern w:val="0"/>
          <w:sz w:val="30"/>
          <w:szCs w:val="30"/>
          <w:lang w:eastAsia="it-IT"/>
          <w14:ligatures w14:val="none"/>
        </w:rPr>
        <w:t>ex lege</w:t>
      </w:r>
      <w:r w:rsidRPr="00A651A1">
        <w:rPr>
          <w:rFonts w:ascii="Arial" w:eastAsia="Times New Roman" w:hAnsi="Arial" w:cs="Arial"/>
          <w:color w:val="000000"/>
          <w:kern w:val="0"/>
          <w:sz w:val="30"/>
          <w:szCs w:val="30"/>
          <w:lang w:eastAsia="it-IT"/>
          <w14:ligatures w14:val="none"/>
        </w:rPr>
        <w:t xml:space="preserve"> in Campobasso, via Insorti D'Ungheria, n.74;</w:t>
      </w:r>
    </w:p>
    <w:p w14:paraId="046F5F9D" w14:textId="77777777" w:rsidR="00555CE7" w:rsidRPr="00A651A1" w:rsidRDefault="00555CE7" w:rsidP="00555CE7">
      <w:pPr>
        <w:spacing w:after="0" w:line="520" w:lineRule="atLeast"/>
        <w:jc w:val="center"/>
        <w:rPr>
          <w:rFonts w:ascii="Arial" w:eastAsia="Times New Roman" w:hAnsi="Arial" w:cs="Arial"/>
          <w:b/>
          <w:bCs/>
          <w:i/>
          <w:iCs/>
          <w:color w:val="000000"/>
          <w:kern w:val="0"/>
          <w:sz w:val="30"/>
          <w:szCs w:val="30"/>
          <w:lang w:eastAsia="it-IT"/>
          <w14:ligatures w14:val="none"/>
        </w:rPr>
      </w:pPr>
      <w:r w:rsidRPr="00A651A1">
        <w:rPr>
          <w:rFonts w:ascii="Arial" w:eastAsia="Times New Roman" w:hAnsi="Arial" w:cs="Arial"/>
          <w:b/>
          <w:bCs/>
          <w:i/>
          <w:iCs/>
          <w:color w:val="000000"/>
          <w:kern w:val="0"/>
          <w:sz w:val="30"/>
          <w:szCs w:val="30"/>
          <w:lang w:eastAsia="it-IT"/>
          <w14:ligatures w14:val="none"/>
        </w:rPr>
        <w:t>nei confronti</w:t>
      </w:r>
    </w:p>
    <w:p w14:paraId="3FB3C9A6"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l'Istituto di Ricovero e Cura a Carattere Scientifico–IRCCS Neuromed – Istituto Neurologico Mediterraneo, non costituito in giudizio;</w:t>
      </w:r>
    </w:p>
    <w:p w14:paraId="6F4BC74F" w14:textId="77777777" w:rsidR="00555CE7" w:rsidRPr="00A651A1" w:rsidRDefault="00555CE7" w:rsidP="00555CE7">
      <w:pPr>
        <w:spacing w:after="0" w:line="520" w:lineRule="atLeast"/>
        <w:jc w:val="center"/>
        <w:rPr>
          <w:rFonts w:ascii="Arial" w:eastAsia="Times New Roman" w:hAnsi="Arial" w:cs="Arial"/>
          <w:b/>
          <w:bCs/>
          <w:i/>
          <w:iCs/>
          <w:color w:val="000000"/>
          <w:kern w:val="0"/>
          <w:sz w:val="30"/>
          <w:szCs w:val="30"/>
          <w:lang w:eastAsia="it-IT"/>
          <w14:ligatures w14:val="none"/>
        </w:rPr>
      </w:pPr>
      <w:r w:rsidRPr="00A651A1">
        <w:rPr>
          <w:rFonts w:ascii="Arial" w:eastAsia="Times New Roman" w:hAnsi="Arial" w:cs="Arial"/>
          <w:b/>
          <w:bCs/>
          <w:i/>
          <w:iCs/>
          <w:color w:val="000000"/>
          <w:kern w:val="0"/>
          <w:sz w:val="30"/>
          <w:szCs w:val="30"/>
          <w:lang w:eastAsia="it-IT"/>
          <w14:ligatures w14:val="none"/>
        </w:rPr>
        <w:t>per l'annullamento</w:t>
      </w:r>
    </w:p>
    <w:p w14:paraId="492A1204"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i/>
          <w:iCs/>
          <w:color w:val="000000"/>
          <w:kern w:val="0"/>
          <w:sz w:val="30"/>
          <w:szCs w:val="30"/>
          <w:lang w:eastAsia="it-IT"/>
          <w14:ligatures w14:val="none"/>
        </w:rPr>
        <w:t>per quanto riguarda il ricorso introduttivo:</w:t>
      </w:r>
    </w:p>
    <w:p w14:paraId="6E020814"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 xml:space="preserve">- della deliberazione del Direttore Generale della Azienda Sanitaria Regionale del Molise -A.S.RE.M. n. 120 del 27 gennaio 2026, avente ad oggetto “Avvisi pubblici per titoli finalizzati al conferimento incarichi a tempo determinato in diverse disciplina mediche per la copertura di posti disponibili per professionisti con titoli di studio conseguiti in un paese extra Unione Europea o paesi terzi e non riconosciuti dal Ministero della Salute – Ai sensi dell’art. 13 </w:t>
      </w:r>
      <w:proofErr w:type="spellStart"/>
      <w:r w:rsidRPr="00A651A1">
        <w:rPr>
          <w:rFonts w:ascii="Arial" w:eastAsia="Times New Roman" w:hAnsi="Arial" w:cs="Arial"/>
          <w:color w:val="000000"/>
          <w:kern w:val="0"/>
          <w:sz w:val="30"/>
          <w:szCs w:val="30"/>
          <w:lang w:eastAsia="it-IT"/>
          <w14:ligatures w14:val="none"/>
        </w:rPr>
        <w:t>d.l.</w:t>
      </w:r>
      <w:proofErr w:type="spellEnd"/>
      <w:r w:rsidRPr="00A651A1">
        <w:rPr>
          <w:rFonts w:ascii="Arial" w:eastAsia="Times New Roman" w:hAnsi="Arial" w:cs="Arial"/>
          <w:color w:val="000000"/>
          <w:kern w:val="0"/>
          <w:sz w:val="30"/>
          <w:szCs w:val="30"/>
          <w:lang w:eastAsia="it-IT"/>
          <w14:ligatures w14:val="none"/>
        </w:rPr>
        <w:t xml:space="preserve"> n. 18/2020 SMI”;</w:t>
      </w:r>
    </w:p>
    <w:p w14:paraId="5EFCE54B"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 del Decreto del Commissario ad acta per l’attuazione del Piano di rientro dal disavanzo finanziario del settore sanitario della Regione Molise D.C.A. n. 21 del 9 febbraio 2026, recante la proroga al 21.12.2029 della disciplina relativa all’autorizzazione all’esercizio temporaneo dell’attività lavorativa in deroga ai professionisti sanitari con titolo conseguito all’estero e non ancora riconosciuto dal Ministero della Salute;</w:t>
      </w:r>
    </w:p>
    <w:p w14:paraId="26F55C2B"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 di ogni altro atto comunque connesso, presupposto - in particolare il decreto del D.C.A. n. 140 del 6 settembre 2024 - ovvero consequenziale a ciascuno e ad entrambi gli atti impugnati;</w:t>
      </w:r>
    </w:p>
    <w:p w14:paraId="2DDDA302"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i/>
          <w:iCs/>
          <w:color w:val="000000"/>
          <w:kern w:val="0"/>
          <w:sz w:val="30"/>
          <w:szCs w:val="30"/>
          <w:lang w:eastAsia="it-IT"/>
          <w14:ligatures w14:val="none"/>
        </w:rPr>
        <w:t>per quanto riguarda i motivi aggiunti del 17.04.2026:</w:t>
      </w:r>
    </w:p>
    <w:p w14:paraId="2AC33ED9"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lastRenderedPageBreak/>
        <w:t>- del Decreto del Commissario ad acta per l’attuazione del Piano di rientro dal disavanzo finanziario del settore sanitario della Regione Molise D.C.A. n. 21 del 9 febbraio 2026, recante la proroga al 21.12.2029 della disciplina relativa all’autorizzazione all’esercizio temporaneo dell’attività lavorativa in deroga ai professionisti sanitari con titolo conseguito all’estero e non ancora riconosciuto dal Ministero della Salute già impugnato con il ricorso introduttivo;</w:t>
      </w:r>
    </w:p>
    <w:p w14:paraId="1F4ECA60"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 di ogni altro atto comunque connesso, presupposto - in particolare il decreto del D.C.A. n. 140 del 6 settembre 2024 - ovvero consequenziale a ciascuno e ad entrambi gli atti impugnati, già impugnati con il ricorso introduttivo.</w:t>
      </w:r>
    </w:p>
    <w:p w14:paraId="2CB6798D" w14:textId="77777777" w:rsidR="00555CE7" w:rsidRPr="00A651A1" w:rsidRDefault="00555CE7" w:rsidP="00555CE7">
      <w:pPr>
        <w:spacing w:after="0" w:line="240" w:lineRule="auto"/>
        <w:rPr>
          <w:rFonts w:ascii="Arial" w:eastAsia="Times New Roman" w:hAnsi="Arial" w:cs="Arial"/>
          <w:kern w:val="0"/>
          <w:lang w:eastAsia="it-IT"/>
          <w14:ligatures w14:val="none"/>
        </w:rPr>
      </w:pPr>
      <w:r w:rsidRPr="00A651A1">
        <w:rPr>
          <w:rFonts w:ascii="Arial" w:eastAsia="Times New Roman" w:hAnsi="Arial" w:cs="Arial"/>
          <w:color w:val="000000"/>
          <w:kern w:val="0"/>
          <w:sz w:val="27"/>
          <w:szCs w:val="27"/>
          <w:lang w:eastAsia="it-IT"/>
          <w14:ligatures w14:val="none"/>
        </w:rPr>
        <w:br/>
      </w:r>
    </w:p>
    <w:p w14:paraId="6F61E44C"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Visti il ricorso, i motivi aggiunti e i relativi allegati;</w:t>
      </w:r>
    </w:p>
    <w:p w14:paraId="19801BCB"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Visti gli atti di costituzione in giudizio dell’ASREM e delle Amministrazioni intimate;</w:t>
      </w:r>
    </w:p>
    <w:p w14:paraId="62B6E8AD"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Visti tutti gli atti della causa;</w:t>
      </w:r>
    </w:p>
    <w:p w14:paraId="1E091BF4"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Relatore nell'udienza pubblica del giorno 7 ottobre 2026 il dott. Luigi Lalla e uditi per le parti i difensori come specificato nel verbale;</w:t>
      </w:r>
    </w:p>
    <w:p w14:paraId="5E8210B8"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Ritenuto e considerato in fatto e diritto quanto segue.</w:t>
      </w:r>
    </w:p>
    <w:p w14:paraId="3EC83BB6" w14:textId="77777777" w:rsidR="00555CE7" w:rsidRPr="00A651A1" w:rsidRDefault="00555CE7" w:rsidP="00555CE7">
      <w:pPr>
        <w:spacing w:after="0" w:line="240" w:lineRule="auto"/>
        <w:rPr>
          <w:rFonts w:ascii="Arial" w:eastAsia="Times New Roman" w:hAnsi="Arial" w:cs="Arial"/>
          <w:kern w:val="0"/>
          <w:lang w:eastAsia="it-IT"/>
          <w14:ligatures w14:val="none"/>
        </w:rPr>
      </w:pPr>
      <w:r w:rsidRPr="00A651A1">
        <w:rPr>
          <w:rFonts w:ascii="Arial" w:eastAsia="Times New Roman" w:hAnsi="Arial" w:cs="Arial"/>
          <w:color w:val="000000"/>
          <w:kern w:val="0"/>
          <w:sz w:val="27"/>
          <w:szCs w:val="27"/>
          <w:lang w:eastAsia="it-IT"/>
          <w14:ligatures w14:val="none"/>
        </w:rPr>
        <w:br/>
      </w:r>
    </w:p>
    <w:p w14:paraId="22A778EE" w14:textId="77777777" w:rsidR="00555CE7" w:rsidRPr="00A651A1" w:rsidRDefault="00555CE7" w:rsidP="00555CE7">
      <w:pPr>
        <w:spacing w:after="0" w:line="540" w:lineRule="atLeast"/>
        <w:jc w:val="center"/>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FATTO e DIRITTO</w:t>
      </w:r>
    </w:p>
    <w:p w14:paraId="0DD704B3"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1. La Federazione Nazionale degli Ordini dei Medici Chirurghi e degli Odontoiatri – FNOMCeO; l’Ordine Provinciale dei Medici Chirurghi e Odontoiatri di Campobasso – OMCeO di Campobasso e l’Ordine Provinciale dei Medici Chirurghi e Odontoiatri di Isernia– OMCeO di Isernia hanno presentato l’odierno ricorso, notificato il 25.03.2026 e depositato il 2.04.2026, domandando l’annullamento dei seguenti atti:</w:t>
      </w:r>
    </w:p>
    <w:p w14:paraId="0CDC1063"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lastRenderedPageBreak/>
        <w:t>a) della deliberazione del Direttore Generale della Azienda Sanitaria Regionale del Molise–ASREM n. 120 del 27 gennaio 2026, recante “</w:t>
      </w:r>
      <w:r w:rsidRPr="00A651A1">
        <w:rPr>
          <w:rFonts w:ascii="Arial" w:eastAsia="Times New Roman" w:hAnsi="Arial" w:cs="Arial"/>
          <w:i/>
          <w:iCs/>
          <w:color w:val="000000"/>
          <w:kern w:val="0"/>
          <w:sz w:val="30"/>
          <w:szCs w:val="30"/>
          <w:lang w:eastAsia="it-IT"/>
          <w14:ligatures w14:val="none"/>
        </w:rPr>
        <w:t xml:space="preserve">Avvisi pubblici per titoli finalizzati al conferimento incarichi a tempo determinato in diverse disciplina mediche per la copertura di posti disponibili per professionisti con titoli di studio conseguiti in un paese extra Unione Europea o paesi terzi e non riconosciuti dal Ministero della Salute – Ai sensi dell’art. 13 </w:t>
      </w:r>
      <w:proofErr w:type="spellStart"/>
      <w:r w:rsidRPr="00A651A1">
        <w:rPr>
          <w:rFonts w:ascii="Arial" w:eastAsia="Times New Roman" w:hAnsi="Arial" w:cs="Arial"/>
          <w:i/>
          <w:iCs/>
          <w:color w:val="000000"/>
          <w:kern w:val="0"/>
          <w:sz w:val="30"/>
          <w:szCs w:val="30"/>
          <w:lang w:eastAsia="it-IT"/>
          <w14:ligatures w14:val="none"/>
        </w:rPr>
        <w:t>d.l.</w:t>
      </w:r>
      <w:proofErr w:type="spellEnd"/>
      <w:r w:rsidRPr="00A651A1">
        <w:rPr>
          <w:rFonts w:ascii="Arial" w:eastAsia="Times New Roman" w:hAnsi="Arial" w:cs="Arial"/>
          <w:i/>
          <w:iCs/>
          <w:color w:val="000000"/>
          <w:kern w:val="0"/>
          <w:sz w:val="30"/>
          <w:szCs w:val="30"/>
          <w:lang w:eastAsia="it-IT"/>
          <w14:ligatures w14:val="none"/>
        </w:rPr>
        <w:t xml:space="preserve"> n. 18/2020 SMI</w:t>
      </w:r>
      <w:r w:rsidRPr="00A651A1">
        <w:rPr>
          <w:rFonts w:ascii="Arial" w:eastAsia="Times New Roman" w:hAnsi="Arial" w:cs="Arial"/>
          <w:color w:val="000000"/>
          <w:kern w:val="0"/>
          <w:sz w:val="30"/>
          <w:szCs w:val="30"/>
          <w:lang w:eastAsia="it-IT"/>
          <w14:ligatures w14:val="none"/>
        </w:rPr>
        <w:t>”</w:t>
      </w:r>
    </w:p>
    <w:p w14:paraId="716D52C5"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b) del Decreto del Commissario ad Acta per l’attuazione del Piano di rientro dal disavanzo del settore sanitario n. 21 del 9 febbraio 2026, recante proroga al 21.12.2029 della disciplina relativa all’autorizzazione all’esercizio temporaneo dell’attività lavorativa in deroga ai professionisti sanitari con titolo conseguito all’estero e non ancora riconosciuto dal Ministero della Salute;</w:t>
      </w:r>
    </w:p>
    <w:p w14:paraId="0A0D413C"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c) di ogni altro atto connesso e presupposto, fra cui, in particolare il D.C.A. n. 140/2024.</w:t>
      </w:r>
    </w:p>
    <w:p w14:paraId="398C6367"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L’impugnativa è stata affidata ai seguenti motivi di ricorso, così rubricati:</w:t>
      </w:r>
    </w:p>
    <w:p w14:paraId="59CE40A1"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 xml:space="preserve">I- </w:t>
      </w:r>
      <w:r w:rsidRPr="00A651A1">
        <w:rPr>
          <w:rFonts w:ascii="Arial" w:eastAsia="Times New Roman" w:hAnsi="Arial" w:cs="Arial"/>
          <w:i/>
          <w:iCs/>
          <w:color w:val="000000"/>
          <w:kern w:val="0"/>
          <w:sz w:val="30"/>
          <w:szCs w:val="30"/>
          <w:lang w:eastAsia="it-IT"/>
          <w14:ligatures w14:val="none"/>
        </w:rPr>
        <w:t xml:space="preserve">Illegittimità della delibera direttoriale n. 120 del 27.1.2026 e del decreto del Commissario ad Acta n. 21 del 9.2.2026 derivata dalla illegittimità costituzionale dell’art. 13, d. l. n. 18 del 17 marzo 2020; dell’art. 6-bis del </w:t>
      </w:r>
      <w:proofErr w:type="spellStart"/>
      <w:r w:rsidRPr="00A651A1">
        <w:rPr>
          <w:rFonts w:ascii="Arial" w:eastAsia="Times New Roman" w:hAnsi="Arial" w:cs="Arial"/>
          <w:i/>
          <w:iCs/>
          <w:color w:val="000000"/>
          <w:kern w:val="0"/>
          <w:sz w:val="30"/>
          <w:szCs w:val="30"/>
          <w:lang w:eastAsia="it-IT"/>
          <w14:ligatures w14:val="none"/>
        </w:rPr>
        <w:t>d.l.</w:t>
      </w:r>
      <w:proofErr w:type="spellEnd"/>
      <w:r w:rsidRPr="00A651A1">
        <w:rPr>
          <w:rFonts w:ascii="Arial" w:eastAsia="Times New Roman" w:hAnsi="Arial" w:cs="Arial"/>
          <w:i/>
          <w:iCs/>
          <w:color w:val="000000"/>
          <w:kern w:val="0"/>
          <w:sz w:val="30"/>
          <w:szCs w:val="30"/>
          <w:lang w:eastAsia="it-IT"/>
          <w14:ligatures w14:val="none"/>
        </w:rPr>
        <w:t xml:space="preserve"> n. 105 del 23 luglio 2021; dell’art. 15 del </w:t>
      </w:r>
      <w:proofErr w:type="spellStart"/>
      <w:r w:rsidRPr="00A651A1">
        <w:rPr>
          <w:rFonts w:ascii="Arial" w:eastAsia="Times New Roman" w:hAnsi="Arial" w:cs="Arial"/>
          <w:i/>
          <w:iCs/>
          <w:color w:val="000000"/>
          <w:kern w:val="0"/>
          <w:sz w:val="30"/>
          <w:szCs w:val="30"/>
          <w:lang w:eastAsia="it-IT"/>
          <w14:ligatures w14:val="none"/>
        </w:rPr>
        <w:t>d.l.</w:t>
      </w:r>
      <w:proofErr w:type="spellEnd"/>
      <w:r w:rsidRPr="00A651A1">
        <w:rPr>
          <w:rFonts w:ascii="Arial" w:eastAsia="Times New Roman" w:hAnsi="Arial" w:cs="Arial"/>
          <w:i/>
          <w:iCs/>
          <w:color w:val="000000"/>
          <w:kern w:val="0"/>
          <w:sz w:val="30"/>
          <w:szCs w:val="30"/>
          <w:lang w:eastAsia="it-IT"/>
          <w14:ligatures w14:val="none"/>
        </w:rPr>
        <w:t xml:space="preserve"> n. 34 del 30 marzo 2023: dell’art. 2, c. 8 bis del </w:t>
      </w:r>
      <w:proofErr w:type="spellStart"/>
      <w:r w:rsidRPr="00A651A1">
        <w:rPr>
          <w:rFonts w:ascii="Arial" w:eastAsia="Times New Roman" w:hAnsi="Arial" w:cs="Arial"/>
          <w:i/>
          <w:iCs/>
          <w:color w:val="000000"/>
          <w:kern w:val="0"/>
          <w:sz w:val="30"/>
          <w:szCs w:val="30"/>
          <w:lang w:eastAsia="it-IT"/>
          <w14:ligatures w14:val="none"/>
        </w:rPr>
        <w:t>d.l.</w:t>
      </w:r>
      <w:proofErr w:type="spellEnd"/>
      <w:r w:rsidRPr="00A651A1">
        <w:rPr>
          <w:rFonts w:ascii="Arial" w:eastAsia="Times New Roman" w:hAnsi="Arial" w:cs="Arial"/>
          <w:i/>
          <w:iCs/>
          <w:color w:val="000000"/>
          <w:kern w:val="0"/>
          <w:sz w:val="30"/>
          <w:szCs w:val="30"/>
          <w:lang w:eastAsia="it-IT"/>
          <w14:ligatures w14:val="none"/>
        </w:rPr>
        <w:t xml:space="preserve"> 11 ottobre 2024 n. 145; dell’art. 1, c. 939 della l. 31 dicembre 2025 per contrasto con gli articoli 2, 3, 4, 32, 33, 117, primo comma, della Costituzione;</w:t>
      </w:r>
    </w:p>
    <w:p w14:paraId="58925500"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 xml:space="preserve">II- </w:t>
      </w:r>
      <w:r w:rsidRPr="00A651A1">
        <w:rPr>
          <w:rFonts w:ascii="Arial" w:eastAsia="Times New Roman" w:hAnsi="Arial" w:cs="Arial"/>
          <w:i/>
          <w:iCs/>
          <w:color w:val="000000"/>
          <w:kern w:val="0"/>
          <w:sz w:val="30"/>
          <w:szCs w:val="30"/>
          <w:lang w:eastAsia="it-IT"/>
          <w14:ligatures w14:val="none"/>
        </w:rPr>
        <w:t xml:space="preserve">Illegittimità degli atti impugnati derivata dal contrasto dell’art. 13, d. l. n. 18 del 17 marzo 2020; dell’art. 6-bis del </w:t>
      </w:r>
      <w:proofErr w:type="spellStart"/>
      <w:r w:rsidRPr="00A651A1">
        <w:rPr>
          <w:rFonts w:ascii="Arial" w:eastAsia="Times New Roman" w:hAnsi="Arial" w:cs="Arial"/>
          <w:i/>
          <w:iCs/>
          <w:color w:val="000000"/>
          <w:kern w:val="0"/>
          <w:sz w:val="30"/>
          <w:szCs w:val="30"/>
          <w:lang w:eastAsia="it-IT"/>
          <w14:ligatures w14:val="none"/>
        </w:rPr>
        <w:t>d.l.</w:t>
      </w:r>
      <w:proofErr w:type="spellEnd"/>
      <w:r w:rsidRPr="00A651A1">
        <w:rPr>
          <w:rFonts w:ascii="Arial" w:eastAsia="Times New Roman" w:hAnsi="Arial" w:cs="Arial"/>
          <w:i/>
          <w:iCs/>
          <w:color w:val="000000"/>
          <w:kern w:val="0"/>
          <w:sz w:val="30"/>
          <w:szCs w:val="30"/>
          <w:lang w:eastAsia="it-IT"/>
          <w14:ligatures w14:val="none"/>
        </w:rPr>
        <w:t xml:space="preserve"> n. 105 del 23 luglio 2021; dell’art. 15 del </w:t>
      </w:r>
      <w:proofErr w:type="spellStart"/>
      <w:r w:rsidRPr="00A651A1">
        <w:rPr>
          <w:rFonts w:ascii="Arial" w:eastAsia="Times New Roman" w:hAnsi="Arial" w:cs="Arial"/>
          <w:i/>
          <w:iCs/>
          <w:color w:val="000000"/>
          <w:kern w:val="0"/>
          <w:sz w:val="30"/>
          <w:szCs w:val="30"/>
          <w:lang w:eastAsia="it-IT"/>
          <w14:ligatures w14:val="none"/>
        </w:rPr>
        <w:t>d.l.</w:t>
      </w:r>
      <w:proofErr w:type="spellEnd"/>
      <w:r w:rsidRPr="00A651A1">
        <w:rPr>
          <w:rFonts w:ascii="Arial" w:eastAsia="Times New Roman" w:hAnsi="Arial" w:cs="Arial"/>
          <w:i/>
          <w:iCs/>
          <w:color w:val="000000"/>
          <w:kern w:val="0"/>
          <w:sz w:val="30"/>
          <w:szCs w:val="30"/>
          <w:lang w:eastAsia="it-IT"/>
          <w14:ligatures w14:val="none"/>
        </w:rPr>
        <w:t xml:space="preserve"> n. 34 del 30 marzo 2023 con la disciplina della direttiva 2005/36/CE e del decreto legislativo di recepimento n. 206 del 9 </w:t>
      </w:r>
      <w:r w:rsidRPr="00A651A1">
        <w:rPr>
          <w:rFonts w:ascii="Arial" w:eastAsia="Times New Roman" w:hAnsi="Arial" w:cs="Arial"/>
          <w:i/>
          <w:iCs/>
          <w:color w:val="000000"/>
          <w:kern w:val="0"/>
          <w:sz w:val="30"/>
          <w:szCs w:val="30"/>
          <w:lang w:eastAsia="it-IT"/>
          <w14:ligatures w14:val="none"/>
        </w:rPr>
        <w:lastRenderedPageBreak/>
        <w:t>novembre 2007; violazione del principio del primato del diritto europeo; disapplicazione necessitata della disciplina interna</w:t>
      </w:r>
      <w:r w:rsidRPr="00A651A1">
        <w:rPr>
          <w:rFonts w:ascii="Arial" w:eastAsia="Times New Roman" w:hAnsi="Arial" w:cs="Arial"/>
          <w:color w:val="000000"/>
          <w:kern w:val="0"/>
          <w:sz w:val="30"/>
          <w:szCs w:val="30"/>
          <w:lang w:eastAsia="it-IT"/>
          <w14:ligatures w14:val="none"/>
        </w:rPr>
        <w:t>;</w:t>
      </w:r>
    </w:p>
    <w:p w14:paraId="00D3CC27"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 xml:space="preserve">III- </w:t>
      </w:r>
      <w:r w:rsidRPr="00A651A1">
        <w:rPr>
          <w:rFonts w:ascii="Arial" w:eastAsia="Times New Roman" w:hAnsi="Arial" w:cs="Arial"/>
          <w:i/>
          <w:iCs/>
          <w:color w:val="000000"/>
          <w:kern w:val="0"/>
          <w:sz w:val="30"/>
          <w:szCs w:val="30"/>
          <w:lang w:eastAsia="it-IT"/>
          <w14:ligatures w14:val="none"/>
        </w:rPr>
        <w:t xml:space="preserve">Illegittimità della delibera direttoriale impugnata che indice la procedura per l’inserimento degli interessati negli elenchi dei medici con titoli esteri non riconosciuti, e del decreto commissariale che proroga l’efficacia di tali elenchi al 31 dicembre 2029, per violazione e falsa applicazione delle discipline di legge derogatorie del procedimento ordinario di riconoscimento dei titoli esteri, e, segnatamente: per violazione e falsa applicazione dell’art. 13, c. 1. </w:t>
      </w:r>
      <w:proofErr w:type="spellStart"/>
      <w:r w:rsidRPr="00A651A1">
        <w:rPr>
          <w:rFonts w:ascii="Arial" w:eastAsia="Times New Roman" w:hAnsi="Arial" w:cs="Arial"/>
          <w:i/>
          <w:iCs/>
          <w:color w:val="000000"/>
          <w:kern w:val="0"/>
          <w:sz w:val="30"/>
          <w:szCs w:val="30"/>
          <w:lang w:eastAsia="it-IT"/>
          <w14:ligatures w14:val="none"/>
        </w:rPr>
        <w:t>d.l.</w:t>
      </w:r>
      <w:proofErr w:type="spellEnd"/>
      <w:r w:rsidRPr="00A651A1">
        <w:rPr>
          <w:rFonts w:ascii="Arial" w:eastAsia="Times New Roman" w:hAnsi="Arial" w:cs="Arial"/>
          <w:i/>
          <w:iCs/>
          <w:color w:val="000000"/>
          <w:kern w:val="0"/>
          <w:sz w:val="30"/>
          <w:szCs w:val="30"/>
          <w:lang w:eastAsia="it-IT"/>
          <w14:ligatures w14:val="none"/>
        </w:rPr>
        <w:t xml:space="preserve"> n. 18 del 2020; dell’art. 15 del </w:t>
      </w:r>
      <w:proofErr w:type="spellStart"/>
      <w:r w:rsidRPr="00A651A1">
        <w:rPr>
          <w:rFonts w:ascii="Arial" w:eastAsia="Times New Roman" w:hAnsi="Arial" w:cs="Arial"/>
          <w:i/>
          <w:iCs/>
          <w:color w:val="000000"/>
          <w:kern w:val="0"/>
          <w:sz w:val="30"/>
          <w:szCs w:val="30"/>
          <w:lang w:eastAsia="it-IT"/>
          <w14:ligatures w14:val="none"/>
        </w:rPr>
        <w:t>d.l.</w:t>
      </w:r>
      <w:proofErr w:type="spellEnd"/>
      <w:r w:rsidRPr="00A651A1">
        <w:rPr>
          <w:rFonts w:ascii="Arial" w:eastAsia="Times New Roman" w:hAnsi="Arial" w:cs="Arial"/>
          <w:i/>
          <w:iCs/>
          <w:color w:val="000000"/>
          <w:kern w:val="0"/>
          <w:sz w:val="30"/>
          <w:szCs w:val="30"/>
          <w:lang w:eastAsia="it-IT"/>
          <w14:ligatures w14:val="none"/>
        </w:rPr>
        <w:t xml:space="preserve"> n. 34 del 2023; dell’art. 2, c. 8 bis del </w:t>
      </w:r>
      <w:proofErr w:type="spellStart"/>
      <w:r w:rsidRPr="00A651A1">
        <w:rPr>
          <w:rFonts w:ascii="Arial" w:eastAsia="Times New Roman" w:hAnsi="Arial" w:cs="Arial"/>
          <w:i/>
          <w:iCs/>
          <w:color w:val="000000"/>
          <w:kern w:val="0"/>
          <w:sz w:val="30"/>
          <w:szCs w:val="30"/>
          <w:lang w:eastAsia="it-IT"/>
          <w14:ligatures w14:val="none"/>
        </w:rPr>
        <w:t>d.l.</w:t>
      </w:r>
      <w:proofErr w:type="spellEnd"/>
      <w:r w:rsidRPr="00A651A1">
        <w:rPr>
          <w:rFonts w:ascii="Arial" w:eastAsia="Times New Roman" w:hAnsi="Arial" w:cs="Arial"/>
          <w:i/>
          <w:iCs/>
          <w:color w:val="000000"/>
          <w:kern w:val="0"/>
          <w:sz w:val="30"/>
          <w:szCs w:val="30"/>
          <w:lang w:eastAsia="it-IT"/>
          <w14:ligatures w14:val="none"/>
        </w:rPr>
        <w:t xml:space="preserve"> 11 ottobre 2024 n. 145; dell’art. 1, c. 939 della legge n. 199 del 2025. Omesso previo procedimento di riconoscimento delle qualifiche sanitarie estere ai fini del reclutamento di personale nelle organizzazioni sanitarie regionali. Violazione del principio costituzionale di legalità dell’azione amministrativa</w:t>
      </w:r>
      <w:r w:rsidRPr="00A651A1">
        <w:rPr>
          <w:rFonts w:ascii="Arial" w:eastAsia="Times New Roman" w:hAnsi="Arial" w:cs="Arial"/>
          <w:color w:val="000000"/>
          <w:kern w:val="0"/>
          <w:sz w:val="30"/>
          <w:szCs w:val="30"/>
          <w:lang w:eastAsia="it-IT"/>
          <w14:ligatures w14:val="none"/>
        </w:rPr>
        <w:t>;</w:t>
      </w:r>
    </w:p>
    <w:p w14:paraId="584B9DE7"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 xml:space="preserve">IV- </w:t>
      </w:r>
      <w:r w:rsidRPr="00A651A1">
        <w:rPr>
          <w:rFonts w:ascii="Arial" w:eastAsia="Times New Roman" w:hAnsi="Arial" w:cs="Arial"/>
          <w:i/>
          <w:iCs/>
          <w:color w:val="000000"/>
          <w:kern w:val="0"/>
          <w:sz w:val="30"/>
          <w:szCs w:val="30"/>
          <w:lang w:eastAsia="it-IT"/>
          <w14:ligatures w14:val="none"/>
        </w:rPr>
        <w:t xml:space="preserve">Illegittimità della delibera direttoriale impugnata e del decreto commissariale di proroga dei termini di efficacia degli elenchi per violazione e falsa applicazione dell’art. 13, c. 1. del </w:t>
      </w:r>
      <w:proofErr w:type="spellStart"/>
      <w:r w:rsidRPr="00A651A1">
        <w:rPr>
          <w:rFonts w:ascii="Arial" w:eastAsia="Times New Roman" w:hAnsi="Arial" w:cs="Arial"/>
          <w:i/>
          <w:iCs/>
          <w:color w:val="000000"/>
          <w:kern w:val="0"/>
          <w:sz w:val="30"/>
          <w:szCs w:val="30"/>
          <w:lang w:eastAsia="it-IT"/>
          <w14:ligatures w14:val="none"/>
        </w:rPr>
        <w:t>d.l.</w:t>
      </w:r>
      <w:proofErr w:type="spellEnd"/>
      <w:r w:rsidRPr="00A651A1">
        <w:rPr>
          <w:rFonts w:ascii="Arial" w:eastAsia="Times New Roman" w:hAnsi="Arial" w:cs="Arial"/>
          <w:i/>
          <w:iCs/>
          <w:color w:val="000000"/>
          <w:kern w:val="0"/>
          <w:sz w:val="30"/>
          <w:szCs w:val="30"/>
          <w:lang w:eastAsia="it-IT"/>
          <w14:ligatures w14:val="none"/>
        </w:rPr>
        <w:t xml:space="preserve"> n. 18 del 2020. Violazione del principio costituzionale di legalità dell’azione amministrativa.</w:t>
      </w:r>
    </w:p>
    <w:p w14:paraId="67F5876D"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Al ricorso è stata allegata una domanda di sospensione cautelare degli effetti dei provvedimenti impugnati, con la quale è stato dedotto quanto segue: “</w:t>
      </w:r>
      <w:r w:rsidRPr="00A651A1">
        <w:rPr>
          <w:rFonts w:ascii="Arial" w:eastAsia="Times New Roman" w:hAnsi="Arial" w:cs="Arial"/>
          <w:i/>
          <w:iCs/>
          <w:color w:val="000000"/>
          <w:kern w:val="0"/>
          <w:sz w:val="30"/>
          <w:szCs w:val="30"/>
          <w:lang w:eastAsia="it-IT"/>
          <w14:ligatures w14:val="none"/>
        </w:rPr>
        <w:t xml:space="preserve">Periculum in mora sussiste per l’evidente e manifesto rischio che la perdurante efficacia degli atti impugnati nelle more del giudizio dia corso ad un procedimento regionale di reclutamento che finisca per immettere nel sistema sanitario regionale del Molise medici in difetto di attestazione del livello formativo reale di cui essi dispongono, con </w:t>
      </w:r>
      <w:r w:rsidRPr="00A651A1">
        <w:rPr>
          <w:rFonts w:ascii="Arial" w:eastAsia="Times New Roman" w:hAnsi="Arial" w:cs="Arial"/>
          <w:i/>
          <w:iCs/>
          <w:color w:val="000000"/>
          <w:kern w:val="0"/>
          <w:sz w:val="30"/>
          <w:szCs w:val="30"/>
          <w:lang w:eastAsia="it-IT"/>
          <w14:ligatures w14:val="none"/>
        </w:rPr>
        <w:lastRenderedPageBreak/>
        <w:t>esposizione dei pazienti a prestazioni sanitarie inadeguate, insufficienti, o comunque non corrette, e con esposizione dei medici già operanti nel sistema a quotidiane cure congiunte con colleghi su cui non poter fare integrale affidamento.</w:t>
      </w:r>
    </w:p>
    <w:p w14:paraId="5159441A"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i/>
          <w:iCs/>
          <w:color w:val="000000"/>
          <w:kern w:val="0"/>
          <w:sz w:val="30"/>
          <w:szCs w:val="30"/>
          <w:lang w:eastAsia="it-IT"/>
          <w14:ligatures w14:val="none"/>
        </w:rPr>
        <w:t>Né l’ordinamento, allo stato della sua disciplina, consente alla scrivente Federazione e neppure agli ordini competenti per territorio alcuna ulteriore e successiva forma di intervento e di controllo sulla procedura di riconoscimento che la Giunta regionale ha avviato. Neppure la comunicazione all’ordine dell’intervenuto provvedimento di abilitazione all’esercizio temporaneo della qualifica risulta più prescritto dalla legge, cosicché la sede dell’odierno giudizio risulta l’ultima nella quale far valere da parte delle organizzazioni ordinistiche i gravissimi pregiudizi per i singoli e per la pubblica salute insiti nella procedura in esame.</w:t>
      </w:r>
    </w:p>
    <w:p w14:paraId="68967BAD"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i/>
          <w:iCs/>
          <w:color w:val="000000"/>
          <w:kern w:val="0"/>
          <w:sz w:val="30"/>
          <w:szCs w:val="30"/>
          <w:lang w:eastAsia="it-IT"/>
          <w14:ligatures w14:val="none"/>
        </w:rPr>
        <w:t>Come si è detto, preme alla scrivente Federazione Nazionale e agli scriventi Ordini provinciali che la sommaria disciplina legislativa di riconoscimento, derogatoria di quella ordinaria, stabilita testualmente per far fronte all’emergenza COVID, ma in effetti già prorogata sino alla fine dell’anno 2029, ove non interpretata in senso costituzionalmente conforme venga sottoposta al giudizio di costituzionalità, per tutti le ragioni di pregiudizio al sistema sanitario che essa comporta.</w:t>
      </w:r>
    </w:p>
    <w:p w14:paraId="70137AB4"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i/>
          <w:iCs/>
          <w:color w:val="000000"/>
          <w:kern w:val="0"/>
          <w:sz w:val="30"/>
          <w:szCs w:val="30"/>
          <w:lang w:eastAsia="it-IT"/>
          <w14:ligatures w14:val="none"/>
        </w:rPr>
        <w:t>E neppure è necessario, a tal fine, disporre la pretermissione immediata delle asserite ragioni di pubblico interesse che la Giunta Regionale pone a fondamento della delibera impugnata.</w:t>
      </w:r>
    </w:p>
    <w:p w14:paraId="365749F2"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i/>
          <w:iCs/>
          <w:color w:val="000000"/>
          <w:kern w:val="0"/>
          <w:sz w:val="30"/>
          <w:szCs w:val="30"/>
          <w:lang w:eastAsia="it-IT"/>
          <w14:ligatures w14:val="none"/>
        </w:rPr>
        <w:t xml:space="preserve">La relativa questione di costituzionalità è suscettibile di essere sollevata da parte di codesto ecc.mo Tribunale Amministrativo (come, del pari, il compimento del richiesto rinvio pregiudiziale alla Corte di Giustizia) anche in sede cautelare con riserva di provvedere definitivamente sulla relativa </w:t>
      </w:r>
      <w:r w:rsidRPr="00A651A1">
        <w:rPr>
          <w:rFonts w:ascii="Arial" w:eastAsia="Times New Roman" w:hAnsi="Arial" w:cs="Arial"/>
          <w:i/>
          <w:iCs/>
          <w:color w:val="000000"/>
          <w:kern w:val="0"/>
          <w:sz w:val="30"/>
          <w:szCs w:val="30"/>
          <w:lang w:eastAsia="it-IT"/>
          <w14:ligatures w14:val="none"/>
        </w:rPr>
        <w:lastRenderedPageBreak/>
        <w:t>istanza all’esito del giudizio di costituzionalità, alla luce degli effetti del sindacato della Corte costituzionale sui termini e le condizioni di validità della disciplina legislativa eccezionale di cui si tratta.</w:t>
      </w:r>
    </w:p>
    <w:p w14:paraId="4DBC9ACF"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i/>
          <w:iCs/>
          <w:color w:val="000000"/>
          <w:kern w:val="0"/>
          <w:sz w:val="30"/>
          <w:szCs w:val="30"/>
          <w:lang w:eastAsia="it-IT"/>
          <w14:ligatures w14:val="none"/>
        </w:rPr>
        <w:t xml:space="preserve">E difatti, secondo la Corte costituzionale, “la questione di legittimità costituzionale può essere sollevata in sede cautelare, qualora il giudice non abbia provveduto sulla domanda” (così ordinanza 150 del 2012), inammissibile dovendo dirsi la questione nel solo caso in cui la rimessione avvenga a potere cautelare già consumato (ex </w:t>
      </w:r>
      <w:proofErr w:type="spellStart"/>
      <w:r w:rsidRPr="00A651A1">
        <w:rPr>
          <w:rFonts w:ascii="Arial" w:eastAsia="Times New Roman" w:hAnsi="Arial" w:cs="Arial"/>
          <w:i/>
          <w:iCs/>
          <w:color w:val="000000"/>
          <w:kern w:val="0"/>
          <w:sz w:val="30"/>
          <w:szCs w:val="30"/>
          <w:lang w:eastAsia="it-IT"/>
          <w14:ligatures w14:val="none"/>
        </w:rPr>
        <w:t>multis</w:t>
      </w:r>
      <w:proofErr w:type="spellEnd"/>
      <w:r w:rsidRPr="00A651A1">
        <w:rPr>
          <w:rFonts w:ascii="Arial" w:eastAsia="Times New Roman" w:hAnsi="Arial" w:cs="Arial"/>
          <w:i/>
          <w:iCs/>
          <w:color w:val="000000"/>
          <w:kern w:val="0"/>
          <w:sz w:val="30"/>
          <w:szCs w:val="30"/>
          <w:lang w:eastAsia="it-IT"/>
          <w14:ligatures w14:val="none"/>
        </w:rPr>
        <w:t xml:space="preserve">: sentenza n. 162 del 2021)” </w:t>
      </w:r>
      <w:r w:rsidRPr="00A651A1">
        <w:rPr>
          <w:rFonts w:ascii="Arial" w:eastAsia="Times New Roman" w:hAnsi="Arial" w:cs="Arial"/>
          <w:color w:val="000000"/>
          <w:kern w:val="0"/>
          <w:sz w:val="30"/>
          <w:szCs w:val="30"/>
          <w:lang w:eastAsia="it-IT"/>
          <w14:ligatures w14:val="none"/>
        </w:rPr>
        <w:t>(cfr. il ricorso alle pagine 42 e 43).</w:t>
      </w:r>
    </w:p>
    <w:p w14:paraId="578BE57E"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In estrema sintesi, con il ricorso gli enti esponenziali dei medici iscritti all’ordine si sono doluti delle seguenti illegittimità:</w:t>
      </w:r>
    </w:p>
    <w:p w14:paraId="2CEFFB00"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a) illegittimità derivata dall’illegittimità costituzionale per violazione degli artt.:</w:t>
      </w:r>
    </w:p>
    <w:p w14:paraId="0D7CFBE1"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- 2 e 32 Cost., siccome “</w:t>
      </w:r>
      <w:r w:rsidRPr="00A651A1">
        <w:rPr>
          <w:rFonts w:ascii="Arial" w:eastAsia="Times New Roman" w:hAnsi="Arial" w:cs="Arial"/>
          <w:i/>
          <w:iCs/>
          <w:color w:val="000000"/>
          <w:kern w:val="0"/>
          <w:sz w:val="30"/>
          <w:szCs w:val="30"/>
          <w:lang w:eastAsia="it-IT"/>
          <w14:ligatures w14:val="none"/>
        </w:rPr>
        <w:t>La violazione del diritto alla salute discende dal fatto che la disciplina derogatoria consente l’esercizio della professione medica in assenza di un procedimento di verifica e di valutazione compiuto ed effettivo</w:t>
      </w:r>
      <w:r w:rsidRPr="00A651A1">
        <w:rPr>
          <w:rFonts w:ascii="Arial" w:eastAsia="Times New Roman" w:hAnsi="Arial" w:cs="Arial"/>
          <w:color w:val="000000"/>
          <w:kern w:val="0"/>
          <w:sz w:val="30"/>
          <w:szCs w:val="30"/>
          <w:lang w:eastAsia="it-IT"/>
          <w14:ligatures w14:val="none"/>
        </w:rPr>
        <w:t>” (cfr. il ricorso a pag. 21);</w:t>
      </w:r>
    </w:p>
    <w:p w14:paraId="0ED7A827"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- 3 Cost., “</w:t>
      </w:r>
      <w:r w:rsidRPr="00A651A1">
        <w:rPr>
          <w:rFonts w:ascii="Arial" w:eastAsia="Times New Roman" w:hAnsi="Arial" w:cs="Arial"/>
          <w:i/>
          <w:iCs/>
          <w:color w:val="000000"/>
          <w:kern w:val="0"/>
          <w:sz w:val="30"/>
          <w:szCs w:val="30"/>
          <w:lang w:eastAsia="it-IT"/>
          <w14:ligatures w14:val="none"/>
        </w:rPr>
        <w:t>per difetto di fondamento giustificativo della proroga del regime derogatorio e per violazione di parità di trattamento</w:t>
      </w:r>
      <w:r w:rsidRPr="00A651A1">
        <w:rPr>
          <w:rFonts w:ascii="Arial" w:eastAsia="Times New Roman" w:hAnsi="Arial" w:cs="Arial"/>
          <w:color w:val="000000"/>
          <w:kern w:val="0"/>
          <w:sz w:val="30"/>
          <w:szCs w:val="30"/>
          <w:lang w:eastAsia="it-IT"/>
          <w14:ligatures w14:val="none"/>
        </w:rPr>
        <w:t>” (cfr. il ricorso a pag. 25) rispetto ai medici tenuti all’iscrizione ad appositi albi e ai controlli dei relativi albi professionali. Tenuto coto del fatto che “</w:t>
      </w:r>
      <w:r w:rsidRPr="00A651A1">
        <w:rPr>
          <w:rFonts w:ascii="Arial" w:eastAsia="Times New Roman" w:hAnsi="Arial" w:cs="Arial"/>
          <w:i/>
          <w:iCs/>
          <w:color w:val="000000"/>
          <w:kern w:val="0"/>
          <w:sz w:val="30"/>
          <w:szCs w:val="30"/>
          <w:lang w:eastAsia="it-IT"/>
          <w14:ligatures w14:val="none"/>
        </w:rPr>
        <w:t>le ragioni esposte dal legislatore sulla mera carenza di personale medico si rivelano del tutto insufficienti</w:t>
      </w:r>
      <w:r w:rsidRPr="00A651A1">
        <w:rPr>
          <w:rFonts w:ascii="Arial" w:eastAsia="Times New Roman" w:hAnsi="Arial" w:cs="Arial"/>
          <w:color w:val="000000"/>
          <w:kern w:val="0"/>
          <w:sz w:val="30"/>
          <w:szCs w:val="30"/>
          <w:lang w:eastAsia="it-IT"/>
          <w14:ligatures w14:val="none"/>
        </w:rPr>
        <w:t>” (cfr. il ricorso a pag. 25) e che “</w:t>
      </w:r>
      <w:r w:rsidRPr="00A651A1">
        <w:rPr>
          <w:rFonts w:ascii="Arial" w:eastAsia="Times New Roman" w:hAnsi="Arial" w:cs="Arial"/>
          <w:i/>
          <w:iCs/>
          <w:color w:val="000000"/>
          <w:kern w:val="0"/>
          <w:sz w:val="30"/>
          <w:szCs w:val="30"/>
          <w:lang w:eastAsia="it-IT"/>
          <w14:ligatures w14:val="none"/>
        </w:rPr>
        <w:t>La necessità di “fronteggiare la grave carenza di personale sanitario che si riscontra sul territorio nazionale” non vale qual necessità derogatoria delle minimi condizioni di riconoscimento delle qualifiche estere</w:t>
      </w:r>
      <w:r w:rsidRPr="00A651A1">
        <w:rPr>
          <w:rFonts w:ascii="Arial" w:eastAsia="Times New Roman" w:hAnsi="Arial" w:cs="Arial"/>
          <w:color w:val="000000"/>
          <w:kern w:val="0"/>
          <w:sz w:val="30"/>
          <w:szCs w:val="30"/>
          <w:lang w:eastAsia="it-IT"/>
          <w14:ligatures w14:val="none"/>
        </w:rPr>
        <w:t>” e le procedure straordinarie come quella in contestazione si risolverebbero “</w:t>
      </w:r>
      <w:r w:rsidRPr="00A651A1">
        <w:rPr>
          <w:rFonts w:ascii="Arial" w:eastAsia="Times New Roman" w:hAnsi="Arial" w:cs="Arial"/>
          <w:i/>
          <w:iCs/>
          <w:color w:val="000000"/>
          <w:kern w:val="0"/>
          <w:sz w:val="30"/>
          <w:szCs w:val="30"/>
          <w:lang w:eastAsia="it-IT"/>
          <w14:ligatures w14:val="none"/>
        </w:rPr>
        <w:t xml:space="preserve">per loro natura in grave danno </w:t>
      </w:r>
      <w:r w:rsidRPr="00A651A1">
        <w:rPr>
          <w:rFonts w:ascii="Arial" w:eastAsia="Times New Roman" w:hAnsi="Arial" w:cs="Arial"/>
          <w:i/>
          <w:iCs/>
          <w:color w:val="000000"/>
          <w:kern w:val="0"/>
          <w:sz w:val="30"/>
          <w:szCs w:val="30"/>
          <w:lang w:eastAsia="it-IT"/>
          <w14:ligatures w14:val="none"/>
        </w:rPr>
        <w:lastRenderedPageBreak/>
        <w:t>degli stessi utenti del servizio che esse vorrebbero tutelare</w:t>
      </w:r>
      <w:r w:rsidRPr="00A651A1">
        <w:rPr>
          <w:rFonts w:ascii="Arial" w:eastAsia="Times New Roman" w:hAnsi="Arial" w:cs="Arial"/>
          <w:color w:val="000000"/>
          <w:kern w:val="0"/>
          <w:sz w:val="30"/>
          <w:szCs w:val="30"/>
          <w:lang w:eastAsia="it-IT"/>
          <w14:ligatures w14:val="none"/>
        </w:rPr>
        <w:t>” (cfr. il ricorso a pag. 27);</w:t>
      </w:r>
    </w:p>
    <w:p w14:paraId="025AA99A"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 xml:space="preserve">- 117, comma 1, Cost., in quanto il legislatore italiano non potrebbe derogare alla disciplina della direttiva 2005/36/CE e successive modificazioni, né alla disciplina attuativa di diritto interno (ossia il </w:t>
      </w:r>
      <w:proofErr w:type="spellStart"/>
      <w:r w:rsidRPr="00A651A1">
        <w:rPr>
          <w:rFonts w:ascii="Arial" w:eastAsia="Times New Roman" w:hAnsi="Arial" w:cs="Arial"/>
          <w:color w:val="000000"/>
          <w:kern w:val="0"/>
          <w:sz w:val="30"/>
          <w:szCs w:val="30"/>
          <w:lang w:eastAsia="it-IT"/>
          <w14:ligatures w14:val="none"/>
        </w:rPr>
        <w:t>D.Lgs.</w:t>
      </w:r>
      <w:proofErr w:type="spellEnd"/>
      <w:r w:rsidRPr="00A651A1">
        <w:rPr>
          <w:rFonts w:ascii="Arial" w:eastAsia="Times New Roman" w:hAnsi="Arial" w:cs="Arial"/>
          <w:color w:val="000000"/>
          <w:kern w:val="0"/>
          <w:sz w:val="30"/>
          <w:szCs w:val="30"/>
          <w:lang w:eastAsia="it-IT"/>
          <w14:ligatures w14:val="none"/>
        </w:rPr>
        <w:t xml:space="preserve"> n. 206/2007) (cfr. il ricorso a pag. 29);</w:t>
      </w:r>
    </w:p>
    <w:p w14:paraId="6B292CB8"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b) illegittimità derivata dall’illegittimità dell’art. 13, D.L. n. 18 del 17 marzo 2020; dell’art. 6-</w:t>
      </w:r>
      <w:r w:rsidRPr="00A651A1">
        <w:rPr>
          <w:rFonts w:ascii="Arial" w:eastAsia="Times New Roman" w:hAnsi="Arial" w:cs="Arial"/>
          <w:i/>
          <w:iCs/>
          <w:color w:val="000000"/>
          <w:kern w:val="0"/>
          <w:sz w:val="30"/>
          <w:szCs w:val="30"/>
          <w:lang w:eastAsia="it-IT"/>
          <w14:ligatures w14:val="none"/>
        </w:rPr>
        <w:t>bis</w:t>
      </w:r>
      <w:r w:rsidRPr="00A651A1">
        <w:rPr>
          <w:rFonts w:ascii="Arial" w:eastAsia="Times New Roman" w:hAnsi="Arial" w:cs="Arial"/>
          <w:color w:val="000000"/>
          <w:kern w:val="0"/>
          <w:sz w:val="30"/>
          <w:szCs w:val="30"/>
          <w:lang w:eastAsia="it-IT"/>
          <w14:ligatures w14:val="none"/>
        </w:rPr>
        <w:t xml:space="preserve"> del D.L. n. 105 del 23 luglio 2021; dell’art. 15 del D.L. n. 34 del 30 marzo 2023, con la disciplina della direttiva 2005/36/CE e del decreto legislativo di recepimento n. 206 del 9 novembre 2007;</w:t>
      </w:r>
    </w:p>
    <w:p w14:paraId="25A57C65"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c) illegittimità degli atti impugnati per diretta violazione delle discipline di legge derogatorie del procedimento ordinario di riconoscimento dei titoli esteri;</w:t>
      </w:r>
    </w:p>
    <w:p w14:paraId="58A1E84F"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d) illegittimità della Delibera direttoriale dell’A.S.RE.M. per violazione dell’art. 13, comma1, del D.L. n. 18/2020, nella parte in cui si consente la partecipazione anche a coloro i quali non possono certificare la propria iscrizione all’Ordine dei medici del Paese di provenienza perché ivi non istituito un simile Ordine.</w:t>
      </w:r>
    </w:p>
    <w:p w14:paraId="565A12B0"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2. In resistenza al ricorso si è costituita l’A.S.RE.M., la quale ha eccepito:</w:t>
      </w:r>
    </w:p>
    <w:p w14:paraId="588BCAAB"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 in via pregiudiziale il difetto di giurisdizione del giudice amministrativo in tesi trattandosi del riconoscimento da parte del legislatore, in favore dei medici stranieri, di un “</w:t>
      </w:r>
      <w:r w:rsidRPr="00A651A1">
        <w:rPr>
          <w:rFonts w:ascii="Arial" w:eastAsia="Times New Roman" w:hAnsi="Arial" w:cs="Arial"/>
          <w:i/>
          <w:iCs/>
          <w:color w:val="000000"/>
          <w:kern w:val="0"/>
          <w:sz w:val="30"/>
          <w:szCs w:val="30"/>
          <w:lang w:eastAsia="it-IT"/>
          <w14:ligatures w14:val="none"/>
        </w:rPr>
        <w:t>diritto soggettivo che discende direttamente da norme di rango legislativo e che non risulta sotteso a valutazioni dell’amministrazione espressive di potere amministrativ</w:t>
      </w:r>
      <w:r w:rsidRPr="00A651A1">
        <w:rPr>
          <w:rFonts w:ascii="Arial" w:eastAsia="Times New Roman" w:hAnsi="Arial" w:cs="Arial"/>
          <w:color w:val="000000"/>
          <w:kern w:val="0"/>
          <w:sz w:val="30"/>
          <w:szCs w:val="30"/>
          <w:lang w:eastAsia="it-IT"/>
          <w14:ligatures w14:val="none"/>
        </w:rPr>
        <w:t>o” (cfr. la memoria dell’A.S.RE.M. del 10/04/2026 a pag. 3);</w:t>
      </w:r>
    </w:p>
    <w:p w14:paraId="05EAEF12"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 xml:space="preserve">- il difetto di legittimazione a ricorrere degli enti esponenziali ricorrenti, in quanto la Delibera direttoriale dell’A.S.RE.M. non inciderebbe sull’intera </w:t>
      </w:r>
      <w:r w:rsidRPr="00A651A1">
        <w:rPr>
          <w:rFonts w:ascii="Arial" w:eastAsia="Times New Roman" w:hAnsi="Arial" w:cs="Arial"/>
          <w:color w:val="000000"/>
          <w:kern w:val="0"/>
          <w:sz w:val="30"/>
          <w:szCs w:val="30"/>
          <w:lang w:eastAsia="it-IT"/>
          <w14:ligatures w14:val="none"/>
        </w:rPr>
        <w:lastRenderedPageBreak/>
        <w:t xml:space="preserve">categoria professionale rappresentata dal </w:t>
      </w:r>
      <w:proofErr w:type="spellStart"/>
      <w:r w:rsidRPr="00A651A1">
        <w:rPr>
          <w:rFonts w:ascii="Arial" w:eastAsia="Times New Roman" w:hAnsi="Arial" w:cs="Arial"/>
          <w:color w:val="000000"/>
          <w:kern w:val="0"/>
          <w:sz w:val="30"/>
          <w:szCs w:val="30"/>
          <w:lang w:eastAsia="it-IT"/>
          <w14:ligatures w14:val="none"/>
        </w:rPr>
        <w:t>FNOCeO</w:t>
      </w:r>
      <w:proofErr w:type="spellEnd"/>
      <w:r w:rsidRPr="00A651A1">
        <w:rPr>
          <w:rFonts w:ascii="Arial" w:eastAsia="Times New Roman" w:hAnsi="Arial" w:cs="Arial"/>
          <w:color w:val="000000"/>
          <w:kern w:val="0"/>
          <w:sz w:val="30"/>
          <w:szCs w:val="30"/>
          <w:lang w:eastAsia="it-IT"/>
          <w14:ligatures w14:val="none"/>
        </w:rPr>
        <w:t>, ma “</w:t>
      </w:r>
      <w:r w:rsidRPr="00A651A1">
        <w:rPr>
          <w:rFonts w:ascii="Arial" w:eastAsia="Times New Roman" w:hAnsi="Arial" w:cs="Arial"/>
          <w:i/>
          <w:iCs/>
          <w:color w:val="000000"/>
          <w:kern w:val="0"/>
          <w:sz w:val="30"/>
          <w:szCs w:val="30"/>
          <w:lang w:eastAsia="it-IT"/>
          <w14:ligatures w14:val="none"/>
        </w:rPr>
        <w:t>esclusivamente su specifiche e limitate specializzazioni mediche, ovvero Anestesia e Rianimazione, pediatria, ortopedia e traumatologia, medicina d’urgenza, ginecologia e ostetricia</w:t>
      </w:r>
      <w:r w:rsidRPr="00A651A1">
        <w:rPr>
          <w:rFonts w:ascii="Arial" w:eastAsia="Times New Roman" w:hAnsi="Arial" w:cs="Arial"/>
          <w:color w:val="000000"/>
          <w:kern w:val="0"/>
          <w:sz w:val="30"/>
          <w:szCs w:val="30"/>
          <w:lang w:eastAsia="it-IT"/>
          <w14:ligatures w14:val="none"/>
        </w:rPr>
        <w:t>”, con la conseguenza che “</w:t>
      </w:r>
      <w:r w:rsidRPr="00A651A1">
        <w:rPr>
          <w:rFonts w:ascii="Arial" w:eastAsia="Times New Roman" w:hAnsi="Arial" w:cs="Arial"/>
          <w:i/>
          <w:iCs/>
          <w:color w:val="000000"/>
          <w:kern w:val="0"/>
          <w:sz w:val="30"/>
          <w:szCs w:val="30"/>
          <w:lang w:eastAsia="it-IT"/>
          <w14:ligatures w14:val="none"/>
        </w:rPr>
        <w:t>l’interesse azionato in giudizio non risulta omogeneo rispetto all’intera categoria</w:t>
      </w:r>
      <w:r w:rsidRPr="00A651A1">
        <w:rPr>
          <w:rFonts w:ascii="Arial" w:eastAsia="Times New Roman" w:hAnsi="Arial" w:cs="Arial"/>
          <w:color w:val="000000"/>
          <w:kern w:val="0"/>
          <w:sz w:val="30"/>
          <w:szCs w:val="30"/>
          <w:lang w:eastAsia="it-IT"/>
          <w14:ligatures w14:val="none"/>
        </w:rPr>
        <w:t>” evidenziandosi una situazione di conflitto di interessi interna alla categoria;</w:t>
      </w:r>
    </w:p>
    <w:p w14:paraId="20E23D10"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 l’irricevibilità del ricorso, in quanto la lesione lamentata dalle ricorrenti deriverebbe dalla pubblicazione del D.C.A. n. 140/2024 (di approvazione “</w:t>
      </w:r>
      <w:r w:rsidRPr="00A651A1">
        <w:rPr>
          <w:rFonts w:ascii="Arial" w:eastAsia="Times New Roman" w:hAnsi="Arial" w:cs="Arial"/>
          <w:i/>
          <w:iCs/>
          <w:color w:val="000000"/>
          <w:kern w:val="0"/>
          <w:sz w:val="30"/>
          <w:szCs w:val="30"/>
          <w:lang w:eastAsia="it-IT"/>
          <w14:ligatures w14:val="none"/>
        </w:rPr>
        <w:t>dell’avviso pubblico e del modulo di domanda per l’iscrizione all’elenco regionale, le modalità operative per la verifica e la valutazione dei requisiti dei candidati, la competenza attribuita alla Direzione Generale per la Salute nella gestione e nell’aggiornamento trimestrale dell’elenco</w:t>
      </w:r>
      <w:r w:rsidRPr="00A651A1">
        <w:rPr>
          <w:rFonts w:ascii="Arial" w:eastAsia="Times New Roman" w:hAnsi="Arial" w:cs="Arial"/>
          <w:color w:val="000000"/>
          <w:kern w:val="0"/>
          <w:sz w:val="30"/>
          <w:szCs w:val="30"/>
          <w:lang w:eastAsia="it-IT"/>
          <w14:ligatures w14:val="none"/>
        </w:rPr>
        <w:t>” (cfr. la memoria cit. a pag. 5), che risulta tuttavia essere stato tardivamente contestato con l’odierna impugnativa, oltre che da ulteriori determinazioni rimaste non impugnate per la mera attuazione delle quali sarebbe stata adottata la delibera dell’A.S.RE.M. in questa sede gravata;</w:t>
      </w:r>
    </w:p>
    <w:p w14:paraId="224D5925"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 l’infondatezza complessiva dell’impugnazione, in particolare deducendo la “carenza “</w:t>
      </w:r>
      <w:r w:rsidRPr="00A651A1">
        <w:rPr>
          <w:rFonts w:ascii="Arial" w:eastAsia="Times New Roman" w:hAnsi="Arial" w:cs="Arial"/>
          <w:i/>
          <w:iCs/>
          <w:color w:val="000000"/>
          <w:kern w:val="0"/>
          <w:sz w:val="30"/>
          <w:szCs w:val="30"/>
          <w:lang w:eastAsia="it-IT"/>
          <w14:ligatures w14:val="none"/>
        </w:rPr>
        <w:t xml:space="preserve">cronica” di personale sanitario, soprattutto in alcune specializzazioni, quali quelle indicate nella Delibera DG </w:t>
      </w:r>
      <w:proofErr w:type="spellStart"/>
      <w:r w:rsidRPr="00A651A1">
        <w:rPr>
          <w:rFonts w:ascii="Arial" w:eastAsia="Times New Roman" w:hAnsi="Arial" w:cs="Arial"/>
          <w:i/>
          <w:iCs/>
          <w:color w:val="000000"/>
          <w:kern w:val="0"/>
          <w:sz w:val="30"/>
          <w:szCs w:val="30"/>
          <w:lang w:eastAsia="it-IT"/>
          <w14:ligatures w14:val="none"/>
        </w:rPr>
        <w:t>Asrem</w:t>
      </w:r>
      <w:proofErr w:type="spellEnd"/>
      <w:r w:rsidRPr="00A651A1">
        <w:rPr>
          <w:rFonts w:ascii="Arial" w:eastAsia="Times New Roman" w:hAnsi="Arial" w:cs="Arial"/>
          <w:i/>
          <w:iCs/>
          <w:color w:val="000000"/>
          <w:kern w:val="0"/>
          <w:sz w:val="30"/>
          <w:szCs w:val="30"/>
          <w:lang w:eastAsia="it-IT"/>
          <w14:ligatures w14:val="none"/>
        </w:rPr>
        <w:t xml:space="preserve"> impugnata … deve essere considerata in ogni caso una situazione emergenziale per specializzazioni esse stesse di tipo emergenziali e di urgenza</w:t>
      </w:r>
      <w:r w:rsidRPr="00A651A1">
        <w:rPr>
          <w:rFonts w:ascii="Arial" w:eastAsia="Times New Roman" w:hAnsi="Arial" w:cs="Arial"/>
          <w:color w:val="000000"/>
          <w:kern w:val="0"/>
          <w:sz w:val="30"/>
          <w:szCs w:val="30"/>
          <w:lang w:eastAsia="it-IT"/>
          <w14:ligatures w14:val="none"/>
        </w:rPr>
        <w:t>” ed eccependo che “</w:t>
      </w:r>
      <w:r w:rsidRPr="00A651A1">
        <w:rPr>
          <w:rFonts w:ascii="Arial" w:eastAsia="Times New Roman" w:hAnsi="Arial" w:cs="Arial"/>
          <w:i/>
          <w:iCs/>
          <w:color w:val="000000"/>
          <w:kern w:val="0"/>
          <w:sz w:val="30"/>
          <w:szCs w:val="30"/>
          <w:lang w:eastAsia="it-IT"/>
          <w14:ligatures w14:val="none"/>
        </w:rPr>
        <w:t>Peraltro, i ricorrenti non hanno contestato in sé la sussistenza della carenza cronica del personale, presupposto degli atti impugnati, ma solo la circostanza che essa possa essere qualificata come emergenziale</w:t>
      </w:r>
      <w:r w:rsidRPr="00A651A1">
        <w:rPr>
          <w:rFonts w:ascii="Arial" w:eastAsia="Times New Roman" w:hAnsi="Arial" w:cs="Arial"/>
          <w:color w:val="000000"/>
          <w:kern w:val="0"/>
          <w:sz w:val="30"/>
          <w:szCs w:val="30"/>
          <w:lang w:eastAsia="it-IT"/>
          <w14:ligatures w14:val="none"/>
        </w:rPr>
        <w:t>” (cfr. memoria cit. pag. 9).</w:t>
      </w:r>
    </w:p>
    <w:p w14:paraId="0C619B1D"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 xml:space="preserve">3. Con l’ordinanza n. 38 del 17.04.2026 questo Tribunale ha respinto l’istanza di sospensione cautelare avanzata dal ricorso ordinando </w:t>
      </w:r>
      <w:r w:rsidRPr="00A651A1">
        <w:rPr>
          <w:rFonts w:ascii="Arial" w:eastAsia="Times New Roman" w:hAnsi="Arial" w:cs="Arial"/>
          <w:color w:val="000000"/>
          <w:kern w:val="0"/>
          <w:sz w:val="30"/>
          <w:szCs w:val="30"/>
          <w:lang w:eastAsia="it-IT"/>
          <w14:ligatures w14:val="none"/>
        </w:rPr>
        <w:lastRenderedPageBreak/>
        <w:t>alla parte ricorrente la rinnovazione della notifica del ricorso nei confronti della Regione Molise, nonché la notificazione alla stessa Amministrazione della presente ordinanza, entrambe da effettuarsi presso l’Avvocatura Distrettuale dello Stato di Campobasso.</w:t>
      </w:r>
    </w:p>
    <w:p w14:paraId="178863A1"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4. Nel prosieguo del giudizio la parte ricorrente ha notificato e depositato un atto di motivi aggiunti in data 17/04/2026, di contenuto identico a quello del ricorso introduttivo del giudizio, all’evidente scopo di integrare il contraddittorio nei termini di cui alla citata ordinanza n. 38/2026.</w:t>
      </w:r>
    </w:p>
    <w:p w14:paraId="6662E4E3"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5. E, infatti, con la memoria del 30.07.2026, per la Regione Molise si è costituita in giudizio l’Avvocatura Distrettuale dello Stato di Campobasso, eccependo la carenza di legittimazione e interesse all’impugnativa delle parti ricorrenti, oltre che l’infondatezza nel merito del gravame.</w:t>
      </w:r>
    </w:p>
    <w:p w14:paraId="7AF3CAA7"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6. Nel successivo corso del giudizio le parti hanno depositato ulteriori memorie e documenti.</w:t>
      </w:r>
    </w:p>
    <w:p w14:paraId="75B261F9"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 xml:space="preserve">7. All’udienza pubblica del 7.10.2026, la causa è stata trattenuta in decisione come da verbale d’udienza, udita la difesa della parte ricorrente accennare una richiesta di rinvio ove il Collegio avesse ritenuto necessario integrare l’impugnativa nei confronti dei medici eventualmente </w:t>
      </w:r>
      <w:r w:rsidRPr="00A651A1">
        <w:rPr>
          <w:rFonts w:ascii="Arial" w:eastAsia="Times New Roman" w:hAnsi="Arial" w:cs="Arial"/>
          <w:i/>
          <w:iCs/>
          <w:color w:val="000000"/>
          <w:kern w:val="0"/>
          <w:sz w:val="30"/>
          <w:szCs w:val="30"/>
          <w:lang w:eastAsia="it-IT"/>
          <w14:ligatures w14:val="none"/>
        </w:rPr>
        <w:t>medio tempore</w:t>
      </w:r>
      <w:r w:rsidRPr="00A651A1">
        <w:rPr>
          <w:rFonts w:ascii="Arial" w:eastAsia="Times New Roman" w:hAnsi="Arial" w:cs="Arial"/>
          <w:color w:val="000000"/>
          <w:kern w:val="0"/>
          <w:sz w:val="30"/>
          <w:szCs w:val="30"/>
          <w:lang w:eastAsia="it-IT"/>
          <w14:ligatures w14:val="none"/>
        </w:rPr>
        <w:t xml:space="preserve"> contrattualizzati.</w:t>
      </w:r>
    </w:p>
    <w:p w14:paraId="576590A8"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 xml:space="preserve">8. </w:t>
      </w:r>
      <w:r w:rsidRPr="00A651A1">
        <w:rPr>
          <w:rFonts w:ascii="Arial" w:eastAsia="Times New Roman" w:hAnsi="Arial" w:cs="Arial"/>
          <w:i/>
          <w:iCs/>
          <w:color w:val="000000"/>
          <w:kern w:val="0"/>
          <w:sz w:val="30"/>
          <w:szCs w:val="30"/>
          <w:lang w:eastAsia="it-IT"/>
          <w14:ligatures w14:val="none"/>
        </w:rPr>
        <w:t xml:space="preserve">In limine </w:t>
      </w:r>
      <w:proofErr w:type="spellStart"/>
      <w:r w:rsidRPr="00A651A1">
        <w:rPr>
          <w:rFonts w:ascii="Arial" w:eastAsia="Times New Roman" w:hAnsi="Arial" w:cs="Arial"/>
          <w:i/>
          <w:iCs/>
          <w:color w:val="000000"/>
          <w:kern w:val="0"/>
          <w:sz w:val="30"/>
          <w:szCs w:val="30"/>
          <w:lang w:eastAsia="it-IT"/>
          <w14:ligatures w14:val="none"/>
        </w:rPr>
        <w:t>litis</w:t>
      </w:r>
      <w:proofErr w:type="spellEnd"/>
      <w:r w:rsidRPr="00A651A1">
        <w:rPr>
          <w:rFonts w:ascii="Arial" w:eastAsia="Times New Roman" w:hAnsi="Arial" w:cs="Arial"/>
          <w:color w:val="000000"/>
          <w:kern w:val="0"/>
          <w:sz w:val="30"/>
          <w:szCs w:val="30"/>
          <w:lang w:eastAsia="it-IT"/>
          <w14:ligatures w14:val="none"/>
        </w:rPr>
        <w:t xml:space="preserve"> il Collegio deve disattendere la richiesta di rinvio avanzata dalla parte ricorrente in udienza, l’eventuale sottoscrizione di contratti con il personale medico assunto in forza delle determinazioni amministrative in contestazione esulando dalla giurisdizione di questo plesso giurisdizionale.</w:t>
      </w:r>
    </w:p>
    <w:p w14:paraId="6E6B58F7"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9. Ciò posto, al contrario di quanto eccepito dalle parti resistenti, il ricorso è ammissibile e fondato nei limiti di cui sta per dirsi.</w:t>
      </w:r>
    </w:p>
    <w:p w14:paraId="2740F710"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lastRenderedPageBreak/>
        <w:t>9.1. L’esame delle eccezioni pregiudiziali sollevate dalla parte resistente e delle questioni introdotte con il ricorso presuppone la ricognizione della normativa nazionale di riferimento, correlata a quella eurounitaria, nonché della disciplina introdotta dalla Regione in tema di riconoscimento delle qualifiche professionali sanitarie conseguite all’estero.</w:t>
      </w:r>
    </w:p>
    <w:p w14:paraId="0252FA0E"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Vale premettere che la direttiva 2005/36/CE, avente a oggetto il riconoscimento delle qualifiche professionali, fissa le regole con cui uno Stato membro, che sul proprio territorio subordina l’accesso a una professione regolamentata o il suo esercizio al possesso di determinate qualifiche professionali, riconosce, per l’accesso alla professione e il suo esercizio, le qualifiche professionali acquisite in uno o più Stati membri.</w:t>
      </w:r>
    </w:p>
    <w:p w14:paraId="444FAB60"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La direttiva (artt. 1 e 2) si applica a tutti i cittadini di uno Stato membro che vogliano esercitare, come lavoratori subordinati o autonomi, compresi i liberi professionisti, una professione regolamentata in uno Stato membro diverso da quello in cui hanno acquisito le loro qualifiche professionali.</w:t>
      </w:r>
    </w:p>
    <w:p w14:paraId="3F6E55DF"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Va precisato che la direttiva, al considerando n. 10, specifica che non è esclusa la possibilità per gli Stati membri di riconoscere, secondo la propria regolamentazione, qualifiche professionali acquisite da un cittadino di un paese terzo al di fuori del territorio dell’Unione europea, ma precisa che “in ogni caso il riconoscimento dovrebbe avvenire nel rispetto delle condizioni minime di formazione per talune professioni”.</w:t>
      </w:r>
    </w:p>
    <w:p w14:paraId="06E12E3F"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Con il d.lgs. n. 206/2007, il legislatore nazionale ha recepito la direttiva 2005/36/CE e ha individuato il procedimento ordinario di riconoscimento delle professioni sanitarie conseguite all’estero (v. combinato disposto degli artt. 60 del d.lgs. n. 206/2007 e 49 e 50 del D.P.R. n. 394/1999).</w:t>
      </w:r>
    </w:p>
    <w:p w14:paraId="07B7DF63"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lastRenderedPageBreak/>
        <w:t>Per quanto di interesse, il decreto legislativo: a) individua la competenza del Ministero della Salute per il riconoscimento delle professioni sanitarie conseguite all’estero (art. 5, comma 1, lett. e); b) detta una disciplina non solo procedimentale, ma anche sostanziale, finalizzata a garantire che il professionista disponga delle competenze tecniche necessarie; di qui la previsione di prove attitudinali, la verifica della conoscenza della lingua italiana, la valutazione dei titoli acquisiti, con eventuale indizione di una conferenza di servizi con la partecipazione dell’Ordine della categoria professionale, l’applicazione di misure compensative, come il compimento di un tirocinio di adattamento, in caso di esperienza pregressa ritenuta insufficiente (artt. 7, 11, 16, 17, 22, 23, 24 e 31).</w:t>
      </w:r>
    </w:p>
    <w:p w14:paraId="34018ACB"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In altre parole, il decreto, in coerenza con la direttiva 2005/36/CE, detta non solo regole procedimentali, ma anche una disciplina finalizzata a garantire la competenza tecnica di coloro che intendono esercitare una professione sulla base di una qualifica conseguita all’estero.</w:t>
      </w:r>
    </w:p>
    <w:p w14:paraId="3A365F92"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Giova precisare che, una volta ottenuto il riconoscimento, l’esercente potrà e dovrà richiedere l’iscrizione all’albo dell’Ordine professionale di riferimento, come previsto dal Decreto legislativo del Capo Provvisorio dello Stato n. 233/1946.</w:t>
      </w:r>
    </w:p>
    <w:p w14:paraId="52FD2500"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 xml:space="preserve">L’art. 13 del </w:t>
      </w:r>
      <w:proofErr w:type="spellStart"/>
      <w:r w:rsidRPr="00A651A1">
        <w:rPr>
          <w:rFonts w:ascii="Arial" w:eastAsia="Times New Roman" w:hAnsi="Arial" w:cs="Arial"/>
          <w:color w:val="000000"/>
          <w:kern w:val="0"/>
          <w:sz w:val="30"/>
          <w:szCs w:val="30"/>
          <w:lang w:eastAsia="it-IT"/>
          <w14:ligatures w14:val="none"/>
        </w:rPr>
        <w:t>d.l.</w:t>
      </w:r>
      <w:proofErr w:type="spellEnd"/>
      <w:r w:rsidRPr="00A651A1">
        <w:rPr>
          <w:rFonts w:ascii="Arial" w:eastAsia="Times New Roman" w:hAnsi="Arial" w:cs="Arial"/>
          <w:color w:val="000000"/>
          <w:kern w:val="0"/>
          <w:sz w:val="30"/>
          <w:szCs w:val="30"/>
          <w:lang w:eastAsia="it-IT"/>
          <w14:ligatures w14:val="none"/>
        </w:rPr>
        <w:t xml:space="preserve"> n. 18/2020, </w:t>
      </w:r>
      <w:proofErr w:type="spellStart"/>
      <w:r w:rsidRPr="00A651A1">
        <w:rPr>
          <w:rFonts w:ascii="Arial" w:eastAsia="Times New Roman" w:hAnsi="Arial" w:cs="Arial"/>
          <w:color w:val="000000"/>
          <w:kern w:val="0"/>
          <w:sz w:val="30"/>
          <w:szCs w:val="30"/>
          <w:lang w:eastAsia="it-IT"/>
          <w14:ligatures w14:val="none"/>
        </w:rPr>
        <w:t>conv</w:t>
      </w:r>
      <w:proofErr w:type="spellEnd"/>
      <w:r w:rsidRPr="00A651A1">
        <w:rPr>
          <w:rFonts w:ascii="Arial" w:eastAsia="Times New Roman" w:hAnsi="Arial" w:cs="Arial"/>
          <w:color w:val="000000"/>
          <w:kern w:val="0"/>
          <w:sz w:val="30"/>
          <w:szCs w:val="30"/>
          <w:lang w:eastAsia="it-IT"/>
          <w14:ligatures w14:val="none"/>
        </w:rPr>
        <w:t>. Con l. n. 27/2020, ha introdotto una deroga alle norme in materia di riconoscimento delle qualifiche professionali sanitarie.</w:t>
      </w:r>
    </w:p>
    <w:p w14:paraId="54815D58"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La norma stabilisce che, fino al 31 dicembre 2022, “</w:t>
      </w:r>
      <w:r w:rsidRPr="00A651A1">
        <w:rPr>
          <w:rFonts w:ascii="Arial" w:eastAsia="Times New Roman" w:hAnsi="Arial" w:cs="Arial"/>
          <w:i/>
          <w:iCs/>
          <w:color w:val="000000"/>
          <w:kern w:val="0"/>
          <w:sz w:val="30"/>
          <w:szCs w:val="30"/>
          <w:lang w:eastAsia="it-IT"/>
          <w14:ligatures w14:val="none"/>
        </w:rPr>
        <w:t>in deroga agli articoli 49 e 50 del regolamento di cui al decreto del Presidente della Repubblica 31 agosto 1999, n. 394, e alle disposizioni di cui al decreto legislativo 9 novembre 2007, n. 206, è consentito l’esercizio temporaneo delle qualifiche professionali sanitarie e della qualifica di operatore socio-</w:t>
      </w:r>
      <w:r w:rsidRPr="00A651A1">
        <w:rPr>
          <w:rFonts w:ascii="Arial" w:eastAsia="Times New Roman" w:hAnsi="Arial" w:cs="Arial"/>
          <w:i/>
          <w:iCs/>
          <w:color w:val="000000"/>
          <w:kern w:val="0"/>
          <w:sz w:val="30"/>
          <w:szCs w:val="30"/>
          <w:lang w:eastAsia="it-IT"/>
          <w14:ligatures w14:val="none"/>
        </w:rPr>
        <w:lastRenderedPageBreak/>
        <w:t>sanitario ai professionisti che intendono esercitare, in via autonoma o dipendente, nel territorio nazionale, anche presso strutture sanitarie private o accreditate, interessate direttamente o indirettamente nell’emergenza da COVID-19, una professione sanitaria o la professione di operatore socio-sanitario in base a una qualifica professionale conseguita all’estero regolata da specifiche direttive dell’Unione europea</w:t>
      </w:r>
      <w:r w:rsidRPr="00A651A1">
        <w:rPr>
          <w:rFonts w:ascii="Arial" w:eastAsia="Times New Roman" w:hAnsi="Arial" w:cs="Arial"/>
          <w:color w:val="000000"/>
          <w:kern w:val="0"/>
          <w:sz w:val="30"/>
          <w:szCs w:val="30"/>
          <w:lang w:eastAsia="it-IT"/>
          <w14:ligatures w14:val="none"/>
        </w:rPr>
        <w:t>”.</w:t>
      </w:r>
    </w:p>
    <w:p w14:paraId="01E6EBD7"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La norma delinea una procedura molto semplificata, che mette capo alle Regioni e alle Province autonome, prevedendo che gli interessati presentino un’istanza corredata da un certificato di iscrizione all’albo del Paese di provenienza, sicché gli enti indicati possano procedere al reclutamento temporaneo di tali professionisti.</w:t>
      </w:r>
    </w:p>
    <w:p w14:paraId="12F235AE"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Successivamente, con l’art. 6-</w:t>
      </w:r>
      <w:r w:rsidRPr="00A651A1">
        <w:rPr>
          <w:rFonts w:ascii="Arial" w:eastAsia="Times New Roman" w:hAnsi="Arial" w:cs="Arial"/>
          <w:i/>
          <w:iCs/>
          <w:color w:val="000000"/>
          <w:kern w:val="0"/>
          <w:sz w:val="30"/>
          <w:szCs w:val="30"/>
          <w:lang w:eastAsia="it-IT"/>
          <w14:ligatures w14:val="none"/>
        </w:rPr>
        <w:t>bis</w:t>
      </w:r>
      <w:r w:rsidRPr="00A651A1">
        <w:rPr>
          <w:rFonts w:ascii="Arial" w:eastAsia="Times New Roman" w:hAnsi="Arial" w:cs="Arial"/>
          <w:color w:val="000000"/>
          <w:kern w:val="0"/>
          <w:sz w:val="30"/>
          <w:szCs w:val="30"/>
          <w:lang w:eastAsia="it-IT"/>
          <w14:ligatures w14:val="none"/>
        </w:rPr>
        <w:t xml:space="preserve"> del </w:t>
      </w:r>
      <w:proofErr w:type="spellStart"/>
      <w:r w:rsidRPr="00A651A1">
        <w:rPr>
          <w:rFonts w:ascii="Arial" w:eastAsia="Times New Roman" w:hAnsi="Arial" w:cs="Arial"/>
          <w:color w:val="000000"/>
          <w:kern w:val="0"/>
          <w:sz w:val="30"/>
          <w:szCs w:val="30"/>
          <w:lang w:eastAsia="it-IT"/>
          <w14:ligatures w14:val="none"/>
        </w:rPr>
        <w:t>d.l.</w:t>
      </w:r>
      <w:proofErr w:type="spellEnd"/>
      <w:r w:rsidRPr="00A651A1">
        <w:rPr>
          <w:rFonts w:ascii="Arial" w:eastAsia="Times New Roman" w:hAnsi="Arial" w:cs="Arial"/>
          <w:color w:val="000000"/>
          <w:kern w:val="0"/>
          <w:sz w:val="30"/>
          <w:szCs w:val="30"/>
          <w:lang w:eastAsia="it-IT"/>
          <w14:ligatures w14:val="none"/>
        </w:rPr>
        <w:t xml:space="preserve"> n. 105/2021, </w:t>
      </w:r>
      <w:proofErr w:type="spellStart"/>
      <w:r w:rsidRPr="00A651A1">
        <w:rPr>
          <w:rFonts w:ascii="Arial" w:eastAsia="Times New Roman" w:hAnsi="Arial" w:cs="Arial"/>
          <w:color w:val="000000"/>
          <w:kern w:val="0"/>
          <w:sz w:val="30"/>
          <w:szCs w:val="30"/>
          <w:lang w:eastAsia="it-IT"/>
          <w14:ligatures w14:val="none"/>
        </w:rPr>
        <w:t>conv</w:t>
      </w:r>
      <w:proofErr w:type="spellEnd"/>
      <w:r w:rsidRPr="00A651A1">
        <w:rPr>
          <w:rFonts w:ascii="Arial" w:eastAsia="Times New Roman" w:hAnsi="Arial" w:cs="Arial"/>
          <w:color w:val="000000"/>
          <w:kern w:val="0"/>
          <w:sz w:val="30"/>
          <w:szCs w:val="30"/>
          <w:lang w:eastAsia="it-IT"/>
          <w14:ligatures w14:val="none"/>
        </w:rPr>
        <w:t>. Con l. n. 126/2021, rubricato “</w:t>
      </w:r>
      <w:r w:rsidRPr="00A651A1">
        <w:rPr>
          <w:rFonts w:ascii="Arial" w:eastAsia="Times New Roman" w:hAnsi="Arial" w:cs="Arial"/>
          <w:i/>
          <w:iCs/>
          <w:color w:val="000000"/>
          <w:kern w:val="0"/>
          <w:sz w:val="30"/>
          <w:szCs w:val="30"/>
          <w:lang w:eastAsia="it-IT"/>
          <w14:ligatures w14:val="none"/>
        </w:rPr>
        <w:t>Proroghe delle deroghe alle norme in materia di riconoscimento delle qualifiche professionali sanitarie</w:t>
      </w:r>
      <w:r w:rsidRPr="00A651A1">
        <w:rPr>
          <w:rFonts w:ascii="Arial" w:eastAsia="Times New Roman" w:hAnsi="Arial" w:cs="Arial"/>
          <w:color w:val="000000"/>
          <w:kern w:val="0"/>
          <w:sz w:val="30"/>
          <w:szCs w:val="30"/>
          <w:lang w:eastAsia="it-IT"/>
          <w14:ligatures w14:val="none"/>
        </w:rPr>
        <w:t xml:space="preserve">”, il legislatore ha rilevato espressamente la necessità di far fronte alla grave carenza di personale sanitario e socio-sanitario esistente sul territorio nazionale ed ha nuovamente derogato all’ordinario procedimento di riconoscimento delle qualifiche professionali sanitarie e di operatore socio-sanitario, consentendo, fino al 31 dicembre 2027, che esso avvenga secondo le procedure del già richiamato art. 13 del </w:t>
      </w:r>
      <w:proofErr w:type="spellStart"/>
      <w:r w:rsidRPr="00A651A1">
        <w:rPr>
          <w:rFonts w:ascii="Arial" w:eastAsia="Times New Roman" w:hAnsi="Arial" w:cs="Arial"/>
          <w:color w:val="000000"/>
          <w:kern w:val="0"/>
          <w:sz w:val="30"/>
          <w:szCs w:val="30"/>
          <w:lang w:eastAsia="it-IT"/>
          <w14:ligatures w14:val="none"/>
        </w:rPr>
        <w:t>d.l.</w:t>
      </w:r>
      <w:proofErr w:type="spellEnd"/>
      <w:r w:rsidRPr="00A651A1">
        <w:rPr>
          <w:rFonts w:ascii="Arial" w:eastAsia="Times New Roman" w:hAnsi="Arial" w:cs="Arial"/>
          <w:color w:val="000000"/>
          <w:kern w:val="0"/>
          <w:sz w:val="30"/>
          <w:szCs w:val="30"/>
          <w:lang w:eastAsia="it-IT"/>
          <w14:ligatures w14:val="none"/>
        </w:rPr>
        <w:t xml:space="preserve"> 17 marzo 2020, n. 18.</w:t>
      </w:r>
    </w:p>
    <w:p w14:paraId="71020BE2"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La norma precisa che, dopo aver ottenuto il riconoscimento in deroga, il soggetto è tenuto a comunicarlo all’ordine competente, insieme all’indicazione della struttura sanitaria presso la quale presta l’attività, pena la sospensione del riconoscimento stesso.</w:t>
      </w:r>
    </w:p>
    <w:p w14:paraId="768ECC5E"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 xml:space="preserve">Il legislatore è quindi intervenuto con l’art. 15 del </w:t>
      </w:r>
      <w:proofErr w:type="spellStart"/>
      <w:r w:rsidRPr="00A651A1">
        <w:rPr>
          <w:rFonts w:ascii="Arial" w:eastAsia="Times New Roman" w:hAnsi="Arial" w:cs="Arial"/>
          <w:color w:val="000000"/>
          <w:kern w:val="0"/>
          <w:sz w:val="30"/>
          <w:szCs w:val="30"/>
          <w:lang w:eastAsia="it-IT"/>
          <w14:ligatures w14:val="none"/>
        </w:rPr>
        <w:t>d.l.</w:t>
      </w:r>
      <w:proofErr w:type="spellEnd"/>
      <w:r w:rsidRPr="00A651A1">
        <w:rPr>
          <w:rFonts w:ascii="Arial" w:eastAsia="Times New Roman" w:hAnsi="Arial" w:cs="Arial"/>
          <w:color w:val="000000"/>
          <w:kern w:val="0"/>
          <w:sz w:val="30"/>
          <w:szCs w:val="30"/>
          <w:lang w:eastAsia="it-IT"/>
          <w14:ligatures w14:val="none"/>
        </w:rPr>
        <w:t xml:space="preserve"> n. 34/2023, </w:t>
      </w:r>
      <w:proofErr w:type="spellStart"/>
      <w:r w:rsidRPr="00A651A1">
        <w:rPr>
          <w:rFonts w:ascii="Arial" w:eastAsia="Times New Roman" w:hAnsi="Arial" w:cs="Arial"/>
          <w:color w:val="000000"/>
          <w:kern w:val="0"/>
          <w:sz w:val="30"/>
          <w:szCs w:val="30"/>
          <w:lang w:eastAsia="it-IT"/>
          <w14:ligatures w14:val="none"/>
        </w:rPr>
        <w:t>conv</w:t>
      </w:r>
      <w:proofErr w:type="spellEnd"/>
      <w:r w:rsidRPr="00A651A1">
        <w:rPr>
          <w:rFonts w:ascii="Arial" w:eastAsia="Times New Roman" w:hAnsi="Arial" w:cs="Arial"/>
          <w:color w:val="000000"/>
          <w:kern w:val="0"/>
          <w:sz w:val="30"/>
          <w:szCs w:val="30"/>
          <w:lang w:eastAsia="it-IT"/>
          <w14:ligatures w14:val="none"/>
        </w:rPr>
        <w:t>. Con l. n. 56/2023, rubricato “</w:t>
      </w:r>
      <w:r w:rsidRPr="00A651A1">
        <w:rPr>
          <w:rFonts w:ascii="Arial" w:eastAsia="Times New Roman" w:hAnsi="Arial" w:cs="Arial"/>
          <w:i/>
          <w:iCs/>
          <w:color w:val="000000"/>
          <w:kern w:val="0"/>
          <w:sz w:val="30"/>
          <w:szCs w:val="30"/>
          <w:lang w:eastAsia="it-IT"/>
          <w14:ligatures w14:val="none"/>
        </w:rPr>
        <w:t xml:space="preserve">Disposizioni in materia di esercizio </w:t>
      </w:r>
      <w:r w:rsidRPr="00A651A1">
        <w:rPr>
          <w:rFonts w:ascii="Arial" w:eastAsia="Times New Roman" w:hAnsi="Arial" w:cs="Arial"/>
          <w:i/>
          <w:iCs/>
          <w:color w:val="000000"/>
          <w:kern w:val="0"/>
          <w:sz w:val="30"/>
          <w:szCs w:val="30"/>
          <w:lang w:eastAsia="it-IT"/>
          <w14:ligatures w14:val="none"/>
        </w:rPr>
        <w:lastRenderedPageBreak/>
        <w:t>temporaneo di attività lavorativa in deroga al riconoscimento delle qualifiche sanitarie conseguite all’estero</w:t>
      </w:r>
      <w:r w:rsidRPr="00A651A1">
        <w:rPr>
          <w:rFonts w:ascii="Arial" w:eastAsia="Times New Roman" w:hAnsi="Arial" w:cs="Arial"/>
          <w:color w:val="000000"/>
          <w:kern w:val="0"/>
          <w:sz w:val="30"/>
          <w:szCs w:val="30"/>
          <w:lang w:eastAsia="it-IT"/>
          <w14:ligatures w14:val="none"/>
        </w:rPr>
        <w:t>”.</w:t>
      </w:r>
    </w:p>
    <w:p w14:paraId="5F43284F"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La norma ribadisce la necessità di “</w:t>
      </w:r>
      <w:r w:rsidRPr="00A651A1">
        <w:rPr>
          <w:rFonts w:ascii="Arial" w:eastAsia="Times New Roman" w:hAnsi="Arial" w:cs="Arial"/>
          <w:i/>
          <w:iCs/>
          <w:color w:val="000000"/>
          <w:kern w:val="0"/>
          <w:sz w:val="30"/>
          <w:szCs w:val="30"/>
          <w:lang w:eastAsia="it-IT"/>
          <w14:ligatures w14:val="none"/>
        </w:rPr>
        <w:t>fronteggiare la grave carenza di personale sanitario e socio-sanitario che si riscontra nel territorio nazionale</w:t>
      </w:r>
      <w:r w:rsidRPr="00A651A1">
        <w:rPr>
          <w:rFonts w:ascii="Arial" w:eastAsia="Times New Roman" w:hAnsi="Arial" w:cs="Arial"/>
          <w:color w:val="000000"/>
          <w:kern w:val="0"/>
          <w:sz w:val="30"/>
          <w:szCs w:val="30"/>
          <w:lang w:eastAsia="it-IT"/>
          <w14:ligatures w14:val="none"/>
        </w:rPr>
        <w:t xml:space="preserve">” e consente, fino al 31 dicembre 2027, l’esercizio temporaneo dell’attività lavorativa, presso strutture sanitarie o </w:t>
      </w:r>
      <w:proofErr w:type="gramStart"/>
      <w:r w:rsidRPr="00A651A1">
        <w:rPr>
          <w:rFonts w:ascii="Arial" w:eastAsia="Times New Roman" w:hAnsi="Arial" w:cs="Arial"/>
          <w:color w:val="000000"/>
          <w:kern w:val="0"/>
          <w:sz w:val="30"/>
          <w:szCs w:val="30"/>
          <w:lang w:eastAsia="it-IT"/>
          <w14:ligatures w14:val="none"/>
        </w:rPr>
        <w:t>socio-sanitarie</w:t>
      </w:r>
      <w:proofErr w:type="gramEnd"/>
      <w:r w:rsidRPr="00A651A1">
        <w:rPr>
          <w:rFonts w:ascii="Arial" w:eastAsia="Times New Roman" w:hAnsi="Arial" w:cs="Arial"/>
          <w:color w:val="000000"/>
          <w:kern w:val="0"/>
          <w:sz w:val="30"/>
          <w:szCs w:val="30"/>
          <w:lang w:eastAsia="it-IT"/>
          <w14:ligatures w14:val="none"/>
        </w:rPr>
        <w:t>, pubbliche o private o private accreditate, in deroga agli artt. 49 e 50 del D.P.R. n. 394/1999 e del d.lgs. n. 206/2007, in base a una qualifica professionale conseguita all’estero.</w:t>
      </w:r>
    </w:p>
    <w:p w14:paraId="2E6E49C6"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Il comma 2 dell’art. 15 specifica che, entro 90 giorni dalla data di entrata in vigore della legge di conversione, deve essere definita “</w:t>
      </w:r>
      <w:r w:rsidRPr="00A651A1">
        <w:rPr>
          <w:rFonts w:ascii="Arial" w:eastAsia="Times New Roman" w:hAnsi="Arial" w:cs="Arial"/>
          <w:i/>
          <w:iCs/>
          <w:color w:val="000000"/>
          <w:kern w:val="0"/>
          <w:sz w:val="30"/>
          <w:szCs w:val="30"/>
          <w:lang w:eastAsia="it-IT"/>
          <w14:ligatures w14:val="none"/>
        </w:rPr>
        <w:t>la disciplina per l’esercizio temporaneo dell’attività lavorativa</w:t>
      </w:r>
      <w:r w:rsidRPr="00A651A1">
        <w:rPr>
          <w:rFonts w:ascii="Arial" w:eastAsia="Times New Roman" w:hAnsi="Arial" w:cs="Arial"/>
          <w:color w:val="000000"/>
          <w:kern w:val="0"/>
          <w:sz w:val="30"/>
          <w:szCs w:val="30"/>
          <w:lang w:eastAsia="it-IT"/>
          <w14:ligatures w14:val="none"/>
        </w:rPr>
        <w:t xml:space="preserve">”, mediante un’intesa in sede di Conferenza permanente per i rapporti tra lo Stato e le Regioni; il successivo comma 3 precisa che nelle more dell’adozione dell’intesa, nonché dei relativi provvedimenti attuativi da parte delle regioni e delle province autonome di Trento e di Bolzano, devono trovare applicazione le disposizioni di cui ai citati artt. 6 bis del </w:t>
      </w:r>
      <w:proofErr w:type="spellStart"/>
      <w:r w:rsidRPr="00A651A1">
        <w:rPr>
          <w:rFonts w:ascii="Arial" w:eastAsia="Times New Roman" w:hAnsi="Arial" w:cs="Arial"/>
          <w:color w:val="000000"/>
          <w:kern w:val="0"/>
          <w:sz w:val="30"/>
          <w:szCs w:val="30"/>
          <w:lang w:eastAsia="it-IT"/>
          <w14:ligatures w14:val="none"/>
        </w:rPr>
        <w:t>d.l.</w:t>
      </w:r>
      <w:proofErr w:type="spellEnd"/>
      <w:r w:rsidRPr="00A651A1">
        <w:rPr>
          <w:rFonts w:ascii="Arial" w:eastAsia="Times New Roman" w:hAnsi="Arial" w:cs="Arial"/>
          <w:color w:val="000000"/>
          <w:kern w:val="0"/>
          <w:sz w:val="30"/>
          <w:szCs w:val="30"/>
          <w:lang w:eastAsia="it-IT"/>
          <w14:ligatures w14:val="none"/>
        </w:rPr>
        <w:t xml:space="preserve"> n. 105/2021 e 13 del </w:t>
      </w:r>
      <w:proofErr w:type="spellStart"/>
      <w:r w:rsidRPr="00A651A1">
        <w:rPr>
          <w:rFonts w:ascii="Arial" w:eastAsia="Times New Roman" w:hAnsi="Arial" w:cs="Arial"/>
          <w:color w:val="000000"/>
          <w:kern w:val="0"/>
          <w:sz w:val="30"/>
          <w:szCs w:val="30"/>
          <w:lang w:eastAsia="it-IT"/>
          <w14:ligatures w14:val="none"/>
        </w:rPr>
        <w:t>d.l.</w:t>
      </w:r>
      <w:proofErr w:type="spellEnd"/>
      <w:r w:rsidRPr="00A651A1">
        <w:rPr>
          <w:rFonts w:ascii="Arial" w:eastAsia="Times New Roman" w:hAnsi="Arial" w:cs="Arial"/>
          <w:color w:val="000000"/>
          <w:kern w:val="0"/>
          <w:sz w:val="30"/>
          <w:szCs w:val="30"/>
          <w:lang w:eastAsia="it-IT"/>
          <w14:ligatures w14:val="none"/>
        </w:rPr>
        <w:t xml:space="preserve"> n. 18/2020.</w:t>
      </w:r>
    </w:p>
    <w:p w14:paraId="5810FA0F"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 xml:space="preserve">Nel complesso va osservato che il legislatore ha delineato una sorta di doppio binario: da un lato, il procedimento ordinario dettato dal d.lgs. n. 206/2007, che recepisce le disposizioni eurounitarie in materia di riconoscimento delle qualifiche professionali conseguite all’estero, dall’altro, una serie di discipline derogatorie dettate per le professioni sanitarie e socio sanitarie, introdotte, dapprima, in ragione dell’emergenza sanitaria da COVID -19 (cfr. art. 13 </w:t>
      </w:r>
      <w:proofErr w:type="spellStart"/>
      <w:r w:rsidRPr="00A651A1">
        <w:rPr>
          <w:rFonts w:ascii="Arial" w:eastAsia="Times New Roman" w:hAnsi="Arial" w:cs="Arial"/>
          <w:color w:val="000000"/>
          <w:kern w:val="0"/>
          <w:sz w:val="30"/>
          <w:szCs w:val="30"/>
          <w:lang w:eastAsia="it-IT"/>
          <w14:ligatures w14:val="none"/>
        </w:rPr>
        <w:t>d.l.</w:t>
      </w:r>
      <w:proofErr w:type="spellEnd"/>
      <w:r w:rsidRPr="00A651A1">
        <w:rPr>
          <w:rFonts w:ascii="Arial" w:eastAsia="Times New Roman" w:hAnsi="Arial" w:cs="Arial"/>
          <w:color w:val="000000"/>
          <w:kern w:val="0"/>
          <w:sz w:val="30"/>
          <w:szCs w:val="30"/>
          <w:lang w:eastAsia="it-IT"/>
          <w14:ligatures w14:val="none"/>
        </w:rPr>
        <w:t xml:space="preserve"> n. 18/2020), poi proseguite sulla base della diversa ratio di fronteggiare la grave carenza di personale sanitario e sociosanitario (art. 6-</w:t>
      </w:r>
      <w:r w:rsidRPr="00A651A1">
        <w:rPr>
          <w:rFonts w:ascii="Arial" w:eastAsia="Times New Roman" w:hAnsi="Arial" w:cs="Arial"/>
          <w:i/>
          <w:iCs/>
          <w:color w:val="000000"/>
          <w:kern w:val="0"/>
          <w:sz w:val="30"/>
          <w:szCs w:val="30"/>
          <w:lang w:eastAsia="it-IT"/>
          <w14:ligatures w14:val="none"/>
        </w:rPr>
        <w:t>bis</w:t>
      </w:r>
      <w:r w:rsidRPr="00A651A1">
        <w:rPr>
          <w:rFonts w:ascii="Arial" w:eastAsia="Times New Roman" w:hAnsi="Arial" w:cs="Arial"/>
          <w:color w:val="000000"/>
          <w:kern w:val="0"/>
          <w:sz w:val="30"/>
          <w:szCs w:val="30"/>
          <w:lang w:eastAsia="it-IT"/>
          <w14:ligatures w14:val="none"/>
        </w:rPr>
        <w:t xml:space="preserve"> </w:t>
      </w:r>
      <w:proofErr w:type="spellStart"/>
      <w:r w:rsidRPr="00A651A1">
        <w:rPr>
          <w:rFonts w:ascii="Arial" w:eastAsia="Times New Roman" w:hAnsi="Arial" w:cs="Arial"/>
          <w:color w:val="000000"/>
          <w:kern w:val="0"/>
          <w:sz w:val="30"/>
          <w:szCs w:val="30"/>
          <w:lang w:eastAsia="it-IT"/>
          <w14:ligatures w14:val="none"/>
        </w:rPr>
        <w:t>d.l.</w:t>
      </w:r>
      <w:proofErr w:type="spellEnd"/>
      <w:r w:rsidRPr="00A651A1">
        <w:rPr>
          <w:rFonts w:ascii="Arial" w:eastAsia="Times New Roman" w:hAnsi="Arial" w:cs="Arial"/>
          <w:color w:val="000000"/>
          <w:kern w:val="0"/>
          <w:sz w:val="30"/>
          <w:szCs w:val="30"/>
          <w:lang w:eastAsia="it-IT"/>
          <w14:ligatures w14:val="none"/>
        </w:rPr>
        <w:t xml:space="preserve"> 105/2021), quindi </w:t>
      </w:r>
      <w:r w:rsidRPr="00A651A1">
        <w:rPr>
          <w:rFonts w:ascii="Arial" w:eastAsia="Times New Roman" w:hAnsi="Arial" w:cs="Arial"/>
          <w:color w:val="000000"/>
          <w:kern w:val="0"/>
          <w:sz w:val="30"/>
          <w:szCs w:val="30"/>
          <w:lang w:eastAsia="it-IT"/>
          <w14:ligatures w14:val="none"/>
        </w:rPr>
        <w:lastRenderedPageBreak/>
        <w:t xml:space="preserve">confermate dall’art. 15 del </w:t>
      </w:r>
      <w:proofErr w:type="spellStart"/>
      <w:r w:rsidRPr="00A651A1">
        <w:rPr>
          <w:rFonts w:ascii="Arial" w:eastAsia="Times New Roman" w:hAnsi="Arial" w:cs="Arial"/>
          <w:color w:val="000000"/>
          <w:kern w:val="0"/>
          <w:sz w:val="30"/>
          <w:szCs w:val="30"/>
          <w:lang w:eastAsia="it-IT"/>
          <w14:ligatures w14:val="none"/>
        </w:rPr>
        <w:t>d.l.</w:t>
      </w:r>
      <w:proofErr w:type="spellEnd"/>
      <w:r w:rsidRPr="00A651A1">
        <w:rPr>
          <w:rFonts w:ascii="Arial" w:eastAsia="Times New Roman" w:hAnsi="Arial" w:cs="Arial"/>
          <w:color w:val="000000"/>
          <w:kern w:val="0"/>
          <w:sz w:val="30"/>
          <w:szCs w:val="30"/>
          <w:lang w:eastAsia="it-IT"/>
          <w14:ligatures w14:val="none"/>
        </w:rPr>
        <w:t xml:space="preserve"> n. 34/2023 che sottende la medesima </w:t>
      </w:r>
      <w:r w:rsidRPr="00A651A1">
        <w:rPr>
          <w:rFonts w:ascii="Arial" w:eastAsia="Times New Roman" w:hAnsi="Arial" w:cs="Arial"/>
          <w:i/>
          <w:iCs/>
          <w:color w:val="000000"/>
          <w:kern w:val="0"/>
          <w:sz w:val="30"/>
          <w:szCs w:val="30"/>
          <w:lang w:eastAsia="it-IT"/>
          <w14:ligatures w14:val="none"/>
        </w:rPr>
        <w:t>ratio</w:t>
      </w:r>
      <w:r w:rsidRPr="00A651A1">
        <w:rPr>
          <w:rFonts w:ascii="Arial" w:eastAsia="Times New Roman" w:hAnsi="Arial" w:cs="Arial"/>
          <w:color w:val="000000"/>
          <w:kern w:val="0"/>
          <w:sz w:val="30"/>
          <w:szCs w:val="30"/>
          <w:lang w:eastAsia="it-IT"/>
          <w14:ligatures w14:val="none"/>
        </w:rPr>
        <w:t xml:space="preserve"> individuata nel 2021.</w:t>
      </w:r>
    </w:p>
    <w:p w14:paraId="1E55F615"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 xml:space="preserve">Nondimeno, quest’ultima normativa rende necessaria l’adozione di una disciplina </w:t>
      </w:r>
      <w:r w:rsidRPr="00A651A1">
        <w:rPr>
          <w:rFonts w:ascii="Arial" w:eastAsia="Times New Roman" w:hAnsi="Arial" w:cs="Arial"/>
          <w:i/>
          <w:iCs/>
          <w:color w:val="000000"/>
          <w:kern w:val="0"/>
          <w:sz w:val="30"/>
          <w:szCs w:val="30"/>
          <w:lang w:eastAsia="it-IT"/>
          <w14:ligatures w14:val="none"/>
        </w:rPr>
        <w:t>ad hoc</w:t>
      </w:r>
      <w:r w:rsidRPr="00A651A1">
        <w:rPr>
          <w:rFonts w:ascii="Arial" w:eastAsia="Times New Roman" w:hAnsi="Arial" w:cs="Arial"/>
          <w:color w:val="000000"/>
          <w:kern w:val="0"/>
          <w:sz w:val="30"/>
          <w:szCs w:val="30"/>
          <w:lang w:eastAsia="it-IT"/>
          <w14:ligatures w14:val="none"/>
        </w:rPr>
        <w:t xml:space="preserve"> per l’esercizio dell’attività lavorativa, sulla base di un’intesa in sede di Conferenza permanente per i rapporti tra lo Stato e le Regioni e dei successivi provvedimenti attuativi regionali e delle province autonome, specificando, inoltre, che, nelle more dell’adozione di tale disciplina, dovrà farsi applicazione delle disposizioni dell’art. 6-</w:t>
      </w:r>
      <w:r w:rsidRPr="00A651A1">
        <w:rPr>
          <w:rFonts w:ascii="Arial" w:eastAsia="Times New Roman" w:hAnsi="Arial" w:cs="Arial"/>
          <w:i/>
          <w:iCs/>
          <w:color w:val="000000"/>
          <w:kern w:val="0"/>
          <w:sz w:val="30"/>
          <w:szCs w:val="30"/>
          <w:lang w:eastAsia="it-IT"/>
          <w14:ligatures w14:val="none"/>
        </w:rPr>
        <w:t>bis</w:t>
      </w:r>
      <w:r w:rsidRPr="00A651A1">
        <w:rPr>
          <w:rFonts w:ascii="Arial" w:eastAsia="Times New Roman" w:hAnsi="Arial" w:cs="Arial"/>
          <w:color w:val="000000"/>
          <w:kern w:val="0"/>
          <w:sz w:val="30"/>
          <w:szCs w:val="30"/>
          <w:lang w:eastAsia="it-IT"/>
          <w14:ligatures w14:val="none"/>
        </w:rPr>
        <w:t xml:space="preserve"> del </w:t>
      </w:r>
      <w:proofErr w:type="spellStart"/>
      <w:r w:rsidRPr="00A651A1">
        <w:rPr>
          <w:rFonts w:ascii="Arial" w:eastAsia="Times New Roman" w:hAnsi="Arial" w:cs="Arial"/>
          <w:color w:val="000000"/>
          <w:kern w:val="0"/>
          <w:sz w:val="30"/>
          <w:szCs w:val="30"/>
          <w:lang w:eastAsia="it-IT"/>
          <w14:ligatures w14:val="none"/>
        </w:rPr>
        <w:t>d.l.</w:t>
      </w:r>
      <w:proofErr w:type="spellEnd"/>
      <w:r w:rsidRPr="00A651A1">
        <w:rPr>
          <w:rFonts w:ascii="Arial" w:eastAsia="Times New Roman" w:hAnsi="Arial" w:cs="Arial"/>
          <w:color w:val="000000"/>
          <w:kern w:val="0"/>
          <w:sz w:val="30"/>
          <w:szCs w:val="30"/>
          <w:lang w:eastAsia="it-IT"/>
          <w14:ligatures w14:val="none"/>
        </w:rPr>
        <w:t xml:space="preserve"> 2021, n. 105, e dell’art. 13 del </w:t>
      </w:r>
      <w:proofErr w:type="spellStart"/>
      <w:r w:rsidRPr="00A651A1">
        <w:rPr>
          <w:rFonts w:ascii="Arial" w:eastAsia="Times New Roman" w:hAnsi="Arial" w:cs="Arial"/>
          <w:color w:val="000000"/>
          <w:kern w:val="0"/>
          <w:sz w:val="30"/>
          <w:szCs w:val="30"/>
          <w:lang w:eastAsia="it-IT"/>
          <w14:ligatures w14:val="none"/>
        </w:rPr>
        <w:t>d.l.</w:t>
      </w:r>
      <w:proofErr w:type="spellEnd"/>
      <w:r w:rsidRPr="00A651A1">
        <w:rPr>
          <w:rFonts w:ascii="Arial" w:eastAsia="Times New Roman" w:hAnsi="Arial" w:cs="Arial"/>
          <w:color w:val="000000"/>
          <w:kern w:val="0"/>
          <w:sz w:val="30"/>
          <w:szCs w:val="30"/>
          <w:lang w:eastAsia="it-IT"/>
          <w14:ligatures w14:val="none"/>
        </w:rPr>
        <w:t xml:space="preserve"> 2020 n. 18.</w:t>
      </w:r>
    </w:p>
    <w:p w14:paraId="62CE34EE"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In tale contesto, la Regione Molise è intervenuta, in un primo tempo, con la D.C.A. n. 140 del 6.09.2024, avente ad oggetto “</w:t>
      </w:r>
      <w:r w:rsidRPr="00A651A1">
        <w:rPr>
          <w:rFonts w:ascii="Arial" w:eastAsia="Times New Roman" w:hAnsi="Arial" w:cs="Arial"/>
          <w:i/>
          <w:iCs/>
          <w:color w:val="000000"/>
          <w:kern w:val="0"/>
          <w:sz w:val="30"/>
          <w:szCs w:val="30"/>
          <w:lang w:eastAsia="it-IT"/>
          <w14:ligatures w14:val="none"/>
        </w:rPr>
        <w:t>ISTITUZIONE DI UN ELENCO REGIONALE DEI PROFESSIONISTI DELLA DIRIGENZA MEDICA, DI ALTRE PROFESSIONI SANITARIE, DI INFERMIERI E DI OPERATORI SOCIOSANITARI CON TITOLO CONSEGUITO ALL'ESTERO E NON ANCORA RICONOSCIUTO DAL MINISTERO DELLA SALUTE, IN POSSESSO DEI REQUISITI PREVISTI DALLA NORMATIVA (ART. 13 D.L. 17/03/202, N.18 E S.M.I.). – APPROVAZIONE AVVISO PUBBLICO</w:t>
      </w:r>
      <w:r w:rsidRPr="00A651A1">
        <w:rPr>
          <w:rFonts w:ascii="Arial" w:eastAsia="Times New Roman" w:hAnsi="Arial" w:cs="Arial"/>
          <w:color w:val="000000"/>
          <w:kern w:val="0"/>
          <w:sz w:val="30"/>
          <w:szCs w:val="30"/>
          <w:lang w:eastAsia="it-IT"/>
          <w14:ligatures w14:val="none"/>
        </w:rPr>
        <w:t xml:space="preserve">” (cfr. </w:t>
      </w:r>
      <w:proofErr w:type="spellStart"/>
      <w:r w:rsidRPr="00A651A1">
        <w:rPr>
          <w:rFonts w:ascii="Arial" w:eastAsia="Times New Roman" w:hAnsi="Arial" w:cs="Arial"/>
          <w:color w:val="000000"/>
          <w:kern w:val="0"/>
          <w:sz w:val="30"/>
          <w:szCs w:val="30"/>
          <w:lang w:eastAsia="it-IT"/>
          <w14:ligatures w14:val="none"/>
        </w:rPr>
        <w:t>all</w:t>
      </w:r>
      <w:proofErr w:type="spellEnd"/>
      <w:r w:rsidRPr="00A651A1">
        <w:rPr>
          <w:rFonts w:ascii="Arial" w:eastAsia="Times New Roman" w:hAnsi="Arial" w:cs="Arial"/>
          <w:color w:val="000000"/>
          <w:kern w:val="0"/>
          <w:sz w:val="30"/>
          <w:szCs w:val="30"/>
          <w:lang w:eastAsia="it-IT"/>
          <w14:ligatures w14:val="none"/>
        </w:rPr>
        <w:t>. n. 2 alla produzione della difesa erariale del 30.07.2026).</w:t>
      </w:r>
    </w:p>
    <w:p w14:paraId="1BD17C3C"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 xml:space="preserve">Che, approvando l’avviso pubblico per la presentazione delle relative domande, ai sensi degli articoli 13 del </w:t>
      </w:r>
      <w:proofErr w:type="spellStart"/>
      <w:r w:rsidRPr="00A651A1">
        <w:rPr>
          <w:rFonts w:ascii="Arial" w:eastAsia="Times New Roman" w:hAnsi="Arial" w:cs="Arial"/>
          <w:color w:val="000000"/>
          <w:kern w:val="0"/>
          <w:sz w:val="30"/>
          <w:szCs w:val="30"/>
          <w:lang w:eastAsia="it-IT"/>
          <w14:ligatures w14:val="none"/>
        </w:rPr>
        <w:t>d.l.</w:t>
      </w:r>
      <w:proofErr w:type="spellEnd"/>
      <w:r w:rsidRPr="00A651A1">
        <w:rPr>
          <w:rFonts w:ascii="Arial" w:eastAsia="Times New Roman" w:hAnsi="Arial" w:cs="Arial"/>
          <w:color w:val="000000"/>
          <w:kern w:val="0"/>
          <w:sz w:val="30"/>
          <w:szCs w:val="30"/>
          <w:lang w:eastAsia="it-IT"/>
          <w14:ligatures w14:val="none"/>
        </w:rPr>
        <w:t xml:space="preserve"> n. 18 2020 e 15 del </w:t>
      </w:r>
      <w:proofErr w:type="spellStart"/>
      <w:r w:rsidRPr="00A651A1">
        <w:rPr>
          <w:rFonts w:ascii="Arial" w:eastAsia="Times New Roman" w:hAnsi="Arial" w:cs="Arial"/>
          <w:color w:val="000000"/>
          <w:kern w:val="0"/>
          <w:sz w:val="30"/>
          <w:szCs w:val="30"/>
          <w:lang w:eastAsia="it-IT"/>
          <w14:ligatures w14:val="none"/>
        </w:rPr>
        <w:t>d.l.</w:t>
      </w:r>
      <w:proofErr w:type="spellEnd"/>
      <w:r w:rsidRPr="00A651A1">
        <w:rPr>
          <w:rFonts w:ascii="Arial" w:eastAsia="Times New Roman" w:hAnsi="Arial" w:cs="Arial"/>
          <w:color w:val="000000"/>
          <w:kern w:val="0"/>
          <w:sz w:val="30"/>
          <w:szCs w:val="30"/>
          <w:lang w:eastAsia="it-IT"/>
          <w14:ligatures w14:val="none"/>
        </w:rPr>
        <w:t xml:space="preserve"> n. 34 del 2023, ha delineato la procedura informatizzata di raccolta delle istanze dei professionisti che intendessero esercitare in Regione Molise la professione sanitaria di “</w:t>
      </w:r>
      <w:r w:rsidRPr="00A651A1">
        <w:rPr>
          <w:rFonts w:ascii="Arial" w:eastAsia="Times New Roman" w:hAnsi="Arial" w:cs="Arial"/>
          <w:i/>
          <w:iCs/>
          <w:color w:val="000000"/>
          <w:kern w:val="0"/>
          <w:sz w:val="30"/>
          <w:szCs w:val="30"/>
          <w:lang w:eastAsia="it-IT"/>
          <w14:ligatures w14:val="none"/>
        </w:rPr>
        <w:t xml:space="preserve">dirigente medico, di altre professioni sanitarie, di infermiere e di operatore sociosanitario in base a una qualifica professionale conseguita all’estero e regolata da specifiche direttive </w:t>
      </w:r>
      <w:r w:rsidRPr="00A651A1">
        <w:rPr>
          <w:rFonts w:ascii="Arial" w:eastAsia="Times New Roman" w:hAnsi="Arial" w:cs="Arial"/>
          <w:i/>
          <w:iCs/>
          <w:color w:val="000000"/>
          <w:kern w:val="0"/>
          <w:sz w:val="30"/>
          <w:szCs w:val="30"/>
          <w:lang w:eastAsia="it-IT"/>
          <w14:ligatures w14:val="none"/>
        </w:rPr>
        <w:lastRenderedPageBreak/>
        <w:t>dell’unione europea ai sensi dell’art. 13 del decreto-legge 17 marzo 2020, n. 18 e s.m.i.</w:t>
      </w:r>
      <w:r w:rsidRPr="00A651A1">
        <w:rPr>
          <w:rFonts w:ascii="Arial" w:eastAsia="Times New Roman" w:hAnsi="Arial" w:cs="Arial"/>
          <w:color w:val="000000"/>
          <w:kern w:val="0"/>
          <w:sz w:val="30"/>
          <w:szCs w:val="30"/>
          <w:lang w:eastAsia="it-IT"/>
          <w14:ligatures w14:val="none"/>
        </w:rPr>
        <w:t>”.</w:t>
      </w:r>
    </w:p>
    <w:p w14:paraId="4E97C13E"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 xml:space="preserve">Con il D.C.A. n. 55 del 14.03.2025 vi è stato un aggiornamento dell’elenco regionale dei professionisti sanitari interessati (cfr. </w:t>
      </w:r>
      <w:proofErr w:type="spellStart"/>
      <w:r w:rsidRPr="00A651A1">
        <w:rPr>
          <w:rFonts w:ascii="Arial" w:eastAsia="Times New Roman" w:hAnsi="Arial" w:cs="Arial"/>
          <w:color w:val="000000"/>
          <w:kern w:val="0"/>
          <w:sz w:val="30"/>
          <w:szCs w:val="30"/>
          <w:lang w:eastAsia="it-IT"/>
          <w14:ligatures w14:val="none"/>
        </w:rPr>
        <w:t>all</w:t>
      </w:r>
      <w:proofErr w:type="spellEnd"/>
      <w:r w:rsidRPr="00A651A1">
        <w:rPr>
          <w:rFonts w:ascii="Arial" w:eastAsia="Times New Roman" w:hAnsi="Arial" w:cs="Arial"/>
          <w:color w:val="000000"/>
          <w:kern w:val="0"/>
          <w:sz w:val="30"/>
          <w:szCs w:val="30"/>
          <w:lang w:eastAsia="it-IT"/>
          <w14:ligatures w14:val="none"/>
        </w:rPr>
        <w:t>. n. 2 alla produzione dell’ASREM del 24.07.2026).</w:t>
      </w:r>
    </w:p>
    <w:p w14:paraId="2EDD5140"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 xml:space="preserve">L’ASREM, in attuazione dei </w:t>
      </w:r>
      <w:proofErr w:type="gramStart"/>
      <w:r w:rsidRPr="00A651A1">
        <w:rPr>
          <w:rFonts w:ascii="Arial" w:eastAsia="Times New Roman" w:hAnsi="Arial" w:cs="Arial"/>
          <w:color w:val="000000"/>
          <w:kern w:val="0"/>
          <w:sz w:val="30"/>
          <w:szCs w:val="30"/>
          <w:lang w:eastAsia="it-IT"/>
          <w14:ligatures w14:val="none"/>
        </w:rPr>
        <w:t>summenzionati</w:t>
      </w:r>
      <w:proofErr w:type="gramEnd"/>
      <w:r w:rsidRPr="00A651A1">
        <w:rPr>
          <w:rFonts w:ascii="Arial" w:eastAsia="Times New Roman" w:hAnsi="Arial" w:cs="Arial"/>
          <w:color w:val="000000"/>
          <w:kern w:val="0"/>
          <w:sz w:val="30"/>
          <w:szCs w:val="30"/>
          <w:lang w:eastAsia="it-IT"/>
          <w14:ligatures w14:val="none"/>
        </w:rPr>
        <w:t xml:space="preserve"> DD.CC.AA. ha approvato la D.D.G. n. 120 del 27.01.2026 con la quale ha indetto “</w:t>
      </w:r>
      <w:r w:rsidRPr="00A651A1">
        <w:rPr>
          <w:rFonts w:ascii="Arial" w:eastAsia="Times New Roman" w:hAnsi="Arial" w:cs="Arial"/>
          <w:i/>
          <w:iCs/>
          <w:color w:val="000000"/>
          <w:kern w:val="0"/>
          <w:sz w:val="30"/>
          <w:szCs w:val="30"/>
          <w:lang w:eastAsia="it-IT"/>
          <w14:ligatures w14:val="none"/>
        </w:rPr>
        <w:t>procedure per l’assunzione a tempo determinato, per la copertura di posti disponibili di professionisti della dirigenza medica e di altre professioni sanitarie con titolo conseguito all’estero e non ancora riconosciuto dal Ministero della Salute, in possesso dei requisiti previsti dall’art. 13 D.L. del 17/03/2020, n. 18 e s.m.i., nelle discipline di: - Anestesia e Rianimazione (ALL.1); - Pediatria (ALL.2); - Ortopedia e Traumatologia (ALL.3); - Medicina e d’Emergenza Urgenza (All.4); - Ginecologia e Ostetricia</w:t>
      </w:r>
      <w:r w:rsidRPr="00A651A1">
        <w:rPr>
          <w:rFonts w:ascii="Arial" w:eastAsia="Times New Roman" w:hAnsi="Arial" w:cs="Arial"/>
          <w:color w:val="000000"/>
          <w:kern w:val="0"/>
          <w:sz w:val="30"/>
          <w:szCs w:val="30"/>
          <w:lang w:eastAsia="it-IT"/>
          <w14:ligatures w14:val="none"/>
        </w:rPr>
        <w:t xml:space="preserve"> </w:t>
      </w:r>
      <w:r w:rsidRPr="00A651A1">
        <w:rPr>
          <w:rFonts w:ascii="Arial" w:eastAsia="Times New Roman" w:hAnsi="Arial" w:cs="Arial"/>
          <w:i/>
          <w:iCs/>
          <w:color w:val="000000"/>
          <w:kern w:val="0"/>
          <w:sz w:val="30"/>
          <w:szCs w:val="30"/>
          <w:lang w:eastAsia="it-IT"/>
          <w14:ligatures w14:val="none"/>
        </w:rPr>
        <w:t>(ALL.5)</w:t>
      </w:r>
      <w:r w:rsidRPr="00A651A1">
        <w:rPr>
          <w:rFonts w:ascii="Arial" w:eastAsia="Times New Roman" w:hAnsi="Arial" w:cs="Arial"/>
          <w:color w:val="000000"/>
          <w:kern w:val="0"/>
          <w:sz w:val="30"/>
          <w:szCs w:val="30"/>
          <w:lang w:eastAsia="it-IT"/>
          <w14:ligatures w14:val="none"/>
        </w:rPr>
        <w:t xml:space="preserve">” (cfr. la D.D.G. n. 120 del 27.01.2026; </w:t>
      </w:r>
      <w:proofErr w:type="spellStart"/>
      <w:r w:rsidRPr="00A651A1">
        <w:rPr>
          <w:rFonts w:ascii="Arial" w:eastAsia="Times New Roman" w:hAnsi="Arial" w:cs="Arial"/>
          <w:color w:val="000000"/>
          <w:kern w:val="0"/>
          <w:sz w:val="30"/>
          <w:szCs w:val="30"/>
          <w:lang w:eastAsia="it-IT"/>
          <w14:ligatures w14:val="none"/>
        </w:rPr>
        <w:t>all</w:t>
      </w:r>
      <w:proofErr w:type="spellEnd"/>
      <w:r w:rsidRPr="00A651A1">
        <w:rPr>
          <w:rFonts w:ascii="Arial" w:eastAsia="Times New Roman" w:hAnsi="Arial" w:cs="Arial"/>
          <w:color w:val="000000"/>
          <w:kern w:val="0"/>
          <w:sz w:val="30"/>
          <w:szCs w:val="30"/>
          <w:lang w:eastAsia="it-IT"/>
          <w14:ligatures w14:val="none"/>
        </w:rPr>
        <w:t>. n. 1 alla produzione della parte ricorrente del 2.04.2026).</w:t>
      </w:r>
    </w:p>
    <w:p w14:paraId="7B82C309"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La citata D.D.G. n. 120 del 27.01.2026 ha altresì dato atto che “</w:t>
      </w:r>
      <w:r w:rsidRPr="00A651A1">
        <w:rPr>
          <w:rFonts w:ascii="Arial" w:eastAsia="Times New Roman" w:hAnsi="Arial" w:cs="Arial"/>
          <w:i/>
          <w:iCs/>
          <w:color w:val="000000"/>
          <w:kern w:val="0"/>
          <w:sz w:val="30"/>
          <w:szCs w:val="30"/>
          <w:lang w:eastAsia="it-IT"/>
          <w14:ligatures w14:val="none"/>
        </w:rPr>
        <w:t>ai fini dell’assunzione temporanea di personale sanitario in deroga alle norme che disciplinano le procedure per il riconoscimento delle qualifiche professionali sanitarie conseguite in un Paese dell’Unione Europea o in Paesi Terzi resta ferma la necessità di acquisire la seguente documentazione:</w:t>
      </w:r>
    </w:p>
    <w:p w14:paraId="628138B6"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i/>
          <w:iCs/>
          <w:color w:val="000000"/>
          <w:kern w:val="0"/>
          <w:sz w:val="30"/>
          <w:szCs w:val="30"/>
          <w:lang w:eastAsia="it-IT"/>
          <w14:ligatures w14:val="none"/>
        </w:rPr>
        <w:t>Per titoli di studio conseguiti in un Paese UE.:</w:t>
      </w:r>
    </w:p>
    <w:p w14:paraId="1269957B"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i/>
          <w:iCs/>
          <w:color w:val="000000"/>
          <w:kern w:val="0"/>
          <w:sz w:val="30"/>
          <w:szCs w:val="30"/>
          <w:lang w:eastAsia="it-IT"/>
          <w14:ligatures w14:val="none"/>
        </w:rPr>
        <w:t>- Diploma di Laurea in Medicina e Chirurgia</w:t>
      </w:r>
    </w:p>
    <w:p w14:paraId="779850B8"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i/>
          <w:iCs/>
          <w:color w:val="000000"/>
          <w:kern w:val="0"/>
          <w:sz w:val="30"/>
          <w:szCs w:val="30"/>
          <w:lang w:eastAsia="it-IT"/>
          <w14:ligatures w14:val="none"/>
        </w:rPr>
        <w:t>- Specializzazione nella disciplina in cui si intende partecipare, equipollente, ovvero, affine</w:t>
      </w:r>
    </w:p>
    <w:p w14:paraId="295D9629"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i/>
          <w:iCs/>
          <w:color w:val="000000"/>
          <w:kern w:val="0"/>
          <w:sz w:val="30"/>
          <w:szCs w:val="30"/>
          <w:lang w:eastAsia="it-IT"/>
          <w14:ligatures w14:val="none"/>
        </w:rPr>
        <w:t>- Iscrizione ad un Ordine o Albo Professionale</w:t>
      </w:r>
    </w:p>
    <w:p w14:paraId="06566B5B"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i/>
          <w:iCs/>
          <w:color w:val="000000"/>
          <w:kern w:val="0"/>
          <w:sz w:val="30"/>
          <w:szCs w:val="30"/>
          <w:lang w:eastAsia="it-IT"/>
          <w14:ligatures w14:val="none"/>
        </w:rPr>
        <w:lastRenderedPageBreak/>
        <w:t>- Copia di un documento di identità</w:t>
      </w:r>
    </w:p>
    <w:p w14:paraId="3C6127F9"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i/>
          <w:iCs/>
          <w:color w:val="000000"/>
          <w:kern w:val="0"/>
          <w:sz w:val="30"/>
          <w:szCs w:val="30"/>
          <w:lang w:eastAsia="it-IT"/>
          <w14:ligatures w14:val="none"/>
        </w:rPr>
        <w:t>- Se il diploma e/o il certificato di iscrizione all'albo professionale non sono redatti in italiano, è necessario allegare anche la traduzione in italiano;</w:t>
      </w:r>
    </w:p>
    <w:p w14:paraId="764751D9"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i/>
          <w:iCs/>
          <w:color w:val="000000"/>
          <w:kern w:val="0"/>
          <w:sz w:val="30"/>
          <w:szCs w:val="30"/>
          <w:lang w:eastAsia="it-IT"/>
          <w14:ligatures w14:val="none"/>
        </w:rPr>
        <w:t>Per titoli di studio conseguiti in un Paese non U.E.:</w:t>
      </w:r>
    </w:p>
    <w:p w14:paraId="291BDC3B"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i/>
          <w:iCs/>
          <w:color w:val="000000"/>
          <w:kern w:val="0"/>
          <w:sz w:val="30"/>
          <w:szCs w:val="30"/>
          <w:lang w:eastAsia="it-IT"/>
          <w14:ligatures w14:val="none"/>
        </w:rPr>
        <w:t>- Diploma di Laurea in Medicina e Chirurgia conseguita all’estero corredata da traduzione asseverata in Italia;</w:t>
      </w:r>
    </w:p>
    <w:p w14:paraId="2CDC9A94"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i/>
          <w:iCs/>
          <w:color w:val="000000"/>
          <w:kern w:val="0"/>
          <w:sz w:val="30"/>
          <w:szCs w:val="30"/>
          <w:lang w:eastAsia="it-IT"/>
          <w14:ligatures w14:val="none"/>
        </w:rPr>
        <w:t>-Specializzazione nella disciplina in cui si intende partecipare, equipollente, ovvero, affine, conseguita all’estero corredata da traduzione asseverata in Italia;</w:t>
      </w:r>
    </w:p>
    <w:p w14:paraId="2622DCC2"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i/>
          <w:iCs/>
          <w:color w:val="000000"/>
          <w:kern w:val="0"/>
          <w:sz w:val="30"/>
          <w:szCs w:val="30"/>
          <w:lang w:eastAsia="it-IT"/>
          <w14:ligatures w14:val="none"/>
        </w:rPr>
        <w:t>- Certificato di iscrizione all’Ordine o Albo professionale del Paese in cui è stata conseguita la Laurea corredata da traduzione asseverata in Italia;</w:t>
      </w:r>
    </w:p>
    <w:p w14:paraId="227BD2C6"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i/>
          <w:iCs/>
          <w:color w:val="000000"/>
          <w:kern w:val="0"/>
          <w:sz w:val="30"/>
          <w:szCs w:val="30"/>
          <w:lang w:eastAsia="it-IT"/>
          <w14:ligatures w14:val="none"/>
        </w:rPr>
        <w:t>- I cittadini extra-comunitari devono allegare alla domanda copia di permesso di soggiorno che consenta di prestare la propria opera lavorativa in Italia o in un Paese membro dell’Unione Europea (cfr. art. 15 Carta dei diritti fondamentali dell’Unione Europea);</w:t>
      </w:r>
    </w:p>
    <w:p w14:paraId="0351B6AC"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i/>
          <w:iCs/>
          <w:color w:val="000000"/>
          <w:kern w:val="0"/>
          <w:sz w:val="30"/>
          <w:szCs w:val="30"/>
          <w:lang w:eastAsia="it-IT"/>
          <w14:ligatures w14:val="none"/>
        </w:rPr>
        <w:t>- Copia di un documento di riconoscimento</w:t>
      </w:r>
      <w:r w:rsidRPr="00A651A1">
        <w:rPr>
          <w:rFonts w:ascii="Arial" w:eastAsia="Times New Roman" w:hAnsi="Arial" w:cs="Arial"/>
          <w:color w:val="000000"/>
          <w:kern w:val="0"/>
          <w:sz w:val="30"/>
          <w:szCs w:val="30"/>
          <w:lang w:eastAsia="it-IT"/>
          <w14:ligatures w14:val="none"/>
        </w:rPr>
        <w:t xml:space="preserve">” (cfr. la D.D.G. n. 120 del 27.01.2026; </w:t>
      </w:r>
      <w:proofErr w:type="spellStart"/>
      <w:r w:rsidRPr="00A651A1">
        <w:rPr>
          <w:rFonts w:ascii="Arial" w:eastAsia="Times New Roman" w:hAnsi="Arial" w:cs="Arial"/>
          <w:color w:val="000000"/>
          <w:kern w:val="0"/>
          <w:sz w:val="30"/>
          <w:szCs w:val="30"/>
          <w:lang w:eastAsia="it-IT"/>
          <w14:ligatures w14:val="none"/>
        </w:rPr>
        <w:t>all</w:t>
      </w:r>
      <w:proofErr w:type="spellEnd"/>
      <w:r w:rsidRPr="00A651A1">
        <w:rPr>
          <w:rFonts w:ascii="Arial" w:eastAsia="Times New Roman" w:hAnsi="Arial" w:cs="Arial"/>
          <w:color w:val="000000"/>
          <w:kern w:val="0"/>
          <w:sz w:val="30"/>
          <w:szCs w:val="30"/>
          <w:lang w:eastAsia="it-IT"/>
          <w14:ligatures w14:val="none"/>
        </w:rPr>
        <w:t>. n. 1 alla produzione della parte ricorrente del 2.04.2026).</w:t>
      </w:r>
    </w:p>
    <w:p w14:paraId="70D9958F"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Successivamente, la Regione, con il D.C.A. n. 21 del 9 febbraio 2026, avente ad oggetto “</w:t>
      </w:r>
      <w:r w:rsidRPr="00A651A1">
        <w:rPr>
          <w:rFonts w:ascii="Arial" w:eastAsia="Times New Roman" w:hAnsi="Arial" w:cs="Arial"/>
          <w:i/>
          <w:iCs/>
          <w:color w:val="000000"/>
          <w:kern w:val="0"/>
          <w:sz w:val="30"/>
          <w:szCs w:val="30"/>
          <w:lang w:eastAsia="it-IT"/>
          <w14:ligatures w14:val="none"/>
        </w:rPr>
        <w:t>PROROGA AL 31.12.2029, GIUSTA LEGGE 30 DICEMBRE 2025, N. 199, DELLA DISCIPLINA RELATIVA ALL''AUTORIZZAZIONE ALL'ESERCIZIO TEMPORANEO DELL'ATTIVITA’ LAVORATIVA IN DEROGA, AI PROFESSIONISTI SANITARI CON TITOLO CONSEGUITO ALL'ESTERO E NON ANCORA RICONOSCIUTO DAL MINISTERO DELLA SALUTE, IN POSSESSO DEI REQUISITI RICHIESTI DALLA NORMATIVA (ART. 13 D.L. 18/2020 E S.M.I.)</w:t>
      </w:r>
      <w:r w:rsidRPr="00A651A1">
        <w:rPr>
          <w:rFonts w:ascii="Arial" w:eastAsia="Times New Roman" w:hAnsi="Arial" w:cs="Arial"/>
          <w:color w:val="000000"/>
          <w:kern w:val="0"/>
          <w:sz w:val="30"/>
          <w:szCs w:val="30"/>
          <w:lang w:eastAsia="it-IT"/>
          <w14:ligatures w14:val="none"/>
        </w:rPr>
        <w:t xml:space="preserve">” (cfr. </w:t>
      </w:r>
      <w:proofErr w:type="spellStart"/>
      <w:r w:rsidRPr="00A651A1">
        <w:rPr>
          <w:rFonts w:ascii="Arial" w:eastAsia="Times New Roman" w:hAnsi="Arial" w:cs="Arial"/>
          <w:color w:val="000000"/>
          <w:kern w:val="0"/>
          <w:sz w:val="30"/>
          <w:szCs w:val="30"/>
          <w:lang w:eastAsia="it-IT"/>
          <w14:ligatures w14:val="none"/>
        </w:rPr>
        <w:t>all</w:t>
      </w:r>
      <w:proofErr w:type="spellEnd"/>
      <w:r w:rsidRPr="00A651A1">
        <w:rPr>
          <w:rFonts w:ascii="Arial" w:eastAsia="Times New Roman" w:hAnsi="Arial" w:cs="Arial"/>
          <w:color w:val="000000"/>
          <w:kern w:val="0"/>
          <w:sz w:val="30"/>
          <w:szCs w:val="30"/>
          <w:lang w:eastAsia="it-IT"/>
          <w14:ligatures w14:val="none"/>
        </w:rPr>
        <w:t>. n. 2 alla produzione della parte ricorrente del 2.04.2026), ha prorogato fino al 31.12.2029 “</w:t>
      </w:r>
      <w:r w:rsidRPr="00A651A1">
        <w:rPr>
          <w:rFonts w:ascii="Arial" w:eastAsia="Times New Roman" w:hAnsi="Arial" w:cs="Arial"/>
          <w:i/>
          <w:iCs/>
          <w:color w:val="000000"/>
          <w:kern w:val="0"/>
          <w:sz w:val="30"/>
          <w:szCs w:val="30"/>
          <w:lang w:eastAsia="it-IT"/>
          <w14:ligatures w14:val="none"/>
        </w:rPr>
        <w:t xml:space="preserve">la disciplina relativa </w:t>
      </w:r>
      <w:r w:rsidRPr="00A651A1">
        <w:rPr>
          <w:rFonts w:ascii="Arial" w:eastAsia="Times New Roman" w:hAnsi="Arial" w:cs="Arial"/>
          <w:i/>
          <w:iCs/>
          <w:color w:val="000000"/>
          <w:kern w:val="0"/>
          <w:sz w:val="30"/>
          <w:szCs w:val="30"/>
          <w:lang w:eastAsia="it-IT"/>
          <w14:ligatures w14:val="none"/>
        </w:rPr>
        <w:lastRenderedPageBreak/>
        <w:t>all’’autorizzazione all’esercizio temporaneo dell’attività lavorativa in deroga ai professionisti sanitari con titolo conseguito all’estero e non ancora riconosciuto dal Ministero della Salute, giusta Legge 30 dicembre 2025, n. 199, art. 1, comma 939</w:t>
      </w:r>
      <w:r w:rsidRPr="00A651A1">
        <w:rPr>
          <w:rFonts w:ascii="Arial" w:eastAsia="Times New Roman" w:hAnsi="Arial" w:cs="Arial"/>
          <w:color w:val="000000"/>
          <w:kern w:val="0"/>
          <w:sz w:val="30"/>
          <w:szCs w:val="30"/>
          <w:lang w:eastAsia="it-IT"/>
          <w14:ligatures w14:val="none"/>
        </w:rPr>
        <w:t>”, specificando che “</w:t>
      </w:r>
      <w:r w:rsidRPr="00A651A1">
        <w:rPr>
          <w:rFonts w:ascii="Arial" w:eastAsia="Times New Roman" w:hAnsi="Arial" w:cs="Arial"/>
          <w:i/>
          <w:iCs/>
          <w:color w:val="000000"/>
          <w:kern w:val="0"/>
          <w:sz w:val="30"/>
          <w:szCs w:val="30"/>
          <w:lang w:eastAsia="it-IT"/>
          <w14:ligatures w14:val="none"/>
        </w:rPr>
        <w:t>La proroga di cui al comma 1 resta valida fino all’approvazione della disciplina temporanea, che verrà definita in sede di Conferenza permanente per i rapporti tra lo Stato, le Regioni e le province autonome di Trento e Bolzano, ai sensi del D.L. 34/2023</w:t>
      </w:r>
      <w:r w:rsidRPr="00A651A1">
        <w:rPr>
          <w:rFonts w:ascii="Arial" w:eastAsia="Times New Roman" w:hAnsi="Arial" w:cs="Arial"/>
          <w:color w:val="000000"/>
          <w:kern w:val="0"/>
          <w:sz w:val="30"/>
          <w:szCs w:val="30"/>
          <w:lang w:eastAsia="it-IT"/>
          <w14:ligatures w14:val="none"/>
        </w:rPr>
        <w:t>” (cfr. l’art. 1, commi 1 e 2, del D.C.A. n. 21/2026).</w:t>
      </w:r>
    </w:p>
    <w:p w14:paraId="664B8E2E"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 xml:space="preserve">Il D.C.A. ribadisce la più recente </w:t>
      </w:r>
      <w:r w:rsidRPr="00A651A1">
        <w:rPr>
          <w:rFonts w:ascii="Arial" w:eastAsia="Times New Roman" w:hAnsi="Arial" w:cs="Arial"/>
          <w:i/>
          <w:iCs/>
          <w:color w:val="000000"/>
          <w:kern w:val="0"/>
          <w:sz w:val="30"/>
          <w:szCs w:val="30"/>
          <w:lang w:eastAsia="it-IT"/>
          <w14:ligatures w14:val="none"/>
        </w:rPr>
        <w:t>ratio</w:t>
      </w:r>
      <w:r w:rsidRPr="00A651A1">
        <w:rPr>
          <w:rFonts w:ascii="Arial" w:eastAsia="Times New Roman" w:hAnsi="Arial" w:cs="Arial"/>
          <w:color w:val="000000"/>
          <w:kern w:val="0"/>
          <w:sz w:val="30"/>
          <w:szCs w:val="30"/>
          <w:lang w:eastAsia="it-IT"/>
          <w14:ligatures w14:val="none"/>
        </w:rPr>
        <w:t xml:space="preserve"> della normativa nazionale derogatoria, ossia la necessità di fronteggiare le carenze di personale e richiama l’art. 15 del </w:t>
      </w:r>
      <w:proofErr w:type="spellStart"/>
      <w:r w:rsidRPr="00A651A1">
        <w:rPr>
          <w:rFonts w:ascii="Arial" w:eastAsia="Times New Roman" w:hAnsi="Arial" w:cs="Arial"/>
          <w:color w:val="000000"/>
          <w:kern w:val="0"/>
          <w:sz w:val="30"/>
          <w:szCs w:val="30"/>
          <w:lang w:eastAsia="it-IT"/>
          <w14:ligatures w14:val="none"/>
        </w:rPr>
        <w:t>d.l.</w:t>
      </w:r>
      <w:proofErr w:type="spellEnd"/>
      <w:r w:rsidRPr="00A651A1">
        <w:rPr>
          <w:rFonts w:ascii="Arial" w:eastAsia="Times New Roman" w:hAnsi="Arial" w:cs="Arial"/>
          <w:color w:val="000000"/>
          <w:kern w:val="0"/>
          <w:sz w:val="30"/>
          <w:szCs w:val="30"/>
          <w:lang w:eastAsia="it-IT"/>
          <w14:ligatures w14:val="none"/>
        </w:rPr>
        <w:t xml:space="preserve"> 34/2023: ed in particolare i commi 2 e 3 relativi alla necessaria adozione di una disciplina </w:t>
      </w:r>
      <w:r w:rsidRPr="00A651A1">
        <w:rPr>
          <w:rFonts w:ascii="Arial" w:eastAsia="Times New Roman" w:hAnsi="Arial" w:cs="Arial"/>
          <w:i/>
          <w:iCs/>
          <w:color w:val="000000"/>
          <w:kern w:val="0"/>
          <w:sz w:val="30"/>
          <w:szCs w:val="30"/>
          <w:lang w:eastAsia="it-IT"/>
          <w14:ligatures w14:val="none"/>
        </w:rPr>
        <w:t>ad hoc</w:t>
      </w:r>
      <w:r w:rsidRPr="00A651A1">
        <w:rPr>
          <w:rFonts w:ascii="Arial" w:eastAsia="Times New Roman" w:hAnsi="Arial" w:cs="Arial"/>
          <w:color w:val="000000"/>
          <w:kern w:val="0"/>
          <w:sz w:val="30"/>
          <w:szCs w:val="30"/>
          <w:lang w:eastAsia="it-IT"/>
          <w14:ligatures w14:val="none"/>
        </w:rPr>
        <w:t xml:space="preserve"> mediante intesa Stato Regioni e la perdurante applicazione, nelle more, della disciplina posta dagli artt. 13 del </w:t>
      </w:r>
      <w:proofErr w:type="spellStart"/>
      <w:r w:rsidRPr="00A651A1">
        <w:rPr>
          <w:rFonts w:ascii="Arial" w:eastAsia="Times New Roman" w:hAnsi="Arial" w:cs="Arial"/>
          <w:color w:val="000000"/>
          <w:kern w:val="0"/>
          <w:sz w:val="30"/>
          <w:szCs w:val="30"/>
          <w:lang w:eastAsia="it-IT"/>
          <w14:ligatures w14:val="none"/>
        </w:rPr>
        <w:t>d.l.</w:t>
      </w:r>
      <w:proofErr w:type="spellEnd"/>
      <w:r w:rsidRPr="00A651A1">
        <w:rPr>
          <w:rFonts w:ascii="Arial" w:eastAsia="Times New Roman" w:hAnsi="Arial" w:cs="Arial"/>
          <w:color w:val="000000"/>
          <w:kern w:val="0"/>
          <w:sz w:val="30"/>
          <w:szCs w:val="30"/>
          <w:lang w:eastAsia="it-IT"/>
          <w14:ligatures w14:val="none"/>
        </w:rPr>
        <w:t xml:space="preserve"> n. 18/2020 e 6 bis del </w:t>
      </w:r>
      <w:proofErr w:type="spellStart"/>
      <w:r w:rsidRPr="00A651A1">
        <w:rPr>
          <w:rFonts w:ascii="Arial" w:eastAsia="Times New Roman" w:hAnsi="Arial" w:cs="Arial"/>
          <w:color w:val="000000"/>
          <w:kern w:val="0"/>
          <w:sz w:val="30"/>
          <w:szCs w:val="30"/>
          <w:lang w:eastAsia="it-IT"/>
          <w14:ligatures w14:val="none"/>
        </w:rPr>
        <w:t>d.l.</w:t>
      </w:r>
      <w:proofErr w:type="spellEnd"/>
      <w:r w:rsidRPr="00A651A1">
        <w:rPr>
          <w:rFonts w:ascii="Arial" w:eastAsia="Times New Roman" w:hAnsi="Arial" w:cs="Arial"/>
          <w:color w:val="000000"/>
          <w:kern w:val="0"/>
          <w:sz w:val="30"/>
          <w:szCs w:val="30"/>
          <w:lang w:eastAsia="it-IT"/>
          <w14:ligatures w14:val="none"/>
        </w:rPr>
        <w:t xml:space="preserve"> n. 105/2021.</w:t>
      </w:r>
    </w:p>
    <w:p w14:paraId="7B9A5598"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Il succitato D.C.A. dispone che “</w:t>
      </w:r>
      <w:r w:rsidRPr="00A651A1">
        <w:rPr>
          <w:rFonts w:ascii="Arial" w:eastAsia="Times New Roman" w:hAnsi="Arial" w:cs="Arial"/>
          <w:i/>
          <w:iCs/>
          <w:color w:val="000000"/>
          <w:kern w:val="0"/>
          <w:sz w:val="30"/>
          <w:szCs w:val="30"/>
          <w:lang w:eastAsia="it-IT"/>
          <w14:ligatures w14:val="none"/>
        </w:rPr>
        <w:t>L’</w:t>
      </w:r>
      <w:proofErr w:type="spellStart"/>
      <w:r w:rsidRPr="00A651A1">
        <w:rPr>
          <w:rFonts w:ascii="Arial" w:eastAsia="Times New Roman" w:hAnsi="Arial" w:cs="Arial"/>
          <w:i/>
          <w:iCs/>
          <w:color w:val="000000"/>
          <w:kern w:val="0"/>
          <w:sz w:val="30"/>
          <w:szCs w:val="30"/>
          <w:lang w:eastAsia="it-IT"/>
          <w14:ligatures w14:val="none"/>
        </w:rPr>
        <w:t>A.S.Re.M</w:t>
      </w:r>
      <w:proofErr w:type="spellEnd"/>
      <w:r w:rsidRPr="00A651A1">
        <w:rPr>
          <w:rFonts w:ascii="Arial" w:eastAsia="Times New Roman" w:hAnsi="Arial" w:cs="Arial"/>
          <w:i/>
          <w:iCs/>
          <w:color w:val="000000"/>
          <w:kern w:val="0"/>
          <w:sz w:val="30"/>
          <w:szCs w:val="30"/>
          <w:lang w:eastAsia="it-IT"/>
          <w14:ligatures w14:val="none"/>
        </w:rPr>
        <w:t xml:space="preserve"> e le strutture sanitarie e sociosanitarie private accreditate o autorizzate verificano il possesso dei requisiti dichiarati dagli interessati, inseriti nel suddetto elenco, e l’eventuale congruità del percorso formativo, prima dell’instaurazione del rapporto professionale, fermo restando ogni altro limite di legge</w:t>
      </w:r>
      <w:r w:rsidRPr="00A651A1">
        <w:rPr>
          <w:rFonts w:ascii="Arial" w:eastAsia="Times New Roman" w:hAnsi="Arial" w:cs="Arial"/>
          <w:color w:val="000000"/>
          <w:kern w:val="0"/>
          <w:sz w:val="30"/>
          <w:szCs w:val="30"/>
          <w:lang w:eastAsia="it-IT"/>
          <w14:ligatures w14:val="none"/>
        </w:rPr>
        <w:t>” (cfr. l’art. 3, comma 2, del D.C.A. n. 21 del 9.02.2026).</w:t>
      </w:r>
    </w:p>
    <w:p w14:paraId="6AD2B515"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 xml:space="preserve">9.2. La Federazione Nazionale degli Ordini dei Medici Chirurghi e degli Odontoiatri e le altre ricorrenti impugnano i provvedimenti sopra richiamati, lamentando la violazione dell’art. 13 </w:t>
      </w:r>
      <w:proofErr w:type="spellStart"/>
      <w:r w:rsidRPr="00A651A1">
        <w:rPr>
          <w:rFonts w:ascii="Arial" w:eastAsia="Times New Roman" w:hAnsi="Arial" w:cs="Arial"/>
          <w:color w:val="000000"/>
          <w:kern w:val="0"/>
          <w:sz w:val="30"/>
          <w:szCs w:val="30"/>
          <w:lang w:eastAsia="it-IT"/>
          <w14:ligatures w14:val="none"/>
        </w:rPr>
        <w:t>d.l.</w:t>
      </w:r>
      <w:proofErr w:type="spellEnd"/>
      <w:r w:rsidRPr="00A651A1">
        <w:rPr>
          <w:rFonts w:ascii="Arial" w:eastAsia="Times New Roman" w:hAnsi="Arial" w:cs="Arial"/>
          <w:color w:val="000000"/>
          <w:kern w:val="0"/>
          <w:sz w:val="30"/>
          <w:szCs w:val="30"/>
          <w:lang w:eastAsia="it-IT"/>
          <w14:ligatures w14:val="none"/>
        </w:rPr>
        <w:t xml:space="preserve"> n. 18/2020 e contestando la legittimità costituzionale degli artt. 13 </w:t>
      </w:r>
      <w:proofErr w:type="spellStart"/>
      <w:r w:rsidRPr="00A651A1">
        <w:rPr>
          <w:rFonts w:ascii="Arial" w:eastAsia="Times New Roman" w:hAnsi="Arial" w:cs="Arial"/>
          <w:color w:val="000000"/>
          <w:kern w:val="0"/>
          <w:sz w:val="30"/>
          <w:szCs w:val="30"/>
          <w:lang w:eastAsia="it-IT"/>
          <w14:ligatures w14:val="none"/>
        </w:rPr>
        <w:t>d.l.</w:t>
      </w:r>
      <w:proofErr w:type="spellEnd"/>
      <w:r w:rsidRPr="00A651A1">
        <w:rPr>
          <w:rFonts w:ascii="Arial" w:eastAsia="Times New Roman" w:hAnsi="Arial" w:cs="Arial"/>
          <w:color w:val="000000"/>
          <w:kern w:val="0"/>
          <w:sz w:val="30"/>
          <w:szCs w:val="30"/>
          <w:lang w:eastAsia="it-IT"/>
          <w14:ligatures w14:val="none"/>
        </w:rPr>
        <w:t xml:space="preserve"> n. 18/2020, 6 bis </w:t>
      </w:r>
      <w:proofErr w:type="spellStart"/>
      <w:r w:rsidRPr="00A651A1">
        <w:rPr>
          <w:rFonts w:ascii="Arial" w:eastAsia="Times New Roman" w:hAnsi="Arial" w:cs="Arial"/>
          <w:color w:val="000000"/>
          <w:kern w:val="0"/>
          <w:sz w:val="30"/>
          <w:szCs w:val="30"/>
          <w:lang w:eastAsia="it-IT"/>
          <w14:ligatures w14:val="none"/>
        </w:rPr>
        <w:t>d.l.</w:t>
      </w:r>
      <w:proofErr w:type="spellEnd"/>
      <w:r w:rsidRPr="00A651A1">
        <w:rPr>
          <w:rFonts w:ascii="Arial" w:eastAsia="Times New Roman" w:hAnsi="Arial" w:cs="Arial"/>
          <w:color w:val="000000"/>
          <w:kern w:val="0"/>
          <w:sz w:val="30"/>
          <w:szCs w:val="30"/>
          <w:lang w:eastAsia="it-IT"/>
          <w14:ligatures w14:val="none"/>
        </w:rPr>
        <w:t xml:space="preserve"> n. 105/2021 e 15 </w:t>
      </w:r>
      <w:proofErr w:type="spellStart"/>
      <w:r w:rsidRPr="00A651A1">
        <w:rPr>
          <w:rFonts w:ascii="Arial" w:eastAsia="Times New Roman" w:hAnsi="Arial" w:cs="Arial"/>
          <w:color w:val="000000"/>
          <w:kern w:val="0"/>
          <w:sz w:val="30"/>
          <w:szCs w:val="30"/>
          <w:lang w:eastAsia="it-IT"/>
          <w14:ligatures w14:val="none"/>
        </w:rPr>
        <w:t>d.l.</w:t>
      </w:r>
      <w:proofErr w:type="spellEnd"/>
      <w:r w:rsidRPr="00A651A1">
        <w:rPr>
          <w:rFonts w:ascii="Arial" w:eastAsia="Times New Roman" w:hAnsi="Arial" w:cs="Arial"/>
          <w:color w:val="000000"/>
          <w:kern w:val="0"/>
          <w:sz w:val="30"/>
          <w:szCs w:val="30"/>
          <w:lang w:eastAsia="it-IT"/>
          <w14:ligatures w14:val="none"/>
        </w:rPr>
        <w:t xml:space="preserve"> n. 34/2023 se interpretati nel senso di autorizzare la Regione al riconoscimento delle qualifiche estere in assenza di una </w:t>
      </w:r>
      <w:r w:rsidRPr="00A651A1">
        <w:rPr>
          <w:rFonts w:ascii="Arial" w:eastAsia="Times New Roman" w:hAnsi="Arial" w:cs="Arial"/>
          <w:color w:val="000000"/>
          <w:kern w:val="0"/>
          <w:sz w:val="30"/>
          <w:szCs w:val="30"/>
          <w:lang w:eastAsia="it-IT"/>
          <w14:ligatures w14:val="none"/>
        </w:rPr>
        <w:lastRenderedPageBreak/>
        <w:t>verifica puntuale dei requisiti sostanziali per l’esercizio della professione secondo la disciplina generale di cui al d.lgs. 2007 n. 206.</w:t>
      </w:r>
    </w:p>
    <w:p w14:paraId="3079D30D"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9.3. In via pregiudiziale, deve essere esaminata l’eccezione di difetto di giurisdizione sollevata dall’ASREM.</w:t>
      </w:r>
    </w:p>
    <w:p w14:paraId="4CA26D44"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L’Azienda resistente fonda l’eccezione sull’assunto che il legislatore avrebbe inteso riconoscere ai medici stranieri “</w:t>
      </w:r>
      <w:r w:rsidRPr="00A651A1">
        <w:rPr>
          <w:rFonts w:ascii="Arial" w:eastAsia="Times New Roman" w:hAnsi="Arial" w:cs="Arial"/>
          <w:i/>
          <w:iCs/>
          <w:color w:val="000000"/>
          <w:kern w:val="0"/>
          <w:sz w:val="30"/>
          <w:szCs w:val="30"/>
          <w:lang w:eastAsia="it-IT"/>
          <w14:ligatures w14:val="none"/>
        </w:rPr>
        <w:t>un diritto soggettivo che discende direttamente da norme di rango legislativo e che non risulta sotteso a valutazioni dell’Amministrazione espressive di potere amministrativo</w:t>
      </w:r>
      <w:r w:rsidRPr="00A651A1">
        <w:rPr>
          <w:rFonts w:ascii="Arial" w:eastAsia="Times New Roman" w:hAnsi="Arial" w:cs="Arial"/>
          <w:color w:val="000000"/>
          <w:kern w:val="0"/>
          <w:sz w:val="30"/>
          <w:szCs w:val="30"/>
          <w:lang w:eastAsia="it-IT"/>
          <w14:ligatures w14:val="none"/>
        </w:rPr>
        <w:t>” (cfr. la memoria dell’ASREM del 10.04.2026 a pag. 3) e su precedenti giurisprudenziali del T.A.R. Lombardia.</w:t>
      </w:r>
    </w:p>
    <w:p w14:paraId="0E46B7DA"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L’eccezione non può essere condivisa.</w:t>
      </w:r>
    </w:p>
    <w:p w14:paraId="4A07DA1F"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 xml:space="preserve">I precedenti richiamati dall’ASREM riguardano le domande di riconoscimento della qualifica professionale di alcuni medici stranieri, presentate prima dell’entrata in vigore dell’art. 15 del </w:t>
      </w:r>
      <w:proofErr w:type="spellStart"/>
      <w:r w:rsidRPr="00A651A1">
        <w:rPr>
          <w:rFonts w:ascii="Arial" w:eastAsia="Times New Roman" w:hAnsi="Arial" w:cs="Arial"/>
          <w:color w:val="000000"/>
          <w:kern w:val="0"/>
          <w:sz w:val="30"/>
          <w:szCs w:val="30"/>
          <w:lang w:eastAsia="it-IT"/>
          <w14:ligatures w14:val="none"/>
        </w:rPr>
        <w:t>d.l.</w:t>
      </w:r>
      <w:proofErr w:type="spellEnd"/>
      <w:r w:rsidRPr="00A651A1">
        <w:rPr>
          <w:rFonts w:ascii="Arial" w:eastAsia="Times New Roman" w:hAnsi="Arial" w:cs="Arial"/>
          <w:color w:val="000000"/>
          <w:kern w:val="0"/>
          <w:sz w:val="30"/>
          <w:szCs w:val="30"/>
          <w:lang w:eastAsia="it-IT"/>
          <w14:ligatures w14:val="none"/>
        </w:rPr>
        <w:t xml:space="preserve"> n. 34/2023 e soggette esclusivamente alla disciplina degli artt. 13 </w:t>
      </w:r>
      <w:proofErr w:type="spellStart"/>
      <w:r w:rsidRPr="00A651A1">
        <w:rPr>
          <w:rFonts w:ascii="Arial" w:eastAsia="Times New Roman" w:hAnsi="Arial" w:cs="Arial"/>
          <w:color w:val="000000"/>
          <w:kern w:val="0"/>
          <w:sz w:val="30"/>
          <w:szCs w:val="30"/>
          <w:lang w:eastAsia="it-IT"/>
          <w14:ligatures w14:val="none"/>
        </w:rPr>
        <w:t>d.l.</w:t>
      </w:r>
      <w:proofErr w:type="spellEnd"/>
      <w:r w:rsidRPr="00A651A1">
        <w:rPr>
          <w:rFonts w:ascii="Arial" w:eastAsia="Times New Roman" w:hAnsi="Arial" w:cs="Arial"/>
          <w:color w:val="000000"/>
          <w:kern w:val="0"/>
          <w:sz w:val="30"/>
          <w:szCs w:val="30"/>
          <w:lang w:eastAsia="it-IT"/>
          <w14:ligatures w14:val="none"/>
        </w:rPr>
        <w:t xml:space="preserve"> 18/2020 e 6 bis </w:t>
      </w:r>
      <w:proofErr w:type="spellStart"/>
      <w:r w:rsidRPr="00A651A1">
        <w:rPr>
          <w:rFonts w:ascii="Arial" w:eastAsia="Times New Roman" w:hAnsi="Arial" w:cs="Arial"/>
          <w:color w:val="000000"/>
          <w:kern w:val="0"/>
          <w:sz w:val="30"/>
          <w:szCs w:val="30"/>
          <w:lang w:eastAsia="it-IT"/>
          <w14:ligatures w14:val="none"/>
        </w:rPr>
        <w:t>d.l.</w:t>
      </w:r>
      <w:proofErr w:type="spellEnd"/>
      <w:r w:rsidRPr="00A651A1">
        <w:rPr>
          <w:rFonts w:ascii="Arial" w:eastAsia="Times New Roman" w:hAnsi="Arial" w:cs="Arial"/>
          <w:color w:val="000000"/>
          <w:kern w:val="0"/>
          <w:sz w:val="30"/>
          <w:szCs w:val="30"/>
          <w:lang w:eastAsia="it-IT"/>
          <w14:ligatures w14:val="none"/>
        </w:rPr>
        <w:t xml:space="preserve"> 105/2021.</w:t>
      </w:r>
    </w:p>
    <w:p w14:paraId="2A47AC62"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Nelle sentenze richiamate dalla parte resistente, il T.A.R. Lombardia ha osservato che “</w:t>
      </w:r>
      <w:r w:rsidRPr="00A651A1">
        <w:rPr>
          <w:rFonts w:ascii="Arial" w:eastAsia="Times New Roman" w:hAnsi="Arial" w:cs="Arial"/>
          <w:i/>
          <w:iCs/>
          <w:color w:val="000000"/>
          <w:kern w:val="0"/>
          <w:sz w:val="30"/>
          <w:szCs w:val="30"/>
          <w:lang w:eastAsia="it-IT"/>
          <w14:ligatures w14:val="none"/>
        </w:rPr>
        <w:t xml:space="preserve">l’art. 6 bis da un lato, ha modificato la ratio della misura prevista dall’art. 13 del </w:t>
      </w:r>
      <w:proofErr w:type="spellStart"/>
      <w:r w:rsidRPr="00A651A1">
        <w:rPr>
          <w:rFonts w:ascii="Arial" w:eastAsia="Times New Roman" w:hAnsi="Arial" w:cs="Arial"/>
          <w:i/>
          <w:iCs/>
          <w:color w:val="000000"/>
          <w:kern w:val="0"/>
          <w:sz w:val="30"/>
          <w:szCs w:val="30"/>
          <w:lang w:eastAsia="it-IT"/>
          <w14:ligatures w14:val="none"/>
        </w:rPr>
        <w:t>d.l.</w:t>
      </w:r>
      <w:proofErr w:type="spellEnd"/>
      <w:r w:rsidRPr="00A651A1">
        <w:rPr>
          <w:rFonts w:ascii="Arial" w:eastAsia="Times New Roman" w:hAnsi="Arial" w:cs="Arial"/>
          <w:i/>
          <w:iCs/>
          <w:color w:val="000000"/>
          <w:kern w:val="0"/>
          <w:sz w:val="30"/>
          <w:szCs w:val="30"/>
          <w:lang w:eastAsia="it-IT"/>
          <w14:ligatures w14:val="none"/>
        </w:rPr>
        <w:t xml:space="preserve"> n. 18/2020, dall’altro, ha consentito l’esercizio temporaneo delle qualifiche professionali sanitarie in deroga alle norme sul riconoscimento delle predette qualifiche, richiamando solo le procedure di cui all’articolo 13 del </w:t>
      </w:r>
      <w:proofErr w:type="spellStart"/>
      <w:r w:rsidRPr="00A651A1">
        <w:rPr>
          <w:rFonts w:ascii="Arial" w:eastAsia="Times New Roman" w:hAnsi="Arial" w:cs="Arial"/>
          <w:i/>
          <w:iCs/>
          <w:color w:val="000000"/>
          <w:kern w:val="0"/>
          <w:sz w:val="30"/>
          <w:szCs w:val="30"/>
          <w:lang w:eastAsia="it-IT"/>
          <w14:ligatures w14:val="none"/>
        </w:rPr>
        <w:t>d.l.</w:t>
      </w:r>
      <w:proofErr w:type="spellEnd"/>
      <w:r w:rsidRPr="00A651A1">
        <w:rPr>
          <w:rFonts w:ascii="Arial" w:eastAsia="Times New Roman" w:hAnsi="Arial" w:cs="Arial"/>
          <w:i/>
          <w:iCs/>
          <w:color w:val="000000"/>
          <w:kern w:val="0"/>
          <w:sz w:val="30"/>
          <w:szCs w:val="30"/>
          <w:lang w:eastAsia="it-IT"/>
          <w14:ligatures w14:val="none"/>
        </w:rPr>
        <w:t xml:space="preserve"> 17 marzo 2020, n. 18; parimenti, si è stabilito che il professionista, una volta ottenuto il riconoscimento in deroga, debba semplicemente comunicarne l’ottenimento all’Ordine (…) sicché si tratta di un diritto che discende direttamente dalla norma di rango legislativo e non è subordinato a valutazioni dell’amministrazione espressive di potere amministrativo, sia esso vincolato, ovvero connotato </w:t>
      </w:r>
      <w:r w:rsidRPr="00A651A1">
        <w:rPr>
          <w:rFonts w:ascii="Arial" w:eastAsia="Times New Roman" w:hAnsi="Arial" w:cs="Arial"/>
          <w:i/>
          <w:iCs/>
          <w:color w:val="000000"/>
          <w:kern w:val="0"/>
          <w:sz w:val="30"/>
          <w:szCs w:val="30"/>
          <w:lang w:eastAsia="it-IT"/>
          <w14:ligatures w14:val="none"/>
        </w:rPr>
        <w:lastRenderedPageBreak/>
        <w:t>da discrezionalità tecnica o amministrativa</w:t>
      </w:r>
      <w:r w:rsidRPr="00A651A1">
        <w:rPr>
          <w:rFonts w:ascii="Arial" w:eastAsia="Times New Roman" w:hAnsi="Arial" w:cs="Arial"/>
          <w:color w:val="000000"/>
          <w:kern w:val="0"/>
          <w:sz w:val="30"/>
          <w:szCs w:val="30"/>
          <w:lang w:eastAsia="it-IT"/>
          <w14:ligatures w14:val="none"/>
        </w:rPr>
        <w:t>” (T.A.R. Lombardia, Sez. III, 17.11.2023, n. 2695).</w:t>
      </w:r>
    </w:p>
    <w:p w14:paraId="1AACEC44"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In altri termini, si è affermato che la disciplina dei soli artt. 13 e 6 bis citati è costruita secondo lo schema “</w:t>
      </w:r>
      <w:r w:rsidRPr="00A651A1">
        <w:rPr>
          <w:rFonts w:ascii="Arial" w:eastAsia="Times New Roman" w:hAnsi="Arial" w:cs="Arial"/>
          <w:i/>
          <w:iCs/>
          <w:color w:val="000000"/>
          <w:kern w:val="0"/>
          <w:sz w:val="30"/>
          <w:szCs w:val="30"/>
          <w:lang w:eastAsia="it-IT"/>
          <w14:ligatures w14:val="none"/>
        </w:rPr>
        <w:t>norma – fatto – effetto</w:t>
      </w:r>
      <w:r w:rsidRPr="00A651A1">
        <w:rPr>
          <w:rFonts w:ascii="Arial" w:eastAsia="Times New Roman" w:hAnsi="Arial" w:cs="Arial"/>
          <w:color w:val="000000"/>
          <w:kern w:val="0"/>
          <w:sz w:val="30"/>
          <w:szCs w:val="30"/>
          <w:lang w:eastAsia="it-IT"/>
          <w14:ligatures w14:val="none"/>
        </w:rPr>
        <w:t>”, tipicamente attributivo di diritti soggettivi, rispetto ai quali – salvo le ipotesi di giurisdizione esclusiva, non presenti nel caso di specie – non può che configurarsi la giurisdizione del giudice ordinario.</w:t>
      </w:r>
    </w:p>
    <w:p w14:paraId="76F0BD2C"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Non è casuale, infatti, che i ricorsi decisi con le sentenze richiamate da Regione Lombardia siano stati proposti da medici – persone fisiche, che invocavano il diritto al riconoscimento della qualifica professionale secondo il procedimento in deroga.</w:t>
      </w:r>
    </w:p>
    <w:p w14:paraId="0C964456"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Il ricorso in esame presenta connotati dissimili rispetto alle precedenti impugnazioni, come non ha mancato di sottolineare, in un caso analogo, lo stesso T.A.R. Lombardia (cfr. T.A.R. Lombardia, Sez. III, 15.09.2025, n. 2941).</w:t>
      </w:r>
    </w:p>
    <w:p w14:paraId="7BC85AC0"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Anzitutto, il quadro normativo è radicalmente differente.</w:t>
      </w:r>
    </w:p>
    <w:p w14:paraId="504E6AD7"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 xml:space="preserve">L’art. 15 del </w:t>
      </w:r>
      <w:proofErr w:type="spellStart"/>
      <w:r w:rsidRPr="00A651A1">
        <w:rPr>
          <w:rFonts w:ascii="Arial" w:eastAsia="Times New Roman" w:hAnsi="Arial" w:cs="Arial"/>
          <w:color w:val="000000"/>
          <w:kern w:val="0"/>
          <w:sz w:val="30"/>
          <w:szCs w:val="30"/>
          <w:lang w:eastAsia="it-IT"/>
          <w14:ligatures w14:val="none"/>
        </w:rPr>
        <w:t>d.l.</w:t>
      </w:r>
      <w:proofErr w:type="spellEnd"/>
      <w:r w:rsidRPr="00A651A1">
        <w:rPr>
          <w:rFonts w:ascii="Arial" w:eastAsia="Times New Roman" w:hAnsi="Arial" w:cs="Arial"/>
          <w:color w:val="000000"/>
          <w:kern w:val="0"/>
          <w:sz w:val="30"/>
          <w:szCs w:val="30"/>
          <w:lang w:eastAsia="it-IT"/>
          <w14:ligatures w14:val="none"/>
        </w:rPr>
        <w:t xml:space="preserve"> n. 34/2023, richiamando la necessità di fronteggiare la grave carenza di personale sanitario e </w:t>
      </w:r>
      <w:proofErr w:type="gramStart"/>
      <w:r w:rsidRPr="00A651A1">
        <w:rPr>
          <w:rFonts w:ascii="Arial" w:eastAsia="Times New Roman" w:hAnsi="Arial" w:cs="Arial"/>
          <w:color w:val="000000"/>
          <w:kern w:val="0"/>
          <w:sz w:val="30"/>
          <w:szCs w:val="30"/>
          <w:lang w:eastAsia="it-IT"/>
          <w14:ligatures w14:val="none"/>
        </w:rPr>
        <w:t>socio sanitario</w:t>
      </w:r>
      <w:proofErr w:type="gramEnd"/>
      <w:r w:rsidRPr="00A651A1">
        <w:rPr>
          <w:rFonts w:ascii="Arial" w:eastAsia="Times New Roman" w:hAnsi="Arial" w:cs="Arial"/>
          <w:color w:val="000000"/>
          <w:kern w:val="0"/>
          <w:sz w:val="30"/>
          <w:szCs w:val="30"/>
          <w:lang w:eastAsia="it-IT"/>
          <w14:ligatures w14:val="none"/>
        </w:rPr>
        <w:t>, non attribuisce ai medici stranieri il diritto al riconoscimento della qualifica professionale in deroga tout court, ma dispone espressamente al secondo comma che sia “</w:t>
      </w:r>
      <w:r w:rsidRPr="00A651A1">
        <w:rPr>
          <w:rFonts w:ascii="Arial" w:eastAsia="Times New Roman" w:hAnsi="Arial" w:cs="Arial"/>
          <w:i/>
          <w:iCs/>
          <w:color w:val="000000"/>
          <w:kern w:val="0"/>
          <w:sz w:val="30"/>
          <w:szCs w:val="30"/>
          <w:lang w:eastAsia="it-IT"/>
          <w14:ligatures w14:val="none"/>
        </w:rPr>
        <w:t>definita la disciplina per l’esercizio temporaneo dell’attività lavorativa di cui al comma 1</w:t>
      </w:r>
      <w:r w:rsidRPr="00A651A1">
        <w:rPr>
          <w:rFonts w:ascii="Arial" w:eastAsia="Times New Roman" w:hAnsi="Arial" w:cs="Arial"/>
          <w:color w:val="000000"/>
          <w:kern w:val="0"/>
          <w:sz w:val="30"/>
          <w:szCs w:val="30"/>
          <w:lang w:eastAsia="it-IT"/>
          <w14:ligatures w14:val="none"/>
        </w:rPr>
        <w:t>”, con intesa da adottarsi in sede di Conferenza permanente Stato – Regioni.</w:t>
      </w:r>
    </w:p>
    <w:p w14:paraId="6B6593F1"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Non solo, la norma attribuisce alle regioni il potere di adottare “</w:t>
      </w:r>
      <w:r w:rsidRPr="00A651A1">
        <w:rPr>
          <w:rFonts w:ascii="Arial" w:eastAsia="Times New Roman" w:hAnsi="Arial" w:cs="Arial"/>
          <w:i/>
          <w:iCs/>
          <w:color w:val="000000"/>
          <w:kern w:val="0"/>
          <w:sz w:val="30"/>
          <w:szCs w:val="30"/>
          <w:lang w:eastAsia="it-IT"/>
          <w14:ligatures w14:val="none"/>
        </w:rPr>
        <w:t>provvedimenti attuativi</w:t>
      </w:r>
      <w:r w:rsidRPr="00A651A1">
        <w:rPr>
          <w:rFonts w:ascii="Arial" w:eastAsia="Times New Roman" w:hAnsi="Arial" w:cs="Arial"/>
          <w:color w:val="000000"/>
          <w:kern w:val="0"/>
          <w:sz w:val="30"/>
          <w:szCs w:val="30"/>
          <w:lang w:eastAsia="it-IT"/>
          <w14:ligatures w14:val="none"/>
        </w:rPr>
        <w:t>” per la disciplina della materia.</w:t>
      </w:r>
    </w:p>
    <w:p w14:paraId="32E97C96"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 xml:space="preserve">Ne deriva che il riconoscimento della qualifica non è l’effetto diretto di una norma di rango legislativo, ma è subordinato allo svolgimento di una </w:t>
      </w:r>
      <w:r w:rsidRPr="00A651A1">
        <w:rPr>
          <w:rFonts w:ascii="Arial" w:eastAsia="Times New Roman" w:hAnsi="Arial" w:cs="Arial"/>
          <w:color w:val="000000"/>
          <w:kern w:val="0"/>
          <w:sz w:val="30"/>
          <w:szCs w:val="30"/>
          <w:lang w:eastAsia="it-IT"/>
          <w14:ligatures w14:val="none"/>
        </w:rPr>
        <w:lastRenderedPageBreak/>
        <w:t>procedura amministrativa, che presuppone l’adozione di una disciplina ad hoc, comprensiva di provvedimenti attuativi delle Regioni, investite di potere amministrativo nella materia (cfr. T.A.R. Lombardia, Sez. III, 15.09.2025, n. 2941).</w:t>
      </w:r>
    </w:p>
    <w:p w14:paraId="425D6008"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Si delinea, in tal modo, un quadro coerente con la natura concorrente delle competenze legislative in materia, che si può riassumere nei seguenti passaggi:</w:t>
      </w:r>
    </w:p>
    <w:p w14:paraId="1339EF12"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 xml:space="preserve">- la legge nazionale ha posto dei principi con l’art. 15, </w:t>
      </w:r>
      <w:proofErr w:type="spellStart"/>
      <w:r w:rsidRPr="00A651A1">
        <w:rPr>
          <w:rFonts w:ascii="Arial" w:eastAsia="Times New Roman" w:hAnsi="Arial" w:cs="Arial"/>
          <w:color w:val="000000"/>
          <w:kern w:val="0"/>
          <w:sz w:val="30"/>
          <w:szCs w:val="30"/>
          <w:lang w:eastAsia="it-IT"/>
          <w14:ligatures w14:val="none"/>
        </w:rPr>
        <w:t>d.l.</w:t>
      </w:r>
      <w:proofErr w:type="spellEnd"/>
      <w:r w:rsidRPr="00A651A1">
        <w:rPr>
          <w:rFonts w:ascii="Arial" w:eastAsia="Times New Roman" w:hAnsi="Arial" w:cs="Arial"/>
          <w:color w:val="000000"/>
          <w:kern w:val="0"/>
          <w:sz w:val="30"/>
          <w:szCs w:val="30"/>
          <w:lang w:eastAsia="it-IT"/>
          <w14:ligatures w14:val="none"/>
        </w:rPr>
        <w:t xml:space="preserve"> n. 34/2023, relativamente alla disciplina derogatoria del d.lgs. n. 206/2007;</w:t>
      </w:r>
    </w:p>
    <w:p w14:paraId="3095490D"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 la disciplina di dettaglio per il procedimento derogatorio de quo è demandata a un’intesa Stato – Regioni e ai relativi provvedimenti delle amministrazioni regionali.</w:t>
      </w:r>
    </w:p>
    <w:p w14:paraId="6A204472"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 xml:space="preserve">L’amministrazione regionale, come emerge dal preambolo della deliberazione gravata e dal testo della stessa, ha effettuato ponderazioni discrezionali, alla luce del mutato quadro legislativo (art. 15 </w:t>
      </w:r>
      <w:proofErr w:type="spellStart"/>
      <w:r w:rsidRPr="00A651A1">
        <w:rPr>
          <w:rFonts w:ascii="Arial" w:eastAsia="Times New Roman" w:hAnsi="Arial" w:cs="Arial"/>
          <w:color w:val="000000"/>
          <w:kern w:val="0"/>
          <w:sz w:val="30"/>
          <w:szCs w:val="30"/>
          <w:lang w:eastAsia="it-IT"/>
          <w14:ligatures w14:val="none"/>
        </w:rPr>
        <w:t>d.l.</w:t>
      </w:r>
      <w:proofErr w:type="spellEnd"/>
      <w:r w:rsidRPr="00A651A1">
        <w:rPr>
          <w:rFonts w:ascii="Arial" w:eastAsia="Times New Roman" w:hAnsi="Arial" w:cs="Arial"/>
          <w:color w:val="000000"/>
          <w:kern w:val="0"/>
          <w:sz w:val="30"/>
          <w:szCs w:val="30"/>
          <w:lang w:eastAsia="it-IT"/>
          <w14:ligatures w14:val="none"/>
        </w:rPr>
        <w:t xml:space="preserve"> 34/2023) e fattuale (la perdurante carenza di medici specialisti).</w:t>
      </w:r>
    </w:p>
    <w:p w14:paraId="72EEC99D"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Nel caso di specie, quindi, non sono configurabili posizioni di diritto soggettivo direttamente attribuite dalla legge, ma situazioni correlate a provvedimenti amministrativi, espressivi di poteri valutativi discrezionali che fronteggiano interessi legittimi, la cui cognizione spetta al giudice amministrativo, secondo i comuni canoni sul riparto della giurisdizione (cfr. T.A.R. Lombardia, Sez. III, 15.09.2025, n. 2941).</w:t>
      </w:r>
    </w:p>
    <w:p w14:paraId="4DB98412"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9.4. Le considerazioni sinora svolte rilevano anche ai fini dell’analisi delle ulteriori eccezioni, con le quali la Regione e l’ASREM contestano la legittimazione ad agire e l’interesse a ricorrere delle Federazioni ricorrenti, con la precisazione che i piani di indagine relativi alle due condizioni dell’azione sono spesso sovrapposti nelle memorie difensive.</w:t>
      </w:r>
    </w:p>
    <w:p w14:paraId="610C8014"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lastRenderedPageBreak/>
        <w:t>Come è noto, la legittimazione ad agire sottende una posizione sostanziale che individua un interesse sufficientemente differenziato e qualificato, di tensione verso un bene della vita, che può essere di diritto soggettivo ovvero di interesse legittimo; presuppone l’affermazione della titolarità di tale qualificata posizione sostanziale e deve essere valutata dal giudice in astratto, in base alla prospettazione dell’atto introduttivo del giudizio.</w:t>
      </w:r>
    </w:p>
    <w:p w14:paraId="379A5B6E"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Quando la posizione sostanziale attiene a un interesse originariamente diffuso, adespota, relativo a beni a fruizione collettiva, come la salute, l’indagine relativa alla sussistenza della legittimazione ad agire si fa più pregnante e assume connotati diversi a seconda del soggetto che agisce in giudizio.</w:t>
      </w:r>
    </w:p>
    <w:p w14:paraId="37B24E79"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Con riferimento agli ordini professionali e a fortiori alle associazioni che riuniscono tali ordini, come la ricorrente, secondo condivisibile giurisprudenza vi è legittimazione ad agire “</w:t>
      </w:r>
      <w:r w:rsidRPr="00A651A1">
        <w:rPr>
          <w:rFonts w:ascii="Arial" w:eastAsia="Times New Roman" w:hAnsi="Arial" w:cs="Arial"/>
          <w:i/>
          <w:iCs/>
          <w:color w:val="000000"/>
          <w:kern w:val="0"/>
          <w:sz w:val="30"/>
          <w:szCs w:val="30"/>
          <w:lang w:eastAsia="it-IT"/>
          <w14:ligatures w14:val="none"/>
        </w:rPr>
        <w:t xml:space="preserve">per la tutela di posizioni soggettive proprie o di interessi unitari della collettività da loro istituzionalmente espressa, nel secondo caso potendo sia reagire alla violazione delle norme poste a tutela della professione, sia perseguire vantaggi, anche strumentali, riferibili alla sfera della categoria nel suo insieme (cfr. ex </w:t>
      </w:r>
      <w:proofErr w:type="spellStart"/>
      <w:r w:rsidRPr="00A651A1">
        <w:rPr>
          <w:rFonts w:ascii="Arial" w:eastAsia="Times New Roman" w:hAnsi="Arial" w:cs="Arial"/>
          <w:i/>
          <w:iCs/>
          <w:color w:val="000000"/>
          <w:kern w:val="0"/>
          <w:sz w:val="30"/>
          <w:szCs w:val="30"/>
          <w:lang w:eastAsia="it-IT"/>
          <w14:ligatures w14:val="none"/>
        </w:rPr>
        <w:t>multis</w:t>
      </w:r>
      <w:proofErr w:type="spellEnd"/>
      <w:r w:rsidRPr="00A651A1">
        <w:rPr>
          <w:rFonts w:ascii="Arial" w:eastAsia="Times New Roman" w:hAnsi="Arial" w:cs="Arial"/>
          <w:i/>
          <w:iCs/>
          <w:color w:val="000000"/>
          <w:kern w:val="0"/>
          <w:sz w:val="30"/>
          <w:szCs w:val="30"/>
          <w:lang w:eastAsia="it-IT"/>
          <w14:ligatures w14:val="none"/>
        </w:rPr>
        <w:t xml:space="preserve">, Cons. Stato, Ad. </w:t>
      </w:r>
      <w:proofErr w:type="spellStart"/>
      <w:r w:rsidRPr="00A651A1">
        <w:rPr>
          <w:rFonts w:ascii="Arial" w:eastAsia="Times New Roman" w:hAnsi="Arial" w:cs="Arial"/>
          <w:i/>
          <w:iCs/>
          <w:color w:val="000000"/>
          <w:kern w:val="0"/>
          <w:sz w:val="30"/>
          <w:szCs w:val="30"/>
          <w:lang w:eastAsia="it-IT"/>
          <w14:ligatures w14:val="none"/>
        </w:rPr>
        <w:t>Plen</w:t>
      </w:r>
      <w:proofErr w:type="spellEnd"/>
      <w:r w:rsidRPr="00A651A1">
        <w:rPr>
          <w:rFonts w:ascii="Arial" w:eastAsia="Times New Roman" w:hAnsi="Arial" w:cs="Arial"/>
          <w:i/>
          <w:iCs/>
          <w:color w:val="000000"/>
          <w:kern w:val="0"/>
          <w:sz w:val="30"/>
          <w:szCs w:val="30"/>
          <w:lang w:eastAsia="it-IT"/>
          <w14:ligatures w14:val="none"/>
        </w:rPr>
        <w:t>., 3 giugno 2011, n. 10, sulla legittimazione ad agire contro atti lesivi dell’interesse istituzionale della categoria; id., sez.VI, 18 aprile 2012, n. 2208; id., sez. V, 23 febbraio 2015, n. 883; id., sez. V, 12 agosto 2011, n. 4776; V, 18 dicembre 2009, n. 8404), con il solo limite derivante dal divieto di occuparsi di questioni relative ad attività non soggette alla disciplina o potestà degli ordini medesimi.</w:t>
      </w:r>
      <w:r w:rsidRPr="00A651A1">
        <w:rPr>
          <w:rFonts w:ascii="Arial" w:eastAsia="Times New Roman" w:hAnsi="Arial" w:cs="Arial"/>
          <w:color w:val="000000"/>
          <w:kern w:val="0"/>
          <w:sz w:val="30"/>
          <w:szCs w:val="30"/>
          <w:lang w:eastAsia="it-IT"/>
          <w14:ligatures w14:val="none"/>
        </w:rPr>
        <w:t>” (</w:t>
      </w:r>
      <w:r w:rsidRPr="00A651A1">
        <w:rPr>
          <w:rFonts w:ascii="Arial" w:eastAsia="Times New Roman" w:hAnsi="Arial" w:cs="Arial"/>
          <w:i/>
          <w:iCs/>
          <w:color w:val="000000"/>
          <w:kern w:val="0"/>
          <w:sz w:val="30"/>
          <w:szCs w:val="30"/>
          <w:lang w:eastAsia="it-IT"/>
          <w14:ligatures w14:val="none"/>
        </w:rPr>
        <w:t xml:space="preserve">ex </w:t>
      </w:r>
      <w:proofErr w:type="spellStart"/>
      <w:r w:rsidRPr="00A651A1">
        <w:rPr>
          <w:rFonts w:ascii="Arial" w:eastAsia="Times New Roman" w:hAnsi="Arial" w:cs="Arial"/>
          <w:i/>
          <w:iCs/>
          <w:color w:val="000000"/>
          <w:kern w:val="0"/>
          <w:sz w:val="30"/>
          <w:szCs w:val="30"/>
          <w:lang w:eastAsia="it-IT"/>
          <w14:ligatures w14:val="none"/>
        </w:rPr>
        <w:t>multis</w:t>
      </w:r>
      <w:proofErr w:type="spellEnd"/>
      <w:r w:rsidRPr="00A651A1">
        <w:rPr>
          <w:rFonts w:ascii="Arial" w:eastAsia="Times New Roman" w:hAnsi="Arial" w:cs="Arial"/>
          <w:color w:val="000000"/>
          <w:kern w:val="0"/>
          <w:sz w:val="30"/>
          <w:szCs w:val="30"/>
          <w:lang w:eastAsia="it-IT"/>
          <w14:ligatures w14:val="none"/>
        </w:rPr>
        <w:t>, T.A.R. Campania, Sez. I, 18.02.2022, n. 1114; cfr. T.A.R. Lombardia, Sez. III, 15.09.2025, n. 2941).</w:t>
      </w:r>
    </w:p>
    <w:p w14:paraId="4E7944AF"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46AA"/>
          <w:kern w:val="0"/>
          <w:sz w:val="30"/>
          <w:szCs w:val="30"/>
          <w:lang w:eastAsia="it-IT"/>
          <w14:ligatures w14:val="none"/>
        </w:rPr>
        <w:lastRenderedPageBreak/>
        <w:t>Applicando le coordinate ermeneutiche al caso di specie, va osservato che la Federazione agisce quale ente esponenziale, a tutela di un interesse proprio e della categoria degli iscritti, che si sostanzia nella salvaguardia dei professionisti e nella tutela del corretto esercizio dell’arte medica, stante il potere – dovere degli ordini professionali, di cui è espressione la Federazione, di verificare la sussistenza di un’adeguata formazione e competenza dei propri iscritti (cfr. Cons. Stato, Sez. VI, 16 marzo 2012, n. 1478).</w:t>
      </w:r>
    </w:p>
    <w:p w14:paraId="1D4CC76A"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46AA"/>
          <w:kern w:val="0"/>
          <w:sz w:val="30"/>
          <w:szCs w:val="30"/>
          <w:lang w:eastAsia="it-IT"/>
          <w14:ligatures w14:val="none"/>
        </w:rPr>
        <w:t>Ne deriva la sussistenza della legittimazione ad agire.</w:t>
      </w:r>
    </w:p>
    <w:p w14:paraId="258AFF2E"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Quanto all’interesse al ricorso, la Federazione lamenta la lesività della deliberazione impugnata rispetto alle posizioni sostanziali di cui si afferma titolare.</w:t>
      </w:r>
    </w:p>
    <w:p w14:paraId="606C6119"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In particolare, il provvedimento gravato autorizzerebbe la concorrenza di professionisti sanitari in assenza di iscrizione o, comunque, di qualsivoglia comunicazione all’ordine dei medici, determinando – in tesi – una disparità di trattamento rispetto ai professionisti iscritti ed esporrebbe la collettività all’esercizio dell’arte medica da parte di soggetti potenzialmente non qualificati, difettando una verifica sostanziale sulla loro capacità tecnica, coerente con le previsioni della disciplina legislativa generale di riferimento.</w:t>
      </w:r>
    </w:p>
    <w:p w14:paraId="38D5F0AC"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La situazione dedotta esprime la titolarità di un interesse concreto ed attuale, suscettibile di essere pregiudicato dal provvedimento impugnato e, come tale, idoneo a fondare l’interesse a ricorrere.</w:t>
      </w:r>
    </w:p>
    <w:p w14:paraId="027EC23E"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Va, pertanto, ribadita l’infondatezza delle eccezioni proposte.</w:t>
      </w:r>
    </w:p>
    <w:p w14:paraId="53EE6A23"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10. Dopo di che, va innanzitutto delimitato l’oggetto del giudizio, anche tenuto conto dell’eccezione di irricevibilità sollevata dall’ASREM.</w:t>
      </w:r>
    </w:p>
    <w:p w14:paraId="7C6AA199"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lastRenderedPageBreak/>
        <w:t>10.1. Il ricorso è stato notificato il 25.03.2026, così risultando tempestivamente proposto avverso:</w:t>
      </w:r>
    </w:p>
    <w:p w14:paraId="21C6561B"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 xml:space="preserve">- alla D.D.G. ASREM n. 120 del 27.01.2026, adottata sotto la vigenza dell’art. 15 del </w:t>
      </w:r>
      <w:proofErr w:type="spellStart"/>
      <w:r w:rsidRPr="00A651A1">
        <w:rPr>
          <w:rFonts w:ascii="Arial" w:eastAsia="Times New Roman" w:hAnsi="Arial" w:cs="Arial"/>
          <w:color w:val="000000"/>
          <w:kern w:val="0"/>
          <w:sz w:val="30"/>
          <w:szCs w:val="30"/>
          <w:lang w:eastAsia="it-IT"/>
          <w14:ligatures w14:val="none"/>
        </w:rPr>
        <w:t>d.l.</w:t>
      </w:r>
      <w:proofErr w:type="spellEnd"/>
      <w:r w:rsidRPr="00A651A1">
        <w:rPr>
          <w:rFonts w:ascii="Arial" w:eastAsia="Times New Roman" w:hAnsi="Arial" w:cs="Arial"/>
          <w:color w:val="000000"/>
          <w:kern w:val="0"/>
          <w:sz w:val="30"/>
          <w:szCs w:val="30"/>
          <w:lang w:eastAsia="it-IT"/>
          <w14:ligatures w14:val="none"/>
        </w:rPr>
        <w:t xml:space="preserve"> 34/2023 (</w:t>
      </w:r>
      <w:proofErr w:type="spellStart"/>
      <w:r w:rsidRPr="00A651A1">
        <w:rPr>
          <w:rFonts w:ascii="Arial" w:eastAsia="Times New Roman" w:hAnsi="Arial" w:cs="Arial"/>
          <w:color w:val="000000"/>
          <w:kern w:val="0"/>
          <w:sz w:val="30"/>
          <w:szCs w:val="30"/>
          <w:lang w:eastAsia="it-IT"/>
          <w14:ligatures w14:val="none"/>
        </w:rPr>
        <w:t>conv</w:t>
      </w:r>
      <w:proofErr w:type="spellEnd"/>
      <w:r w:rsidRPr="00A651A1">
        <w:rPr>
          <w:rFonts w:ascii="Arial" w:eastAsia="Times New Roman" w:hAnsi="Arial" w:cs="Arial"/>
          <w:color w:val="000000"/>
          <w:kern w:val="0"/>
          <w:sz w:val="30"/>
          <w:szCs w:val="30"/>
          <w:lang w:eastAsia="it-IT"/>
          <w14:ligatures w14:val="none"/>
        </w:rPr>
        <w:t>. in legge n. 187/2024) che aveva prorogato già il termine per l’esercizio temporaneo delle qualifiche sanitarie in deroga alle norme sul riconoscimento alla data del 31 dicembre 2027;</w:t>
      </w:r>
    </w:p>
    <w:p w14:paraId="50E21676"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 xml:space="preserve">- al D.C.A. n. 21 del 9.02.2026, con il quale la </w:t>
      </w:r>
      <w:proofErr w:type="gramStart"/>
      <w:r w:rsidRPr="00A651A1">
        <w:rPr>
          <w:rFonts w:ascii="Arial" w:eastAsia="Times New Roman" w:hAnsi="Arial" w:cs="Arial"/>
          <w:color w:val="000000"/>
          <w:kern w:val="0"/>
          <w:sz w:val="30"/>
          <w:szCs w:val="30"/>
          <w:lang w:eastAsia="it-IT"/>
          <w14:ligatures w14:val="none"/>
        </w:rPr>
        <w:t>predetta</w:t>
      </w:r>
      <w:proofErr w:type="gramEnd"/>
      <w:r w:rsidRPr="00A651A1">
        <w:rPr>
          <w:rFonts w:ascii="Arial" w:eastAsia="Times New Roman" w:hAnsi="Arial" w:cs="Arial"/>
          <w:color w:val="000000"/>
          <w:kern w:val="0"/>
          <w:sz w:val="30"/>
          <w:szCs w:val="30"/>
          <w:lang w:eastAsia="it-IT"/>
          <w14:ligatures w14:val="none"/>
        </w:rPr>
        <w:t xml:space="preserve"> possibilità di esercizio temporaneo in deroga alle norme sul riconoscimento è stata prorogata poi al 31.12.2029.</w:t>
      </w:r>
    </w:p>
    <w:p w14:paraId="0C847FBE"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Occorre tuttavia svolgere alcune precisazioni.</w:t>
      </w:r>
    </w:p>
    <w:p w14:paraId="52254B74"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10.2. La D.D.G. ASREM n. 120 del 27.01.2026 è stata adottata in attuazione di provvedimenti amministrativi precedenti al D.C.A. n. 21/2026, contribuendo a delineare un assetto amministrativo che, essendosi ormai consolidato, esula dall’odierna impugnativa (ci si riferisce all’esercizio temporaneo delle qualifiche sanitarie in deroga alle norme sul riconoscimento fino alla data del 31.12.2027).</w:t>
      </w:r>
    </w:p>
    <w:p w14:paraId="7BCC7A27"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 xml:space="preserve">Si deve, infatti, registrare come l’esercizio temporaneo delle qualifiche sanitarie in deroga alle norme sul riconoscimento, fino alla data del 31.12.2027, è stato abilitato dai DD.CC.AA. n. 140/2024 e 55/2025 (adottati ex art. 15 del </w:t>
      </w:r>
      <w:proofErr w:type="spellStart"/>
      <w:r w:rsidRPr="00A651A1">
        <w:rPr>
          <w:rFonts w:ascii="Arial" w:eastAsia="Times New Roman" w:hAnsi="Arial" w:cs="Arial"/>
          <w:color w:val="000000"/>
          <w:kern w:val="0"/>
          <w:sz w:val="30"/>
          <w:szCs w:val="30"/>
          <w:lang w:eastAsia="it-IT"/>
          <w14:ligatures w14:val="none"/>
        </w:rPr>
        <w:t>d.l.</w:t>
      </w:r>
      <w:proofErr w:type="spellEnd"/>
      <w:r w:rsidRPr="00A651A1">
        <w:rPr>
          <w:rFonts w:ascii="Arial" w:eastAsia="Times New Roman" w:hAnsi="Arial" w:cs="Arial"/>
          <w:color w:val="000000"/>
          <w:kern w:val="0"/>
          <w:sz w:val="30"/>
          <w:szCs w:val="30"/>
          <w:lang w:eastAsia="it-IT"/>
          <w14:ligatures w14:val="none"/>
        </w:rPr>
        <w:t xml:space="preserve"> 34/2023, </w:t>
      </w:r>
      <w:proofErr w:type="spellStart"/>
      <w:r w:rsidRPr="00A651A1">
        <w:rPr>
          <w:rFonts w:ascii="Arial" w:eastAsia="Times New Roman" w:hAnsi="Arial" w:cs="Arial"/>
          <w:color w:val="000000"/>
          <w:kern w:val="0"/>
          <w:sz w:val="30"/>
          <w:szCs w:val="30"/>
          <w:lang w:eastAsia="it-IT"/>
          <w14:ligatures w14:val="none"/>
        </w:rPr>
        <w:t>conv</w:t>
      </w:r>
      <w:proofErr w:type="spellEnd"/>
      <w:r w:rsidRPr="00A651A1">
        <w:rPr>
          <w:rFonts w:ascii="Arial" w:eastAsia="Times New Roman" w:hAnsi="Arial" w:cs="Arial"/>
          <w:color w:val="000000"/>
          <w:kern w:val="0"/>
          <w:sz w:val="30"/>
          <w:szCs w:val="30"/>
          <w:lang w:eastAsia="it-IT"/>
          <w14:ligatures w14:val="none"/>
        </w:rPr>
        <w:t>. in legge n. 187/2024), i quali non sono stati a suo tempo impugnati, se non con riguardo agli effetti che ancora produrranno dal 31.12.2027 al 31.12.2029 in forza della proroga disposta dal D.C.A. n. 21 del 9.02.2026.</w:t>
      </w:r>
    </w:p>
    <w:p w14:paraId="6E772247"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 xml:space="preserve">Il </w:t>
      </w:r>
      <w:proofErr w:type="spellStart"/>
      <w:r w:rsidRPr="00A651A1">
        <w:rPr>
          <w:rFonts w:ascii="Arial" w:eastAsia="Times New Roman" w:hAnsi="Arial" w:cs="Arial"/>
          <w:i/>
          <w:iCs/>
          <w:color w:val="000000"/>
          <w:kern w:val="0"/>
          <w:sz w:val="30"/>
          <w:szCs w:val="30"/>
          <w:lang w:eastAsia="it-IT"/>
          <w14:ligatures w14:val="none"/>
        </w:rPr>
        <w:t>thema</w:t>
      </w:r>
      <w:proofErr w:type="spellEnd"/>
      <w:r w:rsidRPr="00A651A1">
        <w:rPr>
          <w:rFonts w:ascii="Arial" w:eastAsia="Times New Roman" w:hAnsi="Arial" w:cs="Arial"/>
          <w:i/>
          <w:iCs/>
          <w:color w:val="000000"/>
          <w:kern w:val="0"/>
          <w:sz w:val="30"/>
          <w:szCs w:val="30"/>
          <w:lang w:eastAsia="it-IT"/>
          <w14:ligatures w14:val="none"/>
        </w:rPr>
        <w:t xml:space="preserve"> </w:t>
      </w:r>
      <w:proofErr w:type="spellStart"/>
      <w:r w:rsidRPr="00A651A1">
        <w:rPr>
          <w:rFonts w:ascii="Arial" w:eastAsia="Times New Roman" w:hAnsi="Arial" w:cs="Arial"/>
          <w:i/>
          <w:iCs/>
          <w:color w:val="000000"/>
          <w:kern w:val="0"/>
          <w:sz w:val="30"/>
          <w:szCs w:val="30"/>
          <w:lang w:eastAsia="it-IT"/>
          <w14:ligatures w14:val="none"/>
        </w:rPr>
        <w:t>decidendum</w:t>
      </w:r>
      <w:proofErr w:type="spellEnd"/>
      <w:r w:rsidRPr="00A651A1">
        <w:rPr>
          <w:rFonts w:ascii="Arial" w:eastAsia="Times New Roman" w:hAnsi="Arial" w:cs="Arial"/>
          <w:color w:val="000000"/>
          <w:kern w:val="0"/>
          <w:sz w:val="30"/>
          <w:szCs w:val="30"/>
          <w:lang w:eastAsia="it-IT"/>
          <w14:ligatures w14:val="none"/>
        </w:rPr>
        <w:t xml:space="preserve"> deve essere pertanto correttamente delimitato nella sola azione amministrativa relativa all’esercizio delle professioni sanitarie </w:t>
      </w:r>
      <w:r w:rsidRPr="00A651A1">
        <w:rPr>
          <w:rFonts w:ascii="Arial" w:eastAsia="Times New Roman" w:hAnsi="Arial" w:cs="Arial"/>
          <w:i/>
          <w:iCs/>
          <w:color w:val="000000"/>
          <w:kern w:val="0"/>
          <w:sz w:val="30"/>
          <w:szCs w:val="30"/>
          <w:lang w:eastAsia="it-IT"/>
          <w14:ligatures w14:val="none"/>
        </w:rPr>
        <w:lastRenderedPageBreak/>
        <w:t xml:space="preserve">de </w:t>
      </w:r>
      <w:proofErr w:type="spellStart"/>
      <w:r w:rsidRPr="00A651A1">
        <w:rPr>
          <w:rFonts w:ascii="Arial" w:eastAsia="Times New Roman" w:hAnsi="Arial" w:cs="Arial"/>
          <w:i/>
          <w:iCs/>
          <w:color w:val="000000"/>
          <w:kern w:val="0"/>
          <w:sz w:val="30"/>
          <w:szCs w:val="30"/>
          <w:lang w:eastAsia="it-IT"/>
          <w14:ligatures w14:val="none"/>
        </w:rPr>
        <w:t>quibus</w:t>
      </w:r>
      <w:proofErr w:type="spellEnd"/>
      <w:r w:rsidRPr="00A651A1">
        <w:rPr>
          <w:rFonts w:ascii="Arial" w:eastAsia="Times New Roman" w:hAnsi="Arial" w:cs="Arial"/>
          <w:color w:val="000000"/>
          <w:kern w:val="0"/>
          <w:sz w:val="30"/>
          <w:szCs w:val="30"/>
          <w:lang w:eastAsia="it-IT"/>
          <w14:ligatures w14:val="none"/>
        </w:rPr>
        <w:t xml:space="preserve"> per come prorogato dal 31.12.2027 al 31.12.2029: ne resta, quindi, estranea l’attività espletata fino al 31.12.2027.</w:t>
      </w:r>
    </w:p>
    <w:p w14:paraId="6B6ADE39"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10.3. Con l’impugnazione del D.C.A. n. 21 del 9.02.2026, infatti, le odierne ricorrenti hanno tempestivamente contestato l’azione amministrativa attuativa della proroga legislativa che ha fissato la nuova scadenza alla data del 31.12.2029 (con l’art. 1, comma 939, della legge n. 199 del 30.12.2025).</w:t>
      </w:r>
    </w:p>
    <w:p w14:paraId="7DDC2837"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 xml:space="preserve">Il ricorso, invece, non può contestare l’esercizio delle professioni </w:t>
      </w:r>
      <w:r w:rsidRPr="00A651A1">
        <w:rPr>
          <w:rFonts w:ascii="Arial" w:eastAsia="Times New Roman" w:hAnsi="Arial" w:cs="Arial"/>
          <w:i/>
          <w:iCs/>
          <w:color w:val="000000"/>
          <w:kern w:val="0"/>
          <w:sz w:val="30"/>
          <w:szCs w:val="30"/>
          <w:lang w:eastAsia="it-IT"/>
          <w14:ligatures w14:val="none"/>
        </w:rPr>
        <w:t xml:space="preserve">de </w:t>
      </w:r>
      <w:proofErr w:type="spellStart"/>
      <w:r w:rsidRPr="00A651A1">
        <w:rPr>
          <w:rFonts w:ascii="Arial" w:eastAsia="Times New Roman" w:hAnsi="Arial" w:cs="Arial"/>
          <w:i/>
          <w:iCs/>
          <w:color w:val="000000"/>
          <w:kern w:val="0"/>
          <w:sz w:val="30"/>
          <w:szCs w:val="30"/>
          <w:lang w:eastAsia="it-IT"/>
          <w14:ligatures w14:val="none"/>
        </w:rPr>
        <w:t>quibus</w:t>
      </w:r>
      <w:proofErr w:type="spellEnd"/>
      <w:r w:rsidRPr="00A651A1">
        <w:rPr>
          <w:rFonts w:ascii="Arial" w:eastAsia="Times New Roman" w:hAnsi="Arial" w:cs="Arial"/>
          <w:color w:val="000000"/>
          <w:kern w:val="0"/>
          <w:sz w:val="30"/>
          <w:szCs w:val="30"/>
          <w:lang w:eastAsia="it-IT"/>
          <w14:ligatures w14:val="none"/>
        </w:rPr>
        <w:t xml:space="preserve"> fino al 31.12.2027, a tale scopo non essendo sufficiente la sola impugnazione della D.D.G. ASREM n. 120 del 27.01.2026.</w:t>
      </w:r>
    </w:p>
    <w:p w14:paraId="01FFBB66"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 xml:space="preserve">Al contrario di quanto sostenuto dalla difesa ricorrente nella sua replica, infatti, la lesività dell’azione amministrativa - quella relativa alle autorizzazioni rilasciate sotto la proroga fissata al 31.12.2027- risiedeva già nei DD.CC.AA. che per primi hanno recepito la delega legislativa di cui sopra si è detto (come quella contenuta nell’art. 15 del </w:t>
      </w:r>
      <w:proofErr w:type="spellStart"/>
      <w:r w:rsidRPr="00A651A1">
        <w:rPr>
          <w:rFonts w:ascii="Arial" w:eastAsia="Times New Roman" w:hAnsi="Arial" w:cs="Arial"/>
          <w:color w:val="000000"/>
          <w:kern w:val="0"/>
          <w:sz w:val="30"/>
          <w:szCs w:val="30"/>
          <w:lang w:eastAsia="it-IT"/>
          <w14:ligatures w14:val="none"/>
        </w:rPr>
        <w:t>d.l.</w:t>
      </w:r>
      <w:proofErr w:type="spellEnd"/>
      <w:r w:rsidRPr="00A651A1">
        <w:rPr>
          <w:rFonts w:ascii="Arial" w:eastAsia="Times New Roman" w:hAnsi="Arial" w:cs="Arial"/>
          <w:color w:val="000000"/>
          <w:kern w:val="0"/>
          <w:sz w:val="30"/>
          <w:szCs w:val="30"/>
          <w:lang w:eastAsia="it-IT"/>
          <w14:ligatures w14:val="none"/>
        </w:rPr>
        <w:t xml:space="preserve"> 34/2023, </w:t>
      </w:r>
      <w:proofErr w:type="spellStart"/>
      <w:r w:rsidRPr="00A651A1">
        <w:rPr>
          <w:rFonts w:ascii="Arial" w:eastAsia="Times New Roman" w:hAnsi="Arial" w:cs="Arial"/>
          <w:color w:val="000000"/>
          <w:kern w:val="0"/>
          <w:sz w:val="30"/>
          <w:szCs w:val="30"/>
          <w:lang w:eastAsia="it-IT"/>
          <w14:ligatures w14:val="none"/>
        </w:rPr>
        <w:t>conv</w:t>
      </w:r>
      <w:proofErr w:type="spellEnd"/>
      <w:r w:rsidRPr="00A651A1">
        <w:rPr>
          <w:rFonts w:ascii="Arial" w:eastAsia="Times New Roman" w:hAnsi="Arial" w:cs="Arial"/>
          <w:color w:val="000000"/>
          <w:kern w:val="0"/>
          <w:sz w:val="30"/>
          <w:szCs w:val="30"/>
          <w:lang w:eastAsia="it-IT"/>
          <w14:ligatures w14:val="none"/>
        </w:rPr>
        <w:t>. in legge n. 187/2024): è con queste determinazioni che la Regione Molise ha dato avvio all’esercizio temporaneo delle qualifiche sanitarie in deroga alle norme sul riconoscimento valido fino al 31.12.2027.</w:t>
      </w:r>
    </w:p>
    <w:p w14:paraId="4AC4DD72"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E l’impugnazione della proroga non consente di rimettere in discussione l’assetto già consolidatosi.</w:t>
      </w:r>
    </w:p>
    <w:p w14:paraId="7D702A64"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Ciò che il ricorso può avversare attiene, invece, solo alla riconferma che il precedente assetto trova per il futuro in dipendenza della proroga: nel caso di specie per gli effetti destinati a prodursi dal 31.12.2027 al 31.12.2029.</w:t>
      </w:r>
    </w:p>
    <w:p w14:paraId="53173636"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 xml:space="preserve">10.4. In definitiva, la presente impugnativa riguarda il solo esercizio temporaneo dell’attività lavorativa in deroga, consentito in attuazione della proroga disposta dal D.C.A. n. 21 del 9.02.2026 dal 31.12.2027 al </w:t>
      </w:r>
      <w:r w:rsidRPr="00A651A1">
        <w:rPr>
          <w:rFonts w:ascii="Arial" w:eastAsia="Times New Roman" w:hAnsi="Arial" w:cs="Arial"/>
          <w:color w:val="000000"/>
          <w:kern w:val="0"/>
          <w:sz w:val="30"/>
          <w:szCs w:val="30"/>
          <w:lang w:eastAsia="it-IT"/>
          <w14:ligatures w14:val="none"/>
        </w:rPr>
        <w:lastRenderedPageBreak/>
        <w:t>31.12.2029 (in recepimento della proroga prevista dall’art. 1, comma 939, della legge n. 199 del 30.12.2025).</w:t>
      </w:r>
    </w:p>
    <w:p w14:paraId="3C87A76F"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 xml:space="preserve">11. Così delimitato il </w:t>
      </w:r>
      <w:proofErr w:type="spellStart"/>
      <w:r w:rsidRPr="00A651A1">
        <w:rPr>
          <w:rFonts w:ascii="Arial" w:eastAsia="Times New Roman" w:hAnsi="Arial" w:cs="Arial"/>
          <w:i/>
          <w:iCs/>
          <w:color w:val="000000"/>
          <w:kern w:val="0"/>
          <w:sz w:val="30"/>
          <w:szCs w:val="30"/>
          <w:lang w:eastAsia="it-IT"/>
          <w14:ligatures w14:val="none"/>
        </w:rPr>
        <w:t>thema</w:t>
      </w:r>
      <w:proofErr w:type="spellEnd"/>
      <w:r w:rsidRPr="00A651A1">
        <w:rPr>
          <w:rFonts w:ascii="Arial" w:eastAsia="Times New Roman" w:hAnsi="Arial" w:cs="Arial"/>
          <w:i/>
          <w:iCs/>
          <w:color w:val="000000"/>
          <w:kern w:val="0"/>
          <w:sz w:val="30"/>
          <w:szCs w:val="30"/>
          <w:lang w:eastAsia="it-IT"/>
          <w14:ligatures w14:val="none"/>
        </w:rPr>
        <w:t xml:space="preserve"> </w:t>
      </w:r>
      <w:proofErr w:type="spellStart"/>
      <w:r w:rsidRPr="00A651A1">
        <w:rPr>
          <w:rFonts w:ascii="Arial" w:eastAsia="Times New Roman" w:hAnsi="Arial" w:cs="Arial"/>
          <w:i/>
          <w:iCs/>
          <w:color w:val="000000"/>
          <w:kern w:val="0"/>
          <w:sz w:val="30"/>
          <w:szCs w:val="30"/>
          <w:lang w:eastAsia="it-IT"/>
          <w14:ligatures w14:val="none"/>
        </w:rPr>
        <w:t>decidendum</w:t>
      </w:r>
      <w:proofErr w:type="spellEnd"/>
      <w:r w:rsidRPr="00A651A1">
        <w:rPr>
          <w:rFonts w:ascii="Arial" w:eastAsia="Times New Roman" w:hAnsi="Arial" w:cs="Arial"/>
          <w:color w:val="000000"/>
          <w:kern w:val="0"/>
          <w:sz w:val="30"/>
          <w:szCs w:val="30"/>
          <w:lang w:eastAsia="it-IT"/>
          <w14:ligatures w14:val="none"/>
        </w:rPr>
        <w:t>, il ricorso è fondato nei limiti di seguito indicati.</w:t>
      </w:r>
    </w:p>
    <w:p w14:paraId="3B2F23CB"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 xml:space="preserve">11.1. Le determinazioni gravate sono state adottate in forza, oltre che dell’art. 1, comma 939, della legge n. 199/2025, anche e soprattutto dell’art. 15 del </w:t>
      </w:r>
      <w:proofErr w:type="spellStart"/>
      <w:r w:rsidRPr="00A651A1">
        <w:rPr>
          <w:rFonts w:ascii="Arial" w:eastAsia="Times New Roman" w:hAnsi="Arial" w:cs="Arial"/>
          <w:color w:val="000000"/>
          <w:kern w:val="0"/>
          <w:sz w:val="30"/>
          <w:szCs w:val="30"/>
          <w:lang w:eastAsia="it-IT"/>
          <w14:ligatures w14:val="none"/>
        </w:rPr>
        <w:t>d.l.</w:t>
      </w:r>
      <w:proofErr w:type="spellEnd"/>
      <w:r w:rsidRPr="00A651A1">
        <w:rPr>
          <w:rFonts w:ascii="Arial" w:eastAsia="Times New Roman" w:hAnsi="Arial" w:cs="Arial"/>
          <w:color w:val="000000"/>
          <w:kern w:val="0"/>
          <w:sz w:val="30"/>
          <w:szCs w:val="30"/>
          <w:lang w:eastAsia="it-IT"/>
          <w14:ligatures w14:val="none"/>
        </w:rPr>
        <w:t xml:space="preserve"> n. 34/2023, che, come già evidenziato, ha conservato la </w:t>
      </w:r>
      <w:r w:rsidRPr="00A651A1">
        <w:rPr>
          <w:rFonts w:ascii="Arial" w:eastAsia="Times New Roman" w:hAnsi="Arial" w:cs="Arial"/>
          <w:i/>
          <w:iCs/>
          <w:color w:val="000000"/>
          <w:kern w:val="0"/>
          <w:sz w:val="30"/>
          <w:szCs w:val="30"/>
          <w:lang w:eastAsia="it-IT"/>
          <w14:ligatures w14:val="none"/>
        </w:rPr>
        <w:t>ratio</w:t>
      </w:r>
      <w:r w:rsidRPr="00A651A1">
        <w:rPr>
          <w:rFonts w:ascii="Arial" w:eastAsia="Times New Roman" w:hAnsi="Arial" w:cs="Arial"/>
          <w:color w:val="000000"/>
          <w:kern w:val="0"/>
          <w:sz w:val="30"/>
          <w:szCs w:val="30"/>
          <w:lang w:eastAsia="it-IT"/>
          <w14:ligatures w14:val="none"/>
        </w:rPr>
        <w:t xml:space="preserve"> della disciplina derogatoria introdotta nel 2021, consistente nella necessità di far fronte a gravi carenze di organico in ambito sanitario.</w:t>
      </w:r>
    </w:p>
    <w:p w14:paraId="1A7CEDC0"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La novella si differenzia dalle precedenti normative derogatorie, perché prevede che il più celere inserimento nel mondo del lavoro dei professionisti sanitari, titolari di una qualifica conseguita all’estero, avvenga sulla base di una disciplina di dettaglio riservata ad un’intesa tra Stato e Regioni e alla successiva disciplina regionale attuativa.</w:t>
      </w:r>
    </w:p>
    <w:p w14:paraId="45B9B1C5"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 xml:space="preserve">Si tratta, pertanto, di chiarire, quale sia la portata derogatoria dell’art. 15, al fine di stabilire se la norma legittimi la deroga alle previsioni procedimentali dettate dal </w:t>
      </w:r>
      <w:proofErr w:type="spellStart"/>
      <w:r w:rsidRPr="00A651A1">
        <w:rPr>
          <w:rFonts w:ascii="Arial" w:eastAsia="Times New Roman" w:hAnsi="Arial" w:cs="Arial"/>
          <w:color w:val="000000"/>
          <w:kern w:val="0"/>
          <w:sz w:val="30"/>
          <w:szCs w:val="30"/>
          <w:lang w:eastAsia="it-IT"/>
          <w14:ligatures w14:val="none"/>
        </w:rPr>
        <w:t>d.lgs</w:t>
      </w:r>
      <w:proofErr w:type="spellEnd"/>
      <w:r w:rsidRPr="00A651A1">
        <w:rPr>
          <w:rFonts w:ascii="Arial" w:eastAsia="Times New Roman" w:hAnsi="Arial" w:cs="Arial"/>
          <w:color w:val="000000"/>
          <w:kern w:val="0"/>
          <w:sz w:val="30"/>
          <w:szCs w:val="30"/>
          <w:lang w:eastAsia="it-IT"/>
          <w14:ligatures w14:val="none"/>
        </w:rPr>
        <w:t xml:space="preserve"> n. 206/2007, ovvero anche alle disposizioni sostanziali, funzionali cioè a garantire che il professionista, che chiede il riconoscimento della qualifica, sia dotato di adeguata competenza tecnica, rispetto al paradigma prescritto per i professionisti che hanno conseguito in Italia la relativa qualificazione.</w:t>
      </w:r>
    </w:p>
    <w:p w14:paraId="7FE5B64B"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 xml:space="preserve">L’indagine deve essere condotta tenendo presente la necessità di perseguire un’interpretazione costituzionalmente orientata dell’art. 15 del </w:t>
      </w:r>
      <w:proofErr w:type="spellStart"/>
      <w:r w:rsidRPr="00A651A1">
        <w:rPr>
          <w:rFonts w:ascii="Arial" w:eastAsia="Times New Roman" w:hAnsi="Arial" w:cs="Arial"/>
          <w:color w:val="000000"/>
          <w:kern w:val="0"/>
          <w:sz w:val="30"/>
          <w:szCs w:val="30"/>
          <w:lang w:eastAsia="it-IT"/>
          <w14:ligatures w14:val="none"/>
        </w:rPr>
        <w:t>d.l.</w:t>
      </w:r>
      <w:proofErr w:type="spellEnd"/>
      <w:r w:rsidRPr="00A651A1">
        <w:rPr>
          <w:rFonts w:ascii="Arial" w:eastAsia="Times New Roman" w:hAnsi="Arial" w:cs="Arial"/>
          <w:color w:val="000000"/>
          <w:kern w:val="0"/>
          <w:sz w:val="30"/>
          <w:szCs w:val="30"/>
          <w:lang w:eastAsia="it-IT"/>
          <w14:ligatures w14:val="none"/>
        </w:rPr>
        <w:t xml:space="preserve"> n. 34/2023, con particolare riferimento agli artt. 3 e 32 Cost. e con le esigenze fondamentali di tutela della salute e della parità di trattamento tra medici specialisti muniti di una qualifica specialistica conseguita in Italia e medici titolari di una qualifica conseguita all’estero.</w:t>
      </w:r>
    </w:p>
    <w:p w14:paraId="2A8F5262"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lastRenderedPageBreak/>
        <w:t xml:space="preserve">Esigenze che sarebbero inevitabilmente frustrate laddove si dovesse riferire la deroga al </w:t>
      </w:r>
      <w:proofErr w:type="spellStart"/>
      <w:r w:rsidRPr="00A651A1">
        <w:rPr>
          <w:rFonts w:ascii="Arial" w:eastAsia="Times New Roman" w:hAnsi="Arial" w:cs="Arial"/>
          <w:color w:val="000000"/>
          <w:kern w:val="0"/>
          <w:sz w:val="30"/>
          <w:szCs w:val="30"/>
          <w:lang w:eastAsia="it-IT"/>
          <w14:ligatures w14:val="none"/>
        </w:rPr>
        <w:t>d.lgs</w:t>
      </w:r>
      <w:proofErr w:type="spellEnd"/>
      <w:r w:rsidRPr="00A651A1">
        <w:rPr>
          <w:rFonts w:ascii="Arial" w:eastAsia="Times New Roman" w:hAnsi="Arial" w:cs="Arial"/>
          <w:color w:val="000000"/>
          <w:kern w:val="0"/>
          <w:sz w:val="30"/>
          <w:szCs w:val="30"/>
          <w:lang w:eastAsia="it-IT"/>
          <w14:ligatures w14:val="none"/>
        </w:rPr>
        <w:t xml:space="preserve"> 2007 n. 206 ai profili sostanziali di disciplina, funzionali ad assicurare la competenza del professionista che chiede il riconoscimento.</w:t>
      </w:r>
    </w:p>
    <w:p w14:paraId="57584C3F"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Del resto, è pacifico – e il profilo va considerato in ragione anche delle censure di illegittimità costituzionale sollevate dalla ricorrente – che “</w:t>
      </w:r>
      <w:r w:rsidRPr="00A651A1">
        <w:rPr>
          <w:rFonts w:ascii="Arial" w:eastAsia="Times New Roman" w:hAnsi="Arial" w:cs="Arial"/>
          <w:i/>
          <w:iCs/>
          <w:color w:val="000000"/>
          <w:kern w:val="0"/>
          <w:sz w:val="30"/>
          <w:szCs w:val="30"/>
          <w:lang w:eastAsia="it-IT"/>
          <w14:ligatures w14:val="none"/>
        </w:rPr>
        <w:t>le leggi non si dichiarano costituzionalmente illegittime perché è possibile darne interpretazioni incostituzionali … ma perché è impossibile darne interpretazioni costituzionali</w:t>
      </w:r>
      <w:r w:rsidRPr="00A651A1">
        <w:rPr>
          <w:rFonts w:ascii="Arial" w:eastAsia="Times New Roman" w:hAnsi="Arial" w:cs="Arial"/>
          <w:color w:val="000000"/>
          <w:kern w:val="0"/>
          <w:sz w:val="30"/>
          <w:szCs w:val="30"/>
          <w:lang w:eastAsia="it-IT"/>
          <w14:ligatures w14:val="none"/>
        </w:rPr>
        <w:t>” (cfr. Corte cost., sentenza 22 ottobre 1996 n. 356 e ordinanza 19 giugno 2019 n. 151; C.G.A.R.S., n. 209/2023, nello stesso senso TAR Milano, Sez. IV, 17 luglio 2025, n. 2698).</w:t>
      </w:r>
    </w:p>
    <w:p w14:paraId="7171F423"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L’art. 15 prevede l’esercizio temporaneo delle qualifiche sanitarie o sociosanitarie in deroga agli articoli 49 e 50 del regolamento di cui al decreto del Presidente della Repubblica 31 agosto 1999, n. 394, e alle disposizioni di cui al decreto legislativo 9 novembre 2007, n. 206, ma non specifica l’ambito della deroga.</w:t>
      </w:r>
    </w:p>
    <w:p w14:paraId="3BAFC818"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 xml:space="preserve">Il dato letterale deve essere interpretato in modo non atomistico, ma sistematico, alla luce del complessivo contenuto della disposizione, che, nel prevedere la deroga indicata, impone, </w:t>
      </w:r>
      <w:proofErr w:type="gramStart"/>
      <w:r w:rsidRPr="00A651A1">
        <w:rPr>
          <w:rFonts w:ascii="Arial" w:eastAsia="Times New Roman" w:hAnsi="Arial" w:cs="Arial"/>
          <w:color w:val="000000"/>
          <w:kern w:val="0"/>
          <w:sz w:val="30"/>
          <w:szCs w:val="30"/>
          <w:lang w:eastAsia="it-IT"/>
          <w14:ligatures w14:val="none"/>
        </w:rPr>
        <w:t>nel contempo</w:t>
      </w:r>
      <w:proofErr w:type="gramEnd"/>
      <w:r w:rsidRPr="00A651A1">
        <w:rPr>
          <w:rFonts w:ascii="Arial" w:eastAsia="Times New Roman" w:hAnsi="Arial" w:cs="Arial"/>
          <w:color w:val="000000"/>
          <w:kern w:val="0"/>
          <w:sz w:val="30"/>
          <w:szCs w:val="30"/>
          <w:lang w:eastAsia="it-IT"/>
          <w14:ligatures w14:val="none"/>
        </w:rPr>
        <w:t xml:space="preserve">, l’adozione di una disciplina di dettaglio in via amministrativa e, nelle more della sua adozione, rinvia alle previsioni degli artt. 6 bis </w:t>
      </w:r>
      <w:proofErr w:type="spellStart"/>
      <w:r w:rsidRPr="00A651A1">
        <w:rPr>
          <w:rFonts w:ascii="Arial" w:eastAsia="Times New Roman" w:hAnsi="Arial" w:cs="Arial"/>
          <w:color w:val="000000"/>
          <w:kern w:val="0"/>
          <w:sz w:val="30"/>
          <w:szCs w:val="30"/>
          <w:lang w:eastAsia="it-IT"/>
          <w14:ligatures w14:val="none"/>
        </w:rPr>
        <w:t>d.l.</w:t>
      </w:r>
      <w:proofErr w:type="spellEnd"/>
      <w:r w:rsidRPr="00A651A1">
        <w:rPr>
          <w:rFonts w:ascii="Arial" w:eastAsia="Times New Roman" w:hAnsi="Arial" w:cs="Arial"/>
          <w:color w:val="000000"/>
          <w:kern w:val="0"/>
          <w:sz w:val="30"/>
          <w:szCs w:val="30"/>
          <w:lang w:eastAsia="it-IT"/>
          <w14:ligatures w14:val="none"/>
        </w:rPr>
        <w:t xml:space="preserve"> 105/2021 e 13 </w:t>
      </w:r>
      <w:proofErr w:type="spellStart"/>
      <w:r w:rsidRPr="00A651A1">
        <w:rPr>
          <w:rFonts w:ascii="Arial" w:eastAsia="Times New Roman" w:hAnsi="Arial" w:cs="Arial"/>
          <w:color w:val="000000"/>
          <w:kern w:val="0"/>
          <w:sz w:val="30"/>
          <w:szCs w:val="30"/>
          <w:lang w:eastAsia="it-IT"/>
          <w14:ligatures w14:val="none"/>
        </w:rPr>
        <w:t>d.l.</w:t>
      </w:r>
      <w:proofErr w:type="spellEnd"/>
      <w:r w:rsidRPr="00A651A1">
        <w:rPr>
          <w:rFonts w:ascii="Arial" w:eastAsia="Times New Roman" w:hAnsi="Arial" w:cs="Arial"/>
          <w:color w:val="000000"/>
          <w:kern w:val="0"/>
          <w:sz w:val="30"/>
          <w:szCs w:val="30"/>
          <w:lang w:eastAsia="it-IT"/>
          <w14:ligatures w14:val="none"/>
        </w:rPr>
        <w:t xml:space="preserve"> 18/2020.</w:t>
      </w:r>
    </w:p>
    <w:p w14:paraId="619C116A"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 xml:space="preserve">Va ribadito che queste ultime disposizioni non comprendono alcuna prescrizione di natura sostanziale, volta a garantire la sussistenza di un’adeguata competenza tecnica in capo al professionista che intende esercitare in Italia, ma solo indicazioni di natura procedurale in ordine al formale procedimento di riconoscimento (presentazione di istanza </w:t>
      </w:r>
      <w:r w:rsidRPr="00A651A1">
        <w:rPr>
          <w:rFonts w:ascii="Arial" w:eastAsia="Times New Roman" w:hAnsi="Arial" w:cs="Arial"/>
          <w:color w:val="000000"/>
          <w:kern w:val="0"/>
          <w:sz w:val="30"/>
          <w:szCs w:val="30"/>
          <w:lang w:eastAsia="it-IT"/>
          <w14:ligatures w14:val="none"/>
        </w:rPr>
        <w:lastRenderedPageBreak/>
        <w:t>corredata di certificato di iscrizione all’albo, comunicazione all’Ordine competente l’ottenimento del riconoscimento in deroga e la denominazione della struttura presso il quale svolgerà l’attività professionale ecc.).</w:t>
      </w:r>
    </w:p>
    <w:p w14:paraId="3B550166"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46AA"/>
          <w:kern w:val="0"/>
          <w:sz w:val="30"/>
          <w:szCs w:val="30"/>
          <w:lang w:eastAsia="it-IT"/>
          <w14:ligatures w14:val="none"/>
        </w:rPr>
        <w:t>La considerazione del complessivo contenuto dell’art. 15 permette di circoscrivere la deroga al d.lgs. n. 206/2007 ai profili meramente procedurali del riconoscimento, senza estenderla agli aspetti sostanziali, attinenti al diverso ambito della verifica delle competenze.</w:t>
      </w:r>
    </w:p>
    <w:p w14:paraId="4723837D"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 xml:space="preserve">L’art. 15 non si occupa di aspetti sostanziali, ma, in coerenza con la ratio di consentire il celere riconoscimento di qualifiche mediche specialistiche, si limita a prevedere l’introduzione di una nuova disciplina in via amministrativa del riconoscimento, preoccupandosi di individuare quali procedure debbano applicarsi medio tempore e rinviando in tal senso agli artt. 6 bis </w:t>
      </w:r>
      <w:proofErr w:type="spellStart"/>
      <w:r w:rsidRPr="00A651A1">
        <w:rPr>
          <w:rFonts w:ascii="Arial" w:eastAsia="Times New Roman" w:hAnsi="Arial" w:cs="Arial"/>
          <w:color w:val="000000"/>
          <w:kern w:val="0"/>
          <w:sz w:val="30"/>
          <w:szCs w:val="30"/>
          <w:lang w:eastAsia="it-IT"/>
          <w14:ligatures w14:val="none"/>
        </w:rPr>
        <w:t>d.l.</w:t>
      </w:r>
      <w:proofErr w:type="spellEnd"/>
      <w:r w:rsidRPr="00A651A1">
        <w:rPr>
          <w:rFonts w:ascii="Arial" w:eastAsia="Times New Roman" w:hAnsi="Arial" w:cs="Arial"/>
          <w:color w:val="000000"/>
          <w:kern w:val="0"/>
          <w:sz w:val="30"/>
          <w:szCs w:val="30"/>
          <w:lang w:eastAsia="it-IT"/>
          <w14:ligatures w14:val="none"/>
        </w:rPr>
        <w:t xml:space="preserve"> 105/2021 e 13 </w:t>
      </w:r>
      <w:proofErr w:type="spellStart"/>
      <w:r w:rsidRPr="00A651A1">
        <w:rPr>
          <w:rFonts w:ascii="Arial" w:eastAsia="Times New Roman" w:hAnsi="Arial" w:cs="Arial"/>
          <w:color w:val="000000"/>
          <w:kern w:val="0"/>
          <w:sz w:val="30"/>
          <w:szCs w:val="30"/>
          <w:lang w:eastAsia="it-IT"/>
          <w14:ligatures w14:val="none"/>
        </w:rPr>
        <w:t>d.l.</w:t>
      </w:r>
      <w:proofErr w:type="spellEnd"/>
      <w:r w:rsidRPr="00A651A1">
        <w:rPr>
          <w:rFonts w:ascii="Arial" w:eastAsia="Times New Roman" w:hAnsi="Arial" w:cs="Arial"/>
          <w:color w:val="000000"/>
          <w:kern w:val="0"/>
          <w:sz w:val="30"/>
          <w:szCs w:val="30"/>
          <w:lang w:eastAsia="it-IT"/>
          <w14:ligatures w14:val="none"/>
        </w:rPr>
        <w:t xml:space="preserve"> 18/2020.</w:t>
      </w:r>
    </w:p>
    <w:p w14:paraId="38783FA8"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46AA"/>
          <w:kern w:val="0"/>
          <w:sz w:val="30"/>
          <w:szCs w:val="30"/>
          <w:lang w:eastAsia="it-IT"/>
          <w14:ligatures w14:val="none"/>
        </w:rPr>
        <w:t>Non vi sono elementi per ritenere che l’art. 15 consenta il riconoscimento di qualifiche sanitarie conseguite all’estero senza il rispetto delle garanzie sostanziali di adeguata competenza tecnica, già disciplinate a livello nazionale proprio dal d.l.gs n. 206/2007.</w:t>
      </w:r>
    </w:p>
    <w:p w14:paraId="782EE36C"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Anche il coordinamento con la disciplina eurounitaria concorre verso tale interpretazione, poiché, come già accennato, la direttiva 2005/36/CE sollecita gli Stati membri, che intendano riconoscere qualifiche professionali acquisite da un cittadino di un paese estraneo al territorio dell'Unione europea, a garantire il “</w:t>
      </w:r>
      <w:r w:rsidRPr="00A651A1">
        <w:rPr>
          <w:rFonts w:ascii="Arial" w:eastAsia="Times New Roman" w:hAnsi="Arial" w:cs="Arial"/>
          <w:i/>
          <w:iCs/>
          <w:color w:val="000000"/>
          <w:kern w:val="0"/>
          <w:sz w:val="30"/>
          <w:szCs w:val="30"/>
          <w:lang w:eastAsia="it-IT"/>
          <w14:ligatures w14:val="none"/>
        </w:rPr>
        <w:t>rispetto delle condizioni minime di formazione</w:t>
      </w:r>
      <w:r w:rsidRPr="00A651A1">
        <w:rPr>
          <w:rFonts w:ascii="Arial" w:eastAsia="Times New Roman" w:hAnsi="Arial" w:cs="Arial"/>
          <w:color w:val="000000"/>
          <w:kern w:val="0"/>
          <w:sz w:val="30"/>
          <w:szCs w:val="30"/>
          <w:lang w:eastAsia="it-IT"/>
          <w14:ligatures w14:val="none"/>
        </w:rPr>
        <w:t>” professionale.</w:t>
      </w:r>
    </w:p>
    <w:p w14:paraId="39D7ACCE"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46AA"/>
          <w:kern w:val="0"/>
          <w:sz w:val="30"/>
          <w:szCs w:val="30"/>
          <w:lang w:eastAsia="it-IT"/>
          <w14:ligatures w14:val="none"/>
        </w:rPr>
        <w:t xml:space="preserve">Ne discende che, secondo un’interpretazione sistematica e costituzionalmente orientata della norma, la deroga al d.lgs. n. 206/2007, </w:t>
      </w:r>
      <w:r w:rsidRPr="00A651A1">
        <w:rPr>
          <w:rFonts w:ascii="Arial" w:eastAsia="Times New Roman" w:hAnsi="Arial" w:cs="Arial"/>
          <w:color w:val="0046AA"/>
          <w:kern w:val="0"/>
          <w:sz w:val="30"/>
          <w:szCs w:val="30"/>
          <w:lang w:eastAsia="it-IT"/>
          <w14:ligatures w14:val="none"/>
        </w:rPr>
        <w:lastRenderedPageBreak/>
        <w:t xml:space="preserve">di cui al primo comma dell’art. 15 del </w:t>
      </w:r>
      <w:proofErr w:type="spellStart"/>
      <w:r w:rsidRPr="00A651A1">
        <w:rPr>
          <w:rFonts w:ascii="Arial" w:eastAsia="Times New Roman" w:hAnsi="Arial" w:cs="Arial"/>
          <w:color w:val="0046AA"/>
          <w:kern w:val="0"/>
          <w:sz w:val="30"/>
          <w:szCs w:val="30"/>
          <w:lang w:eastAsia="it-IT"/>
          <w14:ligatures w14:val="none"/>
        </w:rPr>
        <w:t>d.l.</w:t>
      </w:r>
      <w:proofErr w:type="spellEnd"/>
      <w:r w:rsidRPr="00A651A1">
        <w:rPr>
          <w:rFonts w:ascii="Arial" w:eastAsia="Times New Roman" w:hAnsi="Arial" w:cs="Arial"/>
          <w:color w:val="0046AA"/>
          <w:kern w:val="0"/>
          <w:sz w:val="30"/>
          <w:szCs w:val="30"/>
          <w:lang w:eastAsia="it-IT"/>
          <w14:ligatures w14:val="none"/>
        </w:rPr>
        <w:t xml:space="preserve"> n. 34/2023, deve essere riferita ai profili procedimentali del riconoscimento e non a quelli sostanziali.</w:t>
      </w:r>
    </w:p>
    <w:p w14:paraId="220D3D5E"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 xml:space="preserve">Quanto rilevato consente di ritenere manifestamente infondate le questioni di legittimità costituzionale proposte dalla ricorrente, poiché l’esclusione dalla deroga degli aspetti sostanziali già disciplinati dal legislatore nazionale esclude la violazione degli artt. 3 e 32 </w:t>
      </w:r>
      <w:proofErr w:type="gramStart"/>
      <w:r w:rsidRPr="00A651A1">
        <w:rPr>
          <w:rFonts w:ascii="Arial" w:eastAsia="Times New Roman" w:hAnsi="Arial" w:cs="Arial"/>
          <w:color w:val="000000"/>
          <w:kern w:val="0"/>
          <w:sz w:val="30"/>
          <w:szCs w:val="30"/>
          <w:lang w:eastAsia="it-IT"/>
          <w14:ligatures w14:val="none"/>
        </w:rPr>
        <w:t>Cost..</w:t>
      </w:r>
      <w:proofErr w:type="gramEnd"/>
    </w:p>
    <w:p w14:paraId="70F81384"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46AA"/>
          <w:kern w:val="0"/>
          <w:sz w:val="30"/>
          <w:szCs w:val="30"/>
          <w:lang w:eastAsia="it-IT"/>
          <w14:ligatures w14:val="none"/>
        </w:rPr>
        <w:t>11.2. Ciò posto, sono fondate le censure con le quali si deduce l’illegittima applicazione che dell’art. 15 cit. ha fatto la Regione Molise, mediante il D.C.A. impugnato e, per questa via, la violazione dei profili sostanziali disciplinati dal d.lgs. n. 206/2007.</w:t>
      </w:r>
    </w:p>
    <w:p w14:paraId="78119D05"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46AA"/>
          <w:kern w:val="0"/>
          <w:sz w:val="30"/>
          <w:szCs w:val="30"/>
          <w:lang w:eastAsia="it-IT"/>
          <w14:ligatures w14:val="none"/>
        </w:rPr>
        <w:t>La Regione, come condivisibilmente contestato dalle ricorrenti, ha ecceduto i limiti della deroga prevista dall’art. 15 lì dove, nel delegare le verifiche del caso all’ASREM e alle strutture sanitarie e sociosanitarie private accreditate, ha omesso di disciplinare i contenuti minimi di dette verifiche, non delineando neppure la fisionomia del procedimento di “</w:t>
      </w:r>
      <w:r w:rsidRPr="00A651A1">
        <w:rPr>
          <w:rFonts w:ascii="Arial" w:eastAsia="Times New Roman" w:hAnsi="Arial" w:cs="Arial"/>
          <w:i/>
          <w:iCs/>
          <w:color w:val="0046AA"/>
          <w:kern w:val="0"/>
          <w:sz w:val="30"/>
          <w:szCs w:val="30"/>
          <w:lang w:eastAsia="it-IT"/>
          <w14:ligatures w14:val="none"/>
        </w:rPr>
        <w:t>verifica di congruità del percorso formativo</w:t>
      </w:r>
      <w:r w:rsidRPr="00A651A1">
        <w:rPr>
          <w:rFonts w:ascii="Arial" w:eastAsia="Times New Roman" w:hAnsi="Arial" w:cs="Arial"/>
          <w:color w:val="0046AA"/>
          <w:kern w:val="0"/>
          <w:sz w:val="30"/>
          <w:szCs w:val="30"/>
          <w:lang w:eastAsia="it-IT"/>
          <w14:ligatures w14:val="none"/>
        </w:rPr>
        <w:t>” degli interessati, peraltro previsto come solo eventuale invece che obbligatorio.</w:t>
      </w:r>
    </w:p>
    <w:p w14:paraId="56C1C293"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Il succitato D.C.A., infatti, ha disposto che “</w:t>
      </w:r>
      <w:r w:rsidRPr="00A651A1">
        <w:rPr>
          <w:rFonts w:ascii="Arial" w:eastAsia="Times New Roman" w:hAnsi="Arial" w:cs="Arial"/>
          <w:i/>
          <w:iCs/>
          <w:color w:val="000000"/>
          <w:kern w:val="0"/>
          <w:sz w:val="30"/>
          <w:szCs w:val="30"/>
          <w:lang w:eastAsia="it-IT"/>
          <w14:ligatures w14:val="none"/>
        </w:rPr>
        <w:t>L’</w:t>
      </w:r>
      <w:proofErr w:type="spellStart"/>
      <w:r w:rsidRPr="00A651A1">
        <w:rPr>
          <w:rFonts w:ascii="Arial" w:eastAsia="Times New Roman" w:hAnsi="Arial" w:cs="Arial"/>
          <w:i/>
          <w:iCs/>
          <w:color w:val="000000"/>
          <w:kern w:val="0"/>
          <w:sz w:val="30"/>
          <w:szCs w:val="30"/>
          <w:lang w:eastAsia="it-IT"/>
          <w14:ligatures w14:val="none"/>
        </w:rPr>
        <w:t>A.S.Re.M</w:t>
      </w:r>
      <w:proofErr w:type="spellEnd"/>
      <w:r w:rsidRPr="00A651A1">
        <w:rPr>
          <w:rFonts w:ascii="Arial" w:eastAsia="Times New Roman" w:hAnsi="Arial" w:cs="Arial"/>
          <w:i/>
          <w:iCs/>
          <w:color w:val="000000"/>
          <w:kern w:val="0"/>
          <w:sz w:val="30"/>
          <w:szCs w:val="30"/>
          <w:lang w:eastAsia="it-IT"/>
          <w14:ligatures w14:val="none"/>
        </w:rPr>
        <w:t xml:space="preserve"> e le strutture sanitarie e sociosanitarie private accreditate o autorizzate verificano il possesso dei requisiti dichiarati dagli interessati, inseriti nel suddetto elenco, e l’eventuale congruità del percorso formativo, prima dell’instaurazione del rapporto professionale, fermo restando ogni altro limite di legge</w:t>
      </w:r>
      <w:r w:rsidRPr="00A651A1">
        <w:rPr>
          <w:rFonts w:ascii="Arial" w:eastAsia="Times New Roman" w:hAnsi="Arial" w:cs="Arial"/>
          <w:color w:val="000000"/>
          <w:kern w:val="0"/>
          <w:sz w:val="30"/>
          <w:szCs w:val="30"/>
          <w:lang w:eastAsia="it-IT"/>
          <w14:ligatures w14:val="none"/>
        </w:rPr>
        <w:t>” (cfr. l’art. 3, comma 2, del D.C.A. n. 21 del 9.02.2026).</w:t>
      </w:r>
    </w:p>
    <w:p w14:paraId="625261AF"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E una simile criticità non risulta affatto superata dai provvedimenti attuativi dell’ASREM.</w:t>
      </w:r>
    </w:p>
    <w:p w14:paraId="0D7A6014"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La già citata D.D.G. ASREM n. 120 del 27.01.2026, infatti, ha dato atto che “</w:t>
      </w:r>
      <w:r w:rsidRPr="00A651A1">
        <w:rPr>
          <w:rFonts w:ascii="Arial" w:eastAsia="Times New Roman" w:hAnsi="Arial" w:cs="Arial"/>
          <w:i/>
          <w:iCs/>
          <w:color w:val="000000"/>
          <w:kern w:val="0"/>
          <w:sz w:val="30"/>
          <w:szCs w:val="30"/>
          <w:lang w:eastAsia="it-IT"/>
          <w14:ligatures w14:val="none"/>
        </w:rPr>
        <w:t xml:space="preserve">ai fini dell’assunzione temporanea di personale sanitario in deroga </w:t>
      </w:r>
      <w:r w:rsidRPr="00A651A1">
        <w:rPr>
          <w:rFonts w:ascii="Arial" w:eastAsia="Times New Roman" w:hAnsi="Arial" w:cs="Arial"/>
          <w:i/>
          <w:iCs/>
          <w:color w:val="000000"/>
          <w:kern w:val="0"/>
          <w:sz w:val="30"/>
          <w:szCs w:val="30"/>
          <w:lang w:eastAsia="it-IT"/>
          <w14:ligatures w14:val="none"/>
        </w:rPr>
        <w:lastRenderedPageBreak/>
        <w:t>alle norme che disciplinano le procedure per il riconoscimento delle qualifiche professionali sanitarie conseguite in un Paese dell’Unione Europea o in Paesi Terzi resta ferma la necessità di acquisire la seguente documentazione:</w:t>
      </w:r>
    </w:p>
    <w:p w14:paraId="2AC48927"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i/>
          <w:iCs/>
          <w:color w:val="000000"/>
          <w:kern w:val="0"/>
          <w:sz w:val="30"/>
          <w:szCs w:val="30"/>
          <w:lang w:eastAsia="it-IT"/>
          <w14:ligatures w14:val="none"/>
        </w:rPr>
        <w:t>Per titoli di studio conseguiti in un Paese UE.:</w:t>
      </w:r>
    </w:p>
    <w:p w14:paraId="50CE6540"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i/>
          <w:iCs/>
          <w:color w:val="000000"/>
          <w:kern w:val="0"/>
          <w:sz w:val="30"/>
          <w:szCs w:val="30"/>
          <w:lang w:eastAsia="it-IT"/>
          <w14:ligatures w14:val="none"/>
        </w:rPr>
        <w:t>- Diploma di Laurea in Medicina e Chirurgia</w:t>
      </w:r>
    </w:p>
    <w:p w14:paraId="190F180D"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i/>
          <w:iCs/>
          <w:color w:val="000000"/>
          <w:kern w:val="0"/>
          <w:sz w:val="30"/>
          <w:szCs w:val="30"/>
          <w:lang w:eastAsia="it-IT"/>
          <w14:ligatures w14:val="none"/>
        </w:rPr>
        <w:t>- Specializzazione nella disciplina in cui si intende partecipare, equipollente, ovvero, affine</w:t>
      </w:r>
    </w:p>
    <w:p w14:paraId="731A6F5B"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i/>
          <w:iCs/>
          <w:color w:val="000000"/>
          <w:kern w:val="0"/>
          <w:sz w:val="30"/>
          <w:szCs w:val="30"/>
          <w:lang w:eastAsia="it-IT"/>
          <w14:ligatures w14:val="none"/>
        </w:rPr>
        <w:t>- Iscrizione ad un Ordine o Albo Professionale</w:t>
      </w:r>
    </w:p>
    <w:p w14:paraId="582EDE95"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i/>
          <w:iCs/>
          <w:color w:val="000000"/>
          <w:kern w:val="0"/>
          <w:sz w:val="30"/>
          <w:szCs w:val="30"/>
          <w:lang w:eastAsia="it-IT"/>
          <w14:ligatures w14:val="none"/>
        </w:rPr>
        <w:t>- Copia di un documento di identità</w:t>
      </w:r>
    </w:p>
    <w:p w14:paraId="191DE2F5"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i/>
          <w:iCs/>
          <w:color w:val="000000"/>
          <w:kern w:val="0"/>
          <w:sz w:val="30"/>
          <w:szCs w:val="30"/>
          <w:lang w:eastAsia="it-IT"/>
          <w14:ligatures w14:val="none"/>
        </w:rPr>
        <w:t>- Se il diploma e/o il certificato di iscrizione all'albo professionale non sono redatti in italiano, è necessario allegare anche la traduzione in italiano;</w:t>
      </w:r>
    </w:p>
    <w:p w14:paraId="2A9888E7"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i/>
          <w:iCs/>
          <w:color w:val="000000"/>
          <w:kern w:val="0"/>
          <w:sz w:val="30"/>
          <w:szCs w:val="30"/>
          <w:lang w:eastAsia="it-IT"/>
          <w14:ligatures w14:val="none"/>
        </w:rPr>
        <w:t>Per titoli di studio conseguiti in un Paese non U.E.:</w:t>
      </w:r>
    </w:p>
    <w:p w14:paraId="38C8CCBA"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i/>
          <w:iCs/>
          <w:color w:val="000000"/>
          <w:kern w:val="0"/>
          <w:sz w:val="30"/>
          <w:szCs w:val="30"/>
          <w:lang w:eastAsia="it-IT"/>
          <w14:ligatures w14:val="none"/>
        </w:rPr>
        <w:t>- Diploma di Laurea in Medicina e Chirurgia conseguita all’estero corredata da traduzione asseverata in Italia;</w:t>
      </w:r>
    </w:p>
    <w:p w14:paraId="0A62C800"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i/>
          <w:iCs/>
          <w:color w:val="000000"/>
          <w:kern w:val="0"/>
          <w:sz w:val="30"/>
          <w:szCs w:val="30"/>
          <w:lang w:eastAsia="it-IT"/>
          <w14:ligatures w14:val="none"/>
        </w:rPr>
        <w:t>-Specializzazione nella disciplina in cui si intende partecipare, equipollente, ovvero, affine, conseguita all’estero corredata da traduzione asseverata in Italia;</w:t>
      </w:r>
    </w:p>
    <w:p w14:paraId="0A9F65F8"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i/>
          <w:iCs/>
          <w:color w:val="000000"/>
          <w:kern w:val="0"/>
          <w:sz w:val="30"/>
          <w:szCs w:val="30"/>
          <w:lang w:eastAsia="it-IT"/>
          <w14:ligatures w14:val="none"/>
        </w:rPr>
        <w:t>- Certificato di iscrizione all’Ordine o Albo professionale del Paese in cui è stata conseguita la Laurea corredata da traduzione asseverata in Italia;</w:t>
      </w:r>
    </w:p>
    <w:p w14:paraId="201796E4"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i/>
          <w:iCs/>
          <w:color w:val="000000"/>
          <w:kern w:val="0"/>
          <w:sz w:val="30"/>
          <w:szCs w:val="30"/>
          <w:lang w:eastAsia="it-IT"/>
          <w14:ligatures w14:val="none"/>
        </w:rPr>
        <w:t>- I cittadini extra-comunitari devono allegare alla domanda copia di permesso di soggiorno che consenta di prestare la propria opera lavorativa in Italia o in un Paese membro dell’Unione Europea (cfr. art. 15 Carta dei diritti fondamentali dell’Unione Europea);</w:t>
      </w:r>
    </w:p>
    <w:p w14:paraId="44045A5B"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i/>
          <w:iCs/>
          <w:color w:val="000000"/>
          <w:kern w:val="0"/>
          <w:sz w:val="30"/>
          <w:szCs w:val="30"/>
          <w:lang w:eastAsia="it-IT"/>
          <w14:ligatures w14:val="none"/>
        </w:rPr>
        <w:t>- Copia di un documento di riconoscimento</w:t>
      </w:r>
      <w:r w:rsidRPr="00A651A1">
        <w:rPr>
          <w:rFonts w:ascii="Arial" w:eastAsia="Times New Roman" w:hAnsi="Arial" w:cs="Arial"/>
          <w:color w:val="000000"/>
          <w:kern w:val="0"/>
          <w:sz w:val="30"/>
          <w:szCs w:val="30"/>
          <w:lang w:eastAsia="it-IT"/>
          <w14:ligatures w14:val="none"/>
        </w:rPr>
        <w:t xml:space="preserve">” (cfr. la D.D.G. n. 120 del 27.01.2026; </w:t>
      </w:r>
      <w:proofErr w:type="spellStart"/>
      <w:r w:rsidRPr="00A651A1">
        <w:rPr>
          <w:rFonts w:ascii="Arial" w:eastAsia="Times New Roman" w:hAnsi="Arial" w:cs="Arial"/>
          <w:color w:val="000000"/>
          <w:kern w:val="0"/>
          <w:sz w:val="30"/>
          <w:szCs w:val="30"/>
          <w:lang w:eastAsia="it-IT"/>
          <w14:ligatures w14:val="none"/>
        </w:rPr>
        <w:t>all</w:t>
      </w:r>
      <w:proofErr w:type="spellEnd"/>
      <w:r w:rsidRPr="00A651A1">
        <w:rPr>
          <w:rFonts w:ascii="Arial" w:eastAsia="Times New Roman" w:hAnsi="Arial" w:cs="Arial"/>
          <w:color w:val="000000"/>
          <w:kern w:val="0"/>
          <w:sz w:val="30"/>
          <w:szCs w:val="30"/>
          <w:lang w:eastAsia="it-IT"/>
          <w14:ligatures w14:val="none"/>
        </w:rPr>
        <w:t>. n. 1 alla produzione della parte ricorrente del 2.04.2026).</w:t>
      </w:r>
    </w:p>
    <w:p w14:paraId="760B315E"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lastRenderedPageBreak/>
        <w:t>Ma, nel disciplinare gli avvisi pubblici per singola disciplina, l’ASREM si è limitata a prevedere:</w:t>
      </w:r>
    </w:p>
    <w:p w14:paraId="2671DAF6"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a) i requisiti generali e specifici;</w:t>
      </w:r>
    </w:p>
    <w:p w14:paraId="78E9D3EC"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b) le modalità di presentazione della domanda;</w:t>
      </w:r>
    </w:p>
    <w:p w14:paraId="3D740CA8"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c) i criteri di valutazione dei titoli.</w:t>
      </w:r>
    </w:p>
    <w:p w14:paraId="28164FB1"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46AA"/>
          <w:kern w:val="0"/>
          <w:sz w:val="30"/>
          <w:szCs w:val="30"/>
          <w:lang w:eastAsia="it-IT"/>
          <w14:ligatures w14:val="none"/>
        </w:rPr>
        <w:t>Nessuna previsione, invece, è stata dedicata al procedimento di “</w:t>
      </w:r>
      <w:r w:rsidRPr="00A651A1">
        <w:rPr>
          <w:rFonts w:ascii="Arial" w:eastAsia="Times New Roman" w:hAnsi="Arial" w:cs="Arial"/>
          <w:i/>
          <w:iCs/>
          <w:color w:val="0046AA"/>
          <w:kern w:val="0"/>
          <w:sz w:val="30"/>
          <w:szCs w:val="30"/>
          <w:lang w:eastAsia="it-IT"/>
          <w14:ligatures w14:val="none"/>
        </w:rPr>
        <w:t>verifica di congruità del percorso formativo</w:t>
      </w:r>
      <w:r w:rsidRPr="00A651A1">
        <w:rPr>
          <w:rFonts w:ascii="Arial" w:eastAsia="Times New Roman" w:hAnsi="Arial" w:cs="Arial"/>
          <w:color w:val="0046AA"/>
          <w:kern w:val="0"/>
          <w:sz w:val="30"/>
          <w:szCs w:val="30"/>
          <w:lang w:eastAsia="it-IT"/>
          <w14:ligatures w14:val="none"/>
        </w:rPr>
        <w:t>” degli interessati, né sono state disciplinate le conseguenze dell’ipotetico esito negativo di un simile giudizio.</w:t>
      </w:r>
    </w:p>
    <w:p w14:paraId="7AFBF7CA"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In altre parole, sussistendone i requisiti formali, il medico straniero accede alla graduatoria in base alla valutazione dei relativi titoli, senza che vi sia garanzia alcuna in merito allo svolgimento del giudizio di “congruità” del suo percorso formativo.</w:t>
      </w:r>
    </w:p>
    <w:p w14:paraId="2F5DECF5"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Una simile lacuna non risulta colmata neppure nell’ambito delle “norme finali” di cui alla citata D.D.G. ASREM, dove si avverte soltanto che “</w:t>
      </w:r>
      <w:r w:rsidRPr="00A651A1">
        <w:rPr>
          <w:rFonts w:ascii="Arial" w:eastAsia="Times New Roman" w:hAnsi="Arial" w:cs="Arial"/>
          <w:i/>
          <w:iCs/>
          <w:color w:val="000000"/>
          <w:kern w:val="0"/>
          <w:sz w:val="30"/>
          <w:szCs w:val="30"/>
          <w:lang w:eastAsia="it-IT"/>
          <w14:ligatures w14:val="none"/>
        </w:rPr>
        <w:t>l’Amministrazione procederà ad idonei controlli, anche a campione, sulla veridicità delle dichiarazioni sostitutive rese dai candidati</w:t>
      </w:r>
      <w:r w:rsidRPr="00A651A1">
        <w:rPr>
          <w:rFonts w:ascii="Arial" w:eastAsia="Times New Roman" w:hAnsi="Arial" w:cs="Arial"/>
          <w:color w:val="000000"/>
          <w:kern w:val="0"/>
          <w:sz w:val="30"/>
          <w:szCs w:val="30"/>
          <w:lang w:eastAsia="it-IT"/>
          <w14:ligatures w14:val="none"/>
        </w:rPr>
        <w:t>”.</w:t>
      </w:r>
    </w:p>
    <w:p w14:paraId="41582E1F" w14:textId="77777777" w:rsidR="00555CE7" w:rsidRPr="00A651A1" w:rsidRDefault="00555CE7" w:rsidP="00555CE7">
      <w:pPr>
        <w:spacing w:after="0" w:line="520" w:lineRule="atLeast"/>
        <w:jc w:val="both"/>
        <w:rPr>
          <w:rFonts w:ascii="Arial" w:eastAsia="Times New Roman" w:hAnsi="Arial" w:cs="Arial"/>
          <w:b/>
          <w:bCs/>
          <w:color w:val="000000"/>
          <w:kern w:val="0"/>
          <w:sz w:val="30"/>
          <w:szCs w:val="30"/>
          <w:highlight w:val="cyan"/>
          <w:lang w:eastAsia="it-IT"/>
          <w14:ligatures w14:val="none"/>
        </w:rPr>
      </w:pPr>
      <w:r w:rsidRPr="00A651A1">
        <w:rPr>
          <w:rFonts w:ascii="Arial" w:eastAsia="Times New Roman" w:hAnsi="Arial" w:cs="Arial"/>
          <w:b/>
          <w:bCs/>
          <w:color w:val="0046AA"/>
          <w:kern w:val="0"/>
          <w:sz w:val="30"/>
          <w:szCs w:val="30"/>
          <w:highlight w:val="cyan"/>
          <w:lang w:eastAsia="it-IT"/>
          <w14:ligatures w14:val="none"/>
        </w:rPr>
        <w:t>Attraverso una simile lacuna, la Regione Molise ha introdotto una disciplina alternativa a quella dettata dal legislatore nazionale, che oblitera in concreto la verifica sostanziale delle competenze dei professionisti con qualifiche conseguite all’estero.</w:t>
      </w:r>
    </w:p>
    <w:p w14:paraId="6EEE4129" w14:textId="77777777" w:rsidR="00555CE7" w:rsidRPr="00A651A1" w:rsidRDefault="00555CE7" w:rsidP="00555CE7">
      <w:pPr>
        <w:spacing w:after="0" w:line="520" w:lineRule="atLeast"/>
        <w:jc w:val="both"/>
        <w:rPr>
          <w:rFonts w:ascii="Arial" w:eastAsia="Times New Roman" w:hAnsi="Arial" w:cs="Arial"/>
          <w:b/>
          <w:bCs/>
          <w:color w:val="000000"/>
          <w:kern w:val="0"/>
          <w:sz w:val="30"/>
          <w:szCs w:val="30"/>
          <w:highlight w:val="cyan"/>
          <w:lang w:eastAsia="it-IT"/>
          <w14:ligatures w14:val="none"/>
        </w:rPr>
      </w:pPr>
      <w:r w:rsidRPr="00A651A1">
        <w:rPr>
          <w:rFonts w:ascii="Arial" w:eastAsia="Times New Roman" w:hAnsi="Arial" w:cs="Arial"/>
          <w:b/>
          <w:bCs/>
          <w:color w:val="0046AA"/>
          <w:kern w:val="0"/>
          <w:sz w:val="30"/>
          <w:szCs w:val="30"/>
          <w:highlight w:val="cyan"/>
          <w:lang w:eastAsia="it-IT"/>
          <w14:ligatures w14:val="none"/>
        </w:rPr>
        <w:t xml:space="preserve">In altre parole, le determinazioni impugnate non si sono limitate a derogare ai profili procedurali, in modo da ottenere un più veloce inserimento dei professionisti sanitari stranieri nel sistema nazionale, in coerenza con la previsione dell’art. 15 del </w:t>
      </w:r>
      <w:proofErr w:type="spellStart"/>
      <w:r w:rsidRPr="00A651A1">
        <w:rPr>
          <w:rFonts w:ascii="Arial" w:eastAsia="Times New Roman" w:hAnsi="Arial" w:cs="Arial"/>
          <w:b/>
          <w:bCs/>
          <w:color w:val="0046AA"/>
          <w:kern w:val="0"/>
          <w:sz w:val="30"/>
          <w:szCs w:val="30"/>
          <w:highlight w:val="cyan"/>
          <w:lang w:eastAsia="it-IT"/>
          <w14:ligatures w14:val="none"/>
        </w:rPr>
        <w:t>d.l.</w:t>
      </w:r>
      <w:proofErr w:type="spellEnd"/>
      <w:r w:rsidRPr="00A651A1">
        <w:rPr>
          <w:rFonts w:ascii="Arial" w:eastAsia="Times New Roman" w:hAnsi="Arial" w:cs="Arial"/>
          <w:b/>
          <w:bCs/>
          <w:color w:val="0046AA"/>
          <w:kern w:val="0"/>
          <w:sz w:val="30"/>
          <w:szCs w:val="30"/>
          <w:highlight w:val="cyan"/>
          <w:lang w:eastAsia="it-IT"/>
          <w14:ligatures w14:val="none"/>
        </w:rPr>
        <w:t xml:space="preserve"> 34/2023, ma hanno dato luogo a una disciplina derogatoria rispetto alle previsioni degli artt. 17, 22, 23 e 24 del d.lgs. n. 206/2007, </w:t>
      </w:r>
      <w:r w:rsidRPr="00A651A1">
        <w:rPr>
          <w:rFonts w:ascii="Arial" w:eastAsia="Times New Roman" w:hAnsi="Arial" w:cs="Arial"/>
          <w:b/>
          <w:bCs/>
          <w:color w:val="0046AA"/>
          <w:kern w:val="0"/>
          <w:sz w:val="30"/>
          <w:szCs w:val="30"/>
          <w:highlight w:val="cyan"/>
          <w:lang w:eastAsia="it-IT"/>
          <w14:ligatures w14:val="none"/>
        </w:rPr>
        <w:lastRenderedPageBreak/>
        <w:t>permettendo l’esercizio della professione a prescindere dalle verifiche attitudinali, di competenza e di capacità sostanziali prescritte dal legislatore nazionale e che risultano irrinunciabili in vista della tutela del valore fondamentale della salute di cui all’art. 32 Cost..</w:t>
      </w:r>
    </w:p>
    <w:p w14:paraId="4546C34C" w14:textId="77777777" w:rsidR="00555CE7" w:rsidRPr="00A651A1" w:rsidRDefault="00555CE7" w:rsidP="00555CE7">
      <w:pPr>
        <w:spacing w:after="0" w:line="520" w:lineRule="atLeast"/>
        <w:jc w:val="both"/>
        <w:rPr>
          <w:rFonts w:ascii="Arial" w:eastAsia="Times New Roman" w:hAnsi="Arial" w:cs="Arial"/>
          <w:b/>
          <w:bCs/>
          <w:color w:val="000000"/>
          <w:kern w:val="0"/>
          <w:sz w:val="30"/>
          <w:szCs w:val="30"/>
          <w:highlight w:val="cyan"/>
          <w:lang w:eastAsia="it-IT"/>
          <w14:ligatures w14:val="none"/>
        </w:rPr>
      </w:pPr>
      <w:r w:rsidRPr="00A651A1">
        <w:rPr>
          <w:rFonts w:ascii="Arial" w:eastAsia="Times New Roman" w:hAnsi="Arial" w:cs="Arial"/>
          <w:b/>
          <w:bCs/>
          <w:color w:val="0046AA"/>
          <w:kern w:val="0"/>
          <w:sz w:val="30"/>
          <w:szCs w:val="30"/>
          <w:highlight w:val="cyan"/>
          <w:lang w:eastAsia="it-IT"/>
          <w14:ligatures w14:val="none"/>
        </w:rPr>
        <w:t>11.3. Va, pertanto, ribadita la fondatezza delle censure da ultimo esaminate, con riferimento all’esercizio temporaneo dell’attività lavorativa in deroga alle norme sul riconoscimento dal 31.12.2027 al 31.12.2029, come prorogato dal D.C.A. n. 21 del 9.02.2026.</w:t>
      </w:r>
    </w:p>
    <w:p w14:paraId="46BF08C2" w14:textId="77777777" w:rsidR="00555CE7" w:rsidRPr="00A651A1" w:rsidRDefault="00555CE7" w:rsidP="00555CE7">
      <w:pPr>
        <w:spacing w:after="0" w:line="520" w:lineRule="atLeast"/>
        <w:jc w:val="both"/>
        <w:rPr>
          <w:rFonts w:ascii="Arial" w:eastAsia="Times New Roman" w:hAnsi="Arial" w:cs="Arial"/>
          <w:b/>
          <w:bCs/>
          <w:color w:val="000000"/>
          <w:kern w:val="0"/>
          <w:sz w:val="30"/>
          <w:szCs w:val="30"/>
          <w:lang w:eastAsia="it-IT"/>
          <w14:ligatures w14:val="none"/>
        </w:rPr>
      </w:pPr>
      <w:r w:rsidRPr="00A651A1">
        <w:rPr>
          <w:rFonts w:ascii="Arial" w:eastAsia="Times New Roman" w:hAnsi="Arial" w:cs="Arial"/>
          <w:b/>
          <w:bCs/>
          <w:color w:val="0046AA"/>
          <w:kern w:val="0"/>
          <w:sz w:val="30"/>
          <w:szCs w:val="30"/>
          <w:highlight w:val="cyan"/>
          <w:lang w:eastAsia="it-IT"/>
          <w14:ligatures w14:val="none"/>
        </w:rPr>
        <w:t xml:space="preserve">12. In definitiva, il ricorso deve essere accolto nei limiti di cui si è detto ed i provvedimenti impugnati devono essere pertanto annullati </w:t>
      </w:r>
      <w:r w:rsidRPr="00A651A1">
        <w:rPr>
          <w:rFonts w:ascii="Arial" w:eastAsia="Times New Roman" w:hAnsi="Arial" w:cs="Arial"/>
          <w:b/>
          <w:bCs/>
          <w:i/>
          <w:iCs/>
          <w:color w:val="0046AA"/>
          <w:kern w:val="0"/>
          <w:sz w:val="30"/>
          <w:szCs w:val="30"/>
          <w:highlight w:val="cyan"/>
          <w:lang w:eastAsia="it-IT"/>
          <w14:ligatures w14:val="none"/>
        </w:rPr>
        <w:t>in parte qua</w:t>
      </w:r>
      <w:r w:rsidRPr="00A651A1">
        <w:rPr>
          <w:rFonts w:ascii="Arial" w:eastAsia="Times New Roman" w:hAnsi="Arial" w:cs="Arial"/>
          <w:b/>
          <w:bCs/>
          <w:color w:val="0046AA"/>
          <w:kern w:val="0"/>
          <w:sz w:val="30"/>
          <w:szCs w:val="30"/>
          <w:highlight w:val="cyan"/>
          <w:lang w:eastAsia="it-IT"/>
          <w14:ligatures w14:val="none"/>
        </w:rPr>
        <w:t>, con la conseguenza che l’Amministrazione regionale dovrà colmare la lacuna sopra rilevata per consentire lo svolgimento di adeguate verifiche di congruità del percorso formativo degli interessati che si avvarranno della proroga disposta dal 31.12.2027 al 31.12.2029.</w:t>
      </w:r>
    </w:p>
    <w:p w14:paraId="29BFE5A0"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13. La peculiarità e la complessità delle questioni trattate conducono a compensare tra le parti le spese di lite.</w:t>
      </w:r>
    </w:p>
    <w:p w14:paraId="41D8FB39" w14:textId="77777777" w:rsidR="00555CE7" w:rsidRPr="00A651A1" w:rsidRDefault="00555CE7" w:rsidP="00555CE7">
      <w:pPr>
        <w:spacing w:after="0" w:line="540" w:lineRule="atLeast"/>
        <w:jc w:val="center"/>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P.Q.M.</w:t>
      </w:r>
    </w:p>
    <w:p w14:paraId="3C2A9A37"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Il Tribunale Amministrativo Regionale per il Molise (Sezione Prima), definitivamente pronunciando sul ricorso, come in epigrafe proposto, lo accoglie nei limiti e con gli effetti di cui in motivazione.</w:t>
      </w:r>
    </w:p>
    <w:p w14:paraId="496B0805"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Spese compensate.</w:t>
      </w:r>
    </w:p>
    <w:p w14:paraId="2A1F9211"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Ordina che la presente sentenza sia eseguita dall'autorità amministrativa.</w:t>
      </w:r>
    </w:p>
    <w:p w14:paraId="18335F62" w14:textId="77777777" w:rsidR="00555CE7" w:rsidRPr="00A651A1" w:rsidRDefault="00555CE7" w:rsidP="00555CE7">
      <w:pPr>
        <w:spacing w:after="0" w:line="520" w:lineRule="atLeast"/>
        <w:jc w:val="both"/>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Così deciso in Campobasso nella camera di consiglio del giorno 7 ottobre 2026 con l'intervento dei magistrati:</w:t>
      </w:r>
    </w:p>
    <w:p w14:paraId="05DEF7D7" w14:textId="77777777" w:rsidR="00555CE7" w:rsidRPr="00A651A1" w:rsidRDefault="00555CE7" w:rsidP="00555CE7">
      <w:pPr>
        <w:spacing w:after="0" w:line="520" w:lineRule="atLeast"/>
        <w:ind w:firstLine="567"/>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Orazio Ciliberti, Presidente</w:t>
      </w:r>
    </w:p>
    <w:p w14:paraId="55D6A049" w14:textId="77777777" w:rsidR="00555CE7" w:rsidRPr="00A651A1" w:rsidRDefault="00555CE7" w:rsidP="00555CE7">
      <w:pPr>
        <w:spacing w:after="0" w:line="520" w:lineRule="atLeast"/>
        <w:ind w:firstLine="567"/>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lastRenderedPageBreak/>
        <w:t>Luigi Lalla, Referendario, Estensore</w:t>
      </w:r>
    </w:p>
    <w:p w14:paraId="25CFFEAB" w14:textId="77777777" w:rsidR="00555CE7" w:rsidRPr="00A651A1" w:rsidRDefault="00555CE7" w:rsidP="00555CE7">
      <w:pPr>
        <w:spacing w:after="0" w:line="520" w:lineRule="atLeast"/>
        <w:ind w:firstLine="567"/>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Sergio Occhionero, Referendario</w:t>
      </w:r>
    </w:p>
    <w:tbl>
      <w:tblPr>
        <w:tblW w:w="5000" w:type="pct"/>
        <w:tblCellMar>
          <w:top w:w="15" w:type="dxa"/>
          <w:left w:w="15" w:type="dxa"/>
          <w:bottom w:w="15" w:type="dxa"/>
          <w:right w:w="15" w:type="dxa"/>
        </w:tblCellMar>
        <w:tblLook w:val="04A0" w:firstRow="1" w:lastRow="0" w:firstColumn="1" w:lastColumn="0" w:noHBand="0" w:noVBand="1"/>
      </w:tblPr>
      <w:tblGrid>
        <w:gridCol w:w="4603"/>
        <w:gridCol w:w="83"/>
        <w:gridCol w:w="4952"/>
      </w:tblGrid>
      <w:tr w:rsidR="00555CE7" w:rsidRPr="00A651A1" w14:paraId="4421A4CE" w14:textId="77777777">
        <w:tc>
          <w:tcPr>
            <w:tcW w:w="0" w:type="auto"/>
            <w:vAlign w:val="center"/>
            <w:hideMark/>
          </w:tcPr>
          <w:p w14:paraId="37699A0C" w14:textId="77777777" w:rsidR="00555CE7" w:rsidRPr="00A651A1" w:rsidRDefault="00555CE7" w:rsidP="00555CE7">
            <w:pPr>
              <w:spacing w:after="0" w:line="240" w:lineRule="auto"/>
              <w:jc w:val="center"/>
              <w:rPr>
                <w:rFonts w:ascii="Arial" w:eastAsia="Times New Roman" w:hAnsi="Arial" w:cs="Arial"/>
                <w:b/>
                <w:bCs/>
                <w:kern w:val="0"/>
                <w:sz w:val="28"/>
                <w:szCs w:val="28"/>
                <w:lang w:eastAsia="it-IT"/>
                <w14:ligatures w14:val="none"/>
              </w:rPr>
            </w:pPr>
            <w:r w:rsidRPr="00A651A1">
              <w:rPr>
                <w:rFonts w:ascii="Arial" w:eastAsia="Times New Roman" w:hAnsi="Arial" w:cs="Arial"/>
                <w:b/>
                <w:bCs/>
                <w:kern w:val="0"/>
                <w:sz w:val="28"/>
                <w:szCs w:val="28"/>
                <w:lang w:eastAsia="it-IT"/>
                <w14:ligatures w14:val="none"/>
              </w:rPr>
              <w:t> </w:t>
            </w:r>
          </w:p>
        </w:tc>
        <w:tc>
          <w:tcPr>
            <w:tcW w:w="0" w:type="auto"/>
            <w:vAlign w:val="center"/>
            <w:hideMark/>
          </w:tcPr>
          <w:p w14:paraId="6947937A" w14:textId="77777777" w:rsidR="00555CE7" w:rsidRPr="00A651A1" w:rsidRDefault="00555CE7" w:rsidP="00555CE7">
            <w:pPr>
              <w:spacing w:after="0" w:line="240" w:lineRule="auto"/>
              <w:jc w:val="center"/>
              <w:rPr>
                <w:rFonts w:ascii="Arial" w:eastAsia="Times New Roman" w:hAnsi="Arial" w:cs="Arial"/>
                <w:b/>
                <w:bCs/>
                <w:kern w:val="0"/>
                <w:sz w:val="28"/>
                <w:szCs w:val="28"/>
                <w:lang w:eastAsia="it-IT"/>
                <w14:ligatures w14:val="none"/>
              </w:rPr>
            </w:pPr>
          </w:p>
        </w:tc>
        <w:tc>
          <w:tcPr>
            <w:tcW w:w="0" w:type="auto"/>
            <w:vAlign w:val="center"/>
            <w:hideMark/>
          </w:tcPr>
          <w:p w14:paraId="79F19658" w14:textId="77777777" w:rsidR="00555CE7" w:rsidRPr="00A651A1" w:rsidRDefault="00555CE7" w:rsidP="00555CE7">
            <w:pPr>
              <w:spacing w:after="0" w:line="240" w:lineRule="auto"/>
              <w:jc w:val="center"/>
              <w:rPr>
                <w:rFonts w:ascii="Arial" w:eastAsia="Times New Roman" w:hAnsi="Arial" w:cs="Arial"/>
                <w:kern w:val="0"/>
                <w:sz w:val="20"/>
                <w:szCs w:val="20"/>
                <w:lang w:eastAsia="it-IT"/>
                <w14:ligatures w14:val="none"/>
              </w:rPr>
            </w:pPr>
          </w:p>
        </w:tc>
      </w:tr>
      <w:tr w:rsidR="00555CE7" w:rsidRPr="00A651A1" w14:paraId="1276ABE7" w14:textId="77777777">
        <w:tc>
          <w:tcPr>
            <w:tcW w:w="0" w:type="auto"/>
            <w:vAlign w:val="center"/>
            <w:hideMark/>
          </w:tcPr>
          <w:p w14:paraId="59BC4FF8" w14:textId="77777777" w:rsidR="00555CE7" w:rsidRPr="00A651A1" w:rsidRDefault="00555CE7" w:rsidP="00555CE7">
            <w:pPr>
              <w:spacing w:after="0" w:line="240" w:lineRule="auto"/>
              <w:jc w:val="center"/>
              <w:rPr>
                <w:rFonts w:ascii="Arial" w:eastAsia="Times New Roman" w:hAnsi="Arial" w:cs="Arial"/>
                <w:b/>
                <w:bCs/>
                <w:kern w:val="0"/>
                <w:sz w:val="28"/>
                <w:szCs w:val="28"/>
                <w:lang w:eastAsia="it-IT"/>
                <w14:ligatures w14:val="none"/>
              </w:rPr>
            </w:pPr>
            <w:r w:rsidRPr="00A651A1">
              <w:rPr>
                <w:rFonts w:ascii="Arial" w:eastAsia="Times New Roman" w:hAnsi="Arial" w:cs="Arial"/>
                <w:b/>
                <w:bCs/>
                <w:kern w:val="0"/>
                <w:sz w:val="28"/>
                <w:szCs w:val="28"/>
                <w:lang w:eastAsia="it-IT"/>
                <w14:ligatures w14:val="none"/>
              </w:rPr>
              <w:t> </w:t>
            </w:r>
          </w:p>
        </w:tc>
        <w:tc>
          <w:tcPr>
            <w:tcW w:w="0" w:type="auto"/>
            <w:vAlign w:val="center"/>
            <w:hideMark/>
          </w:tcPr>
          <w:p w14:paraId="2854D4D5" w14:textId="77777777" w:rsidR="00555CE7" w:rsidRPr="00A651A1" w:rsidRDefault="00555CE7" w:rsidP="00555CE7">
            <w:pPr>
              <w:spacing w:after="0" w:line="240" w:lineRule="auto"/>
              <w:jc w:val="center"/>
              <w:rPr>
                <w:rFonts w:ascii="Arial" w:eastAsia="Times New Roman" w:hAnsi="Arial" w:cs="Arial"/>
                <w:b/>
                <w:bCs/>
                <w:kern w:val="0"/>
                <w:sz w:val="28"/>
                <w:szCs w:val="28"/>
                <w:lang w:eastAsia="it-IT"/>
                <w14:ligatures w14:val="none"/>
              </w:rPr>
            </w:pPr>
          </w:p>
        </w:tc>
        <w:tc>
          <w:tcPr>
            <w:tcW w:w="0" w:type="auto"/>
            <w:vAlign w:val="center"/>
            <w:hideMark/>
          </w:tcPr>
          <w:p w14:paraId="5975ACE5" w14:textId="77777777" w:rsidR="00555CE7" w:rsidRPr="00A651A1" w:rsidRDefault="00555CE7" w:rsidP="00555CE7">
            <w:pPr>
              <w:spacing w:after="0" w:line="240" w:lineRule="auto"/>
              <w:jc w:val="center"/>
              <w:rPr>
                <w:rFonts w:ascii="Arial" w:eastAsia="Times New Roman" w:hAnsi="Arial" w:cs="Arial"/>
                <w:kern w:val="0"/>
                <w:sz w:val="20"/>
                <w:szCs w:val="20"/>
                <w:lang w:eastAsia="it-IT"/>
                <w14:ligatures w14:val="none"/>
              </w:rPr>
            </w:pPr>
          </w:p>
        </w:tc>
      </w:tr>
      <w:tr w:rsidR="00555CE7" w:rsidRPr="00A651A1" w14:paraId="444352F5" w14:textId="77777777">
        <w:tc>
          <w:tcPr>
            <w:tcW w:w="0" w:type="auto"/>
            <w:vAlign w:val="center"/>
            <w:hideMark/>
          </w:tcPr>
          <w:p w14:paraId="6DAD872B" w14:textId="77777777" w:rsidR="00555CE7" w:rsidRPr="00A651A1" w:rsidRDefault="00555CE7" w:rsidP="00555CE7">
            <w:pPr>
              <w:spacing w:after="0" w:line="240" w:lineRule="auto"/>
              <w:jc w:val="center"/>
              <w:rPr>
                <w:rFonts w:ascii="Arial" w:eastAsia="Times New Roman" w:hAnsi="Arial" w:cs="Arial"/>
                <w:b/>
                <w:bCs/>
                <w:kern w:val="0"/>
                <w:sz w:val="28"/>
                <w:szCs w:val="28"/>
                <w:lang w:eastAsia="it-IT"/>
                <w14:ligatures w14:val="none"/>
              </w:rPr>
            </w:pPr>
            <w:r w:rsidRPr="00A651A1">
              <w:rPr>
                <w:rFonts w:ascii="Arial" w:eastAsia="Times New Roman" w:hAnsi="Arial" w:cs="Arial"/>
                <w:b/>
                <w:bCs/>
                <w:kern w:val="0"/>
                <w:sz w:val="28"/>
                <w:szCs w:val="28"/>
                <w:lang w:eastAsia="it-IT"/>
                <w14:ligatures w14:val="none"/>
              </w:rPr>
              <w:t>L'ESTENSORE</w:t>
            </w:r>
          </w:p>
        </w:tc>
        <w:tc>
          <w:tcPr>
            <w:tcW w:w="0" w:type="auto"/>
            <w:vAlign w:val="center"/>
            <w:hideMark/>
          </w:tcPr>
          <w:p w14:paraId="35277D0D" w14:textId="77777777" w:rsidR="00555CE7" w:rsidRPr="00A651A1" w:rsidRDefault="00555CE7" w:rsidP="00555CE7">
            <w:pPr>
              <w:spacing w:after="0" w:line="240" w:lineRule="auto"/>
              <w:jc w:val="center"/>
              <w:rPr>
                <w:rFonts w:ascii="Arial" w:eastAsia="Times New Roman" w:hAnsi="Arial" w:cs="Arial"/>
                <w:b/>
                <w:bCs/>
                <w:kern w:val="0"/>
                <w:sz w:val="28"/>
                <w:szCs w:val="28"/>
                <w:lang w:eastAsia="it-IT"/>
                <w14:ligatures w14:val="none"/>
              </w:rPr>
            </w:pPr>
          </w:p>
        </w:tc>
        <w:tc>
          <w:tcPr>
            <w:tcW w:w="0" w:type="auto"/>
            <w:vAlign w:val="center"/>
            <w:hideMark/>
          </w:tcPr>
          <w:p w14:paraId="46F51C16" w14:textId="77777777" w:rsidR="00555CE7" w:rsidRPr="00A651A1" w:rsidRDefault="00555CE7" w:rsidP="00555CE7">
            <w:pPr>
              <w:spacing w:after="0" w:line="240" w:lineRule="auto"/>
              <w:jc w:val="center"/>
              <w:rPr>
                <w:rFonts w:ascii="Arial" w:eastAsia="Times New Roman" w:hAnsi="Arial" w:cs="Arial"/>
                <w:b/>
                <w:bCs/>
                <w:kern w:val="0"/>
                <w:sz w:val="28"/>
                <w:szCs w:val="28"/>
                <w:lang w:eastAsia="it-IT"/>
                <w14:ligatures w14:val="none"/>
              </w:rPr>
            </w:pPr>
            <w:r w:rsidRPr="00A651A1">
              <w:rPr>
                <w:rFonts w:ascii="Arial" w:eastAsia="Times New Roman" w:hAnsi="Arial" w:cs="Arial"/>
                <w:b/>
                <w:bCs/>
                <w:kern w:val="0"/>
                <w:sz w:val="28"/>
                <w:szCs w:val="28"/>
                <w:lang w:eastAsia="it-IT"/>
                <w14:ligatures w14:val="none"/>
              </w:rPr>
              <w:t>IL PRESIDENTE</w:t>
            </w:r>
          </w:p>
        </w:tc>
      </w:tr>
      <w:tr w:rsidR="00555CE7" w:rsidRPr="00A651A1" w14:paraId="71C36F20" w14:textId="77777777">
        <w:tc>
          <w:tcPr>
            <w:tcW w:w="0" w:type="auto"/>
            <w:vAlign w:val="center"/>
            <w:hideMark/>
          </w:tcPr>
          <w:p w14:paraId="65D2481C" w14:textId="77777777" w:rsidR="00555CE7" w:rsidRPr="00A651A1" w:rsidRDefault="00555CE7" w:rsidP="00555CE7">
            <w:pPr>
              <w:spacing w:after="0" w:line="240" w:lineRule="auto"/>
              <w:jc w:val="center"/>
              <w:rPr>
                <w:rFonts w:ascii="Arial" w:eastAsia="Times New Roman" w:hAnsi="Arial" w:cs="Arial"/>
                <w:b/>
                <w:bCs/>
                <w:kern w:val="0"/>
                <w:sz w:val="28"/>
                <w:szCs w:val="28"/>
                <w:lang w:eastAsia="it-IT"/>
                <w14:ligatures w14:val="none"/>
              </w:rPr>
            </w:pPr>
            <w:r w:rsidRPr="00A651A1">
              <w:rPr>
                <w:rFonts w:ascii="Arial" w:eastAsia="Times New Roman" w:hAnsi="Arial" w:cs="Arial"/>
                <w:b/>
                <w:bCs/>
                <w:kern w:val="0"/>
                <w:sz w:val="28"/>
                <w:szCs w:val="28"/>
                <w:lang w:eastAsia="it-IT"/>
                <w14:ligatures w14:val="none"/>
              </w:rPr>
              <w:t>Luigi Lalla</w:t>
            </w:r>
          </w:p>
        </w:tc>
        <w:tc>
          <w:tcPr>
            <w:tcW w:w="0" w:type="auto"/>
            <w:vAlign w:val="center"/>
            <w:hideMark/>
          </w:tcPr>
          <w:p w14:paraId="4F254279" w14:textId="77777777" w:rsidR="00555CE7" w:rsidRPr="00A651A1" w:rsidRDefault="00555CE7" w:rsidP="00555CE7">
            <w:pPr>
              <w:spacing w:after="0" w:line="240" w:lineRule="auto"/>
              <w:jc w:val="center"/>
              <w:rPr>
                <w:rFonts w:ascii="Arial" w:eastAsia="Times New Roman" w:hAnsi="Arial" w:cs="Arial"/>
                <w:b/>
                <w:bCs/>
                <w:kern w:val="0"/>
                <w:sz w:val="28"/>
                <w:szCs w:val="28"/>
                <w:lang w:eastAsia="it-IT"/>
                <w14:ligatures w14:val="none"/>
              </w:rPr>
            </w:pPr>
          </w:p>
        </w:tc>
        <w:tc>
          <w:tcPr>
            <w:tcW w:w="0" w:type="auto"/>
            <w:vAlign w:val="center"/>
            <w:hideMark/>
          </w:tcPr>
          <w:p w14:paraId="6373EFCD" w14:textId="77777777" w:rsidR="00555CE7" w:rsidRPr="00A651A1" w:rsidRDefault="00555CE7" w:rsidP="00555CE7">
            <w:pPr>
              <w:spacing w:after="0" w:line="240" w:lineRule="auto"/>
              <w:jc w:val="center"/>
              <w:rPr>
                <w:rFonts w:ascii="Arial" w:eastAsia="Times New Roman" w:hAnsi="Arial" w:cs="Arial"/>
                <w:b/>
                <w:bCs/>
                <w:kern w:val="0"/>
                <w:sz w:val="28"/>
                <w:szCs w:val="28"/>
                <w:lang w:eastAsia="it-IT"/>
                <w14:ligatures w14:val="none"/>
              </w:rPr>
            </w:pPr>
            <w:r w:rsidRPr="00A651A1">
              <w:rPr>
                <w:rFonts w:ascii="Arial" w:eastAsia="Times New Roman" w:hAnsi="Arial" w:cs="Arial"/>
                <w:b/>
                <w:bCs/>
                <w:kern w:val="0"/>
                <w:sz w:val="28"/>
                <w:szCs w:val="28"/>
                <w:lang w:eastAsia="it-IT"/>
                <w14:ligatures w14:val="none"/>
              </w:rPr>
              <w:t>Orazio Ciliberti</w:t>
            </w:r>
          </w:p>
        </w:tc>
      </w:tr>
      <w:tr w:rsidR="00555CE7" w:rsidRPr="00A651A1" w14:paraId="4334B42F" w14:textId="77777777">
        <w:tc>
          <w:tcPr>
            <w:tcW w:w="0" w:type="auto"/>
            <w:vAlign w:val="center"/>
            <w:hideMark/>
          </w:tcPr>
          <w:p w14:paraId="718B0ECA" w14:textId="77777777" w:rsidR="00555CE7" w:rsidRPr="00A651A1" w:rsidRDefault="00555CE7" w:rsidP="00555CE7">
            <w:pPr>
              <w:spacing w:after="0" w:line="240" w:lineRule="auto"/>
              <w:jc w:val="center"/>
              <w:rPr>
                <w:rFonts w:ascii="Arial" w:eastAsia="Times New Roman" w:hAnsi="Arial" w:cs="Arial"/>
                <w:b/>
                <w:bCs/>
                <w:kern w:val="0"/>
                <w:sz w:val="28"/>
                <w:szCs w:val="28"/>
                <w:lang w:eastAsia="it-IT"/>
                <w14:ligatures w14:val="none"/>
              </w:rPr>
            </w:pPr>
            <w:r w:rsidRPr="00A651A1">
              <w:rPr>
                <w:rFonts w:ascii="Arial" w:eastAsia="Times New Roman" w:hAnsi="Arial" w:cs="Arial"/>
                <w:b/>
                <w:bCs/>
                <w:kern w:val="0"/>
                <w:sz w:val="28"/>
                <w:szCs w:val="28"/>
                <w:lang w:eastAsia="it-IT"/>
                <w14:ligatures w14:val="none"/>
              </w:rPr>
              <w:t> </w:t>
            </w:r>
          </w:p>
        </w:tc>
        <w:tc>
          <w:tcPr>
            <w:tcW w:w="0" w:type="auto"/>
            <w:vAlign w:val="center"/>
            <w:hideMark/>
          </w:tcPr>
          <w:p w14:paraId="7EC3586F" w14:textId="77777777" w:rsidR="00555CE7" w:rsidRPr="00A651A1" w:rsidRDefault="00555CE7" w:rsidP="00555CE7">
            <w:pPr>
              <w:spacing w:after="0" w:line="240" w:lineRule="auto"/>
              <w:jc w:val="center"/>
              <w:rPr>
                <w:rFonts w:ascii="Arial" w:eastAsia="Times New Roman" w:hAnsi="Arial" w:cs="Arial"/>
                <w:b/>
                <w:bCs/>
                <w:kern w:val="0"/>
                <w:sz w:val="28"/>
                <w:szCs w:val="28"/>
                <w:lang w:eastAsia="it-IT"/>
                <w14:ligatures w14:val="none"/>
              </w:rPr>
            </w:pPr>
          </w:p>
        </w:tc>
        <w:tc>
          <w:tcPr>
            <w:tcW w:w="0" w:type="auto"/>
            <w:vAlign w:val="center"/>
            <w:hideMark/>
          </w:tcPr>
          <w:p w14:paraId="2724A0AC" w14:textId="77777777" w:rsidR="00555CE7" w:rsidRPr="00A651A1" w:rsidRDefault="00555CE7" w:rsidP="00555CE7">
            <w:pPr>
              <w:spacing w:after="0" w:line="240" w:lineRule="auto"/>
              <w:jc w:val="center"/>
              <w:rPr>
                <w:rFonts w:ascii="Arial" w:eastAsia="Times New Roman" w:hAnsi="Arial" w:cs="Arial"/>
                <w:kern w:val="0"/>
                <w:sz w:val="20"/>
                <w:szCs w:val="20"/>
                <w:lang w:eastAsia="it-IT"/>
                <w14:ligatures w14:val="none"/>
              </w:rPr>
            </w:pPr>
          </w:p>
        </w:tc>
      </w:tr>
      <w:tr w:rsidR="00555CE7" w:rsidRPr="00A651A1" w14:paraId="01DE6DB0" w14:textId="77777777">
        <w:tc>
          <w:tcPr>
            <w:tcW w:w="0" w:type="auto"/>
            <w:vAlign w:val="center"/>
            <w:hideMark/>
          </w:tcPr>
          <w:p w14:paraId="57F156C6" w14:textId="77777777" w:rsidR="00555CE7" w:rsidRPr="00A651A1" w:rsidRDefault="00555CE7" w:rsidP="00555CE7">
            <w:pPr>
              <w:spacing w:after="0" w:line="240" w:lineRule="auto"/>
              <w:jc w:val="center"/>
              <w:rPr>
                <w:rFonts w:ascii="Arial" w:eastAsia="Times New Roman" w:hAnsi="Arial" w:cs="Arial"/>
                <w:b/>
                <w:bCs/>
                <w:kern w:val="0"/>
                <w:sz w:val="28"/>
                <w:szCs w:val="28"/>
                <w:lang w:eastAsia="it-IT"/>
                <w14:ligatures w14:val="none"/>
              </w:rPr>
            </w:pPr>
            <w:r w:rsidRPr="00A651A1">
              <w:rPr>
                <w:rFonts w:ascii="Arial" w:eastAsia="Times New Roman" w:hAnsi="Arial" w:cs="Arial"/>
                <w:b/>
                <w:bCs/>
                <w:kern w:val="0"/>
                <w:sz w:val="28"/>
                <w:szCs w:val="28"/>
                <w:lang w:eastAsia="it-IT"/>
                <w14:ligatures w14:val="none"/>
              </w:rPr>
              <w:t> </w:t>
            </w:r>
          </w:p>
        </w:tc>
        <w:tc>
          <w:tcPr>
            <w:tcW w:w="0" w:type="auto"/>
            <w:vAlign w:val="center"/>
            <w:hideMark/>
          </w:tcPr>
          <w:p w14:paraId="609AD2C1" w14:textId="77777777" w:rsidR="00555CE7" w:rsidRPr="00A651A1" w:rsidRDefault="00555CE7" w:rsidP="00555CE7">
            <w:pPr>
              <w:spacing w:after="0" w:line="240" w:lineRule="auto"/>
              <w:jc w:val="center"/>
              <w:rPr>
                <w:rFonts w:ascii="Arial" w:eastAsia="Times New Roman" w:hAnsi="Arial" w:cs="Arial"/>
                <w:b/>
                <w:bCs/>
                <w:kern w:val="0"/>
                <w:sz w:val="28"/>
                <w:szCs w:val="28"/>
                <w:lang w:eastAsia="it-IT"/>
                <w14:ligatures w14:val="none"/>
              </w:rPr>
            </w:pPr>
          </w:p>
        </w:tc>
        <w:tc>
          <w:tcPr>
            <w:tcW w:w="0" w:type="auto"/>
            <w:vAlign w:val="center"/>
            <w:hideMark/>
          </w:tcPr>
          <w:p w14:paraId="2E941460" w14:textId="77777777" w:rsidR="00555CE7" w:rsidRPr="00A651A1" w:rsidRDefault="00555CE7" w:rsidP="00555CE7">
            <w:pPr>
              <w:spacing w:after="0" w:line="240" w:lineRule="auto"/>
              <w:jc w:val="center"/>
              <w:rPr>
                <w:rFonts w:ascii="Arial" w:eastAsia="Times New Roman" w:hAnsi="Arial" w:cs="Arial"/>
                <w:kern w:val="0"/>
                <w:sz w:val="20"/>
                <w:szCs w:val="20"/>
                <w:lang w:eastAsia="it-IT"/>
                <w14:ligatures w14:val="none"/>
              </w:rPr>
            </w:pPr>
          </w:p>
        </w:tc>
      </w:tr>
      <w:tr w:rsidR="00555CE7" w:rsidRPr="00A651A1" w14:paraId="3701CDAC" w14:textId="77777777">
        <w:tc>
          <w:tcPr>
            <w:tcW w:w="0" w:type="auto"/>
            <w:vAlign w:val="center"/>
            <w:hideMark/>
          </w:tcPr>
          <w:p w14:paraId="4D229F00" w14:textId="77777777" w:rsidR="00555CE7" w:rsidRPr="00A651A1" w:rsidRDefault="00555CE7" w:rsidP="00555CE7">
            <w:pPr>
              <w:spacing w:after="0" w:line="240" w:lineRule="auto"/>
              <w:jc w:val="center"/>
              <w:rPr>
                <w:rFonts w:ascii="Arial" w:eastAsia="Times New Roman" w:hAnsi="Arial" w:cs="Arial"/>
                <w:b/>
                <w:bCs/>
                <w:kern w:val="0"/>
                <w:sz w:val="28"/>
                <w:szCs w:val="28"/>
                <w:lang w:eastAsia="it-IT"/>
                <w14:ligatures w14:val="none"/>
              </w:rPr>
            </w:pPr>
            <w:r w:rsidRPr="00A651A1">
              <w:rPr>
                <w:rFonts w:ascii="Arial" w:eastAsia="Times New Roman" w:hAnsi="Arial" w:cs="Arial"/>
                <w:b/>
                <w:bCs/>
                <w:kern w:val="0"/>
                <w:sz w:val="28"/>
                <w:szCs w:val="28"/>
                <w:lang w:eastAsia="it-IT"/>
                <w14:ligatures w14:val="none"/>
              </w:rPr>
              <w:t> </w:t>
            </w:r>
          </w:p>
        </w:tc>
        <w:tc>
          <w:tcPr>
            <w:tcW w:w="0" w:type="auto"/>
            <w:vAlign w:val="center"/>
            <w:hideMark/>
          </w:tcPr>
          <w:p w14:paraId="443AA755" w14:textId="77777777" w:rsidR="00555CE7" w:rsidRPr="00A651A1" w:rsidRDefault="00555CE7" w:rsidP="00555CE7">
            <w:pPr>
              <w:spacing w:after="0" w:line="240" w:lineRule="auto"/>
              <w:jc w:val="center"/>
              <w:rPr>
                <w:rFonts w:ascii="Arial" w:eastAsia="Times New Roman" w:hAnsi="Arial" w:cs="Arial"/>
                <w:b/>
                <w:bCs/>
                <w:kern w:val="0"/>
                <w:sz w:val="28"/>
                <w:szCs w:val="28"/>
                <w:lang w:eastAsia="it-IT"/>
                <w14:ligatures w14:val="none"/>
              </w:rPr>
            </w:pPr>
          </w:p>
        </w:tc>
        <w:tc>
          <w:tcPr>
            <w:tcW w:w="0" w:type="auto"/>
            <w:vAlign w:val="center"/>
            <w:hideMark/>
          </w:tcPr>
          <w:p w14:paraId="19323AAD" w14:textId="77777777" w:rsidR="00555CE7" w:rsidRPr="00A651A1" w:rsidRDefault="00555CE7" w:rsidP="00555CE7">
            <w:pPr>
              <w:spacing w:after="0" w:line="240" w:lineRule="auto"/>
              <w:jc w:val="center"/>
              <w:rPr>
                <w:rFonts w:ascii="Arial" w:eastAsia="Times New Roman" w:hAnsi="Arial" w:cs="Arial"/>
                <w:kern w:val="0"/>
                <w:sz w:val="20"/>
                <w:szCs w:val="20"/>
                <w:lang w:eastAsia="it-IT"/>
                <w14:ligatures w14:val="none"/>
              </w:rPr>
            </w:pPr>
          </w:p>
        </w:tc>
      </w:tr>
      <w:tr w:rsidR="00555CE7" w:rsidRPr="00A651A1" w14:paraId="66A95B24" w14:textId="77777777">
        <w:tc>
          <w:tcPr>
            <w:tcW w:w="0" w:type="auto"/>
            <w:vAlign w:val="center"/>
            <w:hideMark/>
          </w:tcPr>
          <w:p w14:paraId="5B3C1C9E" w14:textId="77777777" w:rsidR="00555CE7" w:rsidRPr="00A651A1" w:rsidRDefault="00555CE7" w:rsidP="00555CE7">
            <w:pPr>
              <w:spacing w:after="0" w:line="240" w:lineRule="auto"/>
              <w:jc w:val="center"/>
              <w:rPr>
                <w:rFonts w:ascii="Arial" w:eastAsia="Times New Roman" w:hAnsi="Arial" w:cs="Arial"/>
                <w:b/>
                <w:bCs/>
                <w:kern w:val="0"/>
                <w:sz w:val="28"/>
                <w:szCs w:val="28"/>
                <w:lang w:eastAsia="it-IT"/>
                <w14:ligatures w14:val="none"/>
              </w:rPr>
            </w:pPr>
            <w:r w:rsidRPr="00A651A1">
              <w:rPr>
                <w:rFonts w:ascii="Arial" w:eastAsia="Times New Roman" w:hAnsi="Arial" w:cs="Arial"/>
                <w:b/>
                <w:bCs/>
                <w:kern w:val="0"/>
                <w:sz w:val="28"/>
                <w:szCs w:val="28"/>
                <w:lang w:eastAsia="it-IT"/>
                <w14:ligatures w14:val="none"/>
              </w:rPr>
              <w:t> </w:t>
            </w:r>
          </w:p>
        </w:tc>
        <w:tc>
          <w:tcPr>
            <w:tcW w:w="0" w:type="auto"/>
            <w:vAlign w:val="center"/>
            <w:hideMark/>
          </w:tcPr>
          <w:p w14:paraId="2C22D123" w14:textId="77777777" w:rsidR="00555CE7" w:rsidRPr="00A651A1" w:rsidRDefault="00555CE7" w:rsidP="00555CE7">
            <w:pPr>
              <w:spacing w:after="0" w:line="240" w:lineRule="auto"/>
              <w:jc w:val="center"/>
              <w:rPr>
                <w:rFonts w:ascii="Arial" w:eastAsia="Times New Roman" w:hAnsi="Arial" w:cs="Arial"/>
                <w:b/>
                <w:bCs/>
                <w:kern w:val="0"/>
                <w:sz w:val="28"/>
                <w:szCs w:val="28"/>
                <w:lang w:eastAsia="it-IT"/>
                <w14:ligatures w14:val="none"/>
              </w:rPr>
            </w:pPr>
          </w:p>
        </w:tc>
        <w:tc>
          <w:tcPr>
            <w:tcW w:w="0" w:type="auto"/>
            <w:vAlign w:val="center"/>
            <w:hideMark/>
          </w:tcPr>
          <w:p w14:paraId="4EBDE93B" w14:textId="77777777" w:rsidR="00555CE7" w:rsidRPr="00A651A1" w:rsidRDefault="00555CE7" w:rsidP="00555CE7">
            <w:pPr>
              <w:spacing w:after="0" w:line="240" w:lineRule="auto"/>
              <w:jc w:val="center"/>
              <w:rPr>
                <w:rFonts w:ascii="Arial" w:eastAsia="Times New Roman" w:hAnsi="Arial" w:cs="Arial"/>
                <w:kern w:val="0"/>
                <w:sz w:val="20"/>
                <w:szCs w:val="20"/>
                <w:lang w:eastAsia="it-IT"/>
                <w14:ligatures w14:val="none"/>
              </w:rPr>
            </w:pPr>
          </w:p>
        </w:tc>
      </w:tr>
      <w:tr w:rsidR="00555CE7" w:rsidRPr="00A651A1" w14:paraId="3CE096D5" w14:textId="77777777">
        <w:tc>
          <w:tcPr>
            <w:tcW w:w="0" w:type="auto"/>
            <w:vAlign w:val="center"/>
            <w:hideMark/>
          </w:tcPr>
          <w:p w14:paraId="0A1A64B3" w14:textId="77777777" w:rsidR="00555CE7" w:rsidRPr="00A651A1" w:rsidRDefault="00555CE7" w:rsidP="00555CE7">
            <w:pPr>
              <w:spacing w:after="0" w:line="240" w:lineRule="auto"/>
              <w:jc w:val="center"/>
              <w:rPr>
                <w:rFonts w:ascii="Arial" w:eastAsia="Times New Roman" w:hAnsi="Arial" w:cs="Arial"/>
                <w:b/>
                <w:bCs/>
                <w:kern w:val="0"/>
                <w:sz w:val="28"/>
                <w:szCs w:val="28"/>
                <w:lang w:eastAsia="it-IT"/>
                <w14:ligatures w14:val="none"/>
              </w:rPr>
            </w:pPr>
            <w:r w:rsidRPr="00A651A1">
              <w:rPr>
                <w:rFonts w:ascii="Arial" w:eastAsia="Times New Roman" w:hAnsi="Arial" w:cs="Arial"/>
                <w:b/>
                <w:bCs/>
                <w:kern w:val="0"/>
                <w:sz w:val="28"/>
                <w:szCs w:val="28"/>
                <w:lang w:eastAsia="it-IT"/>
                <w14:ligatures w14:val="none"/>
              </w:rPr>
              <w:t> </w:t>
            </w:r>
          </w:p>
        </w:tc>
        <w:tc>
          <w:tcPr>
            <w:tcW w:w="0" w:type="auto"/>
            <w:vAlign w:val="center"/>
            <w:hideMark/>
          </w:tcPr>
          <w:p w14:paraId="3195DABB" w14:textId="77777777" w:rsidR="00555CE7" w:rsidRPr="00A651A1" w:rsidRDefault="00555CE7" w:rsidP="00555CE7">
            <w:pPr>
              <w:spacing w:after="0" w:line="240" w:lineRule="auto"/>
              <w:jc w:val="center"/>
              <w:rPr>
                <w:rFonts w:ascii="Arial" w:eastAsia="Times New Roman" w:hAnsi="Arial" w:cs="Arial"/>
                <w:b/>
                <w:bCs/>
                <w:kern w:val="0"/>
                <w:sz w:val="28"/>
                <w:szCs w:val="28"/>
                <w:lang w:eastAsia="it-IT"/>
                <w14:ligatures w14:val="none"/>
              </w:rPr>
            </w:pPr>
          </w:p>
        </w:tc>
        <w:tc>
          <w:tcPr>
            <w:tcW w:w="0" w:type="auto"/>
            <w:vAlign w:val="center"/>
            <w:hideMark/>
          </w:tcPr>
          <w:p w14:paraId="5CF4F825" w14:textId="77777777" w:rsidR="00555CE7" w:rsidRPr="00A651A1" w:rsidRDefault="00555CE7" w:rsidP="00555CE7">
            <w:pPr>
              <w:spacing w:after="0" w:line="240" w:lineRule="auto"/>
              <w:jc w:val="center"/>
              <w:rPr>
                <w:rFonts w:ascii="Arial" w:eastAsia="Times New Roman" w:hAnsi="Arial" w:cs="Arial"/>
                <w:kern w:val="0"/>
                <w:sz w:val="20"/>
                <w:szCs w:val="20"/>
                <w:lang w:eastAsia="it-IT"/>
                <w14:ligatures w14:val="none"/>
              </w:rPr>
            </w:pPr>
          </w:p>
        </w:tc>
      </w:tr>
    </w:tbl>
    <w:p w14:paraId="0F0738BB" w14:textId="77777777" w:rsidR="00555CE7" w:rsidRPr="00A651A1" w:rsidRDefault="00555CE7" w:rsidP="00555CE7">
      <w:pPr>
        <w:spacing w:after="0" w:line="540" w:lineRule="atLeast"/>
        <w:jc w:val="center"/>
        <w:rPr>
          <w:rFonts w:ascii="Arial" w:eastAsia="Times New Roman" w:hAnsi="Arial" w:cs="Arial"/>
          <w:color w:val="000000"/>
          <w:kern w:val="0"/>
          <w:sz w:val="30"/>
          <w:szCs w:val="30"/>
          <w:lang w:eastAsia="it-IT"/>
          <w14:ligatures w14:val="none"/>
        </w:rPr>
      </w:pPr>
      <w:r w:rsidRPr="00A651A1">
        <w:rPr>
          <w:rFonts w:ascii="Arial" w:eastAsia="Times New Roman" w:hAnsi="Arial" w:cs="Arial"/>
          <w:color w:val="000000"/>
          <w:kern w:val="0"/>
          <w:sz w:val="30"/>
          <w:szCs w:val="30"/>
          <w:lang w:eastAsia="it-IT"/>
          <w14:ligatures w14:val="none"/>
        </w:rPr>
        <w:t>IL SEGRETARIO</w:t>
      </w:r>
    </w:p>
    <w:p w14:paraId="0715A63F" w14:textId="77777777" w:rsidR="0028686D" w:rsidRDefault="0028686D"/>
    <w:sectPr w:rsidR="0028686D">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5CE7"/>
    <w:rsid w:val="0028686D"/>
    <w:rsid w:val="00502409"/>
    <w:rsid w:val="00555CE7"/>
    <w:rsid w:val="009345B3"/>
    <w:rsid w:val="00A651A1"/>
    <w:rsid w:val="00AB5BF8"/>
    <w:rsid w:val="00C7058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25354"/>
  <w15:chartTrackingRefBased/>
  <w15:docId w15:val="{9DB13440-EF1C-4F44-89B7-017E73458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555C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555C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555CE7"/>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555CE7"/>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555CE7"/>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555CE7"/>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555CE7"/>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555CE7"/>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555CE7"/>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55CE7"/>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555CE7"/>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555CE7"/>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555CE7"/>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555CE7"/>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555CE7"/>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555CE7"/>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555CE7"/>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555CE7"/>
    <w:rPr>
      <w:rFonts w:eastAsiaTheme="majorEastAsia" w:cstheme="majorBidi"/>
      <w:color w:val="272727" w:themeColor="text1" w:themeTint="D8"/>
    </w:rPr>
  </w:style>
  <w:style w:type="paragraph" w:styleId="Titolo">
    <w:name w:val="Title"/>
    <w:basedOn w:val="Normale"/>
    <w:next w:val="Normale"/>
    <w:link w:val="TitoloCarattere"/>
    <w:uiPriority w:val="10"/>
    <w:qFormat/>
    <w:rsid w:val="00555C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555CE7"/>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555CE7"/>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555CE7"/>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55CE7"/>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555CE7"/>
    <w:rPr>
      <w:i/>
      <w:iCs/>
      <w:color w:val="404040" w:themeColor="text1" w:themeTint="BF"/>
    </w:rPr>
  </w:style>
  <w:style w:type="paragraph" w:styleId="Paragrafoelenco">
    <w:name w:val="List Paragraph"/>
    <w:basedOn w:val="Normale"/>
    <w:uiPriority w:val="34"/>
    <w:qFormat/>
    <w:rsid w:val="00555CE7"/>
    <w:pPr>
      <w:ind w:left="720"/>
      <w:contextualSpacing/>
    </w:pPr>
  </w:style>
  <w:style w:type="character" w:styleId="Enfasiintensa">
    <w:name w:val="Intense Emphasis"/>
    <w:basedOn w:val="Carpredefinitoparagrafo"/>
    <w:uiPriority w:val="21"/>
    <w:qFormat/>
    <w:rsid w:val="00555CE7"/>
    <w:rPr>
      <w:i/>
      <w:iCs/>
      <w:color w:val="0F4761" w:themeColor="accent1" w:themeShade="BF"/>
    </w:rPr>
  </w:style>
  <w:style w:type="paragraph" w:styleId="Citazioneintensa">
    <w:name w:val="Intense Quote"/>
    <w:basedOn w:val="Normale"/>
    <w:next w:val="Normale"/>
    <w:link w:val="CitazioneintensaCarattere"/>
    <w:uiPriority w:val="30"/>
    <w:qFormat/>
    <w:rsid w:val="00555C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555CE7"/>
    <w:rPr>
      <w:i/>
      <w:iCs/>
      <w:color w:val="0F4761" w:themeColor="accent1" w:themeShade="BF"/>
    </w:rPr>
  </w:style>
  <w:style w:type="character" w:styleId="Riferimentointenso">
    <w:name w:val="Intense Reference"/>
    <w:basedOn w:val="Carpredefinitoparagrafo"/>
    <w:uiPriority w:val="32"/>
    <w:qFormat/>
    <w:rsid w:val="00555CE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33</Pages>
  <Words>8279</Words>
  <Characters>47196</Characters>
  <Application>Microsoft Office Word</Application>
  <DocSecurity>0</DocSecurity>
  <Lines>393</Lines>
  <Paragraphs>110</Paragraphs>
  <ScaleCrop>false</ScaleCrop>
  <Company>FNOMCeO</Company>
  <LinksUpToDate>false</LinksUpToDate>
  <CharactersWithSpaces>55365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Marcello Fontana</dc:creator>
  <cp:keywords/>
  <dc:description/>
  <cp:lastModifiedBy>Marcello Fontana</cp:lastModifiedBy>
  <cp:revision>2</cp:revision>
  <dcterms:created xsi:type="dcterms:W3CDTF">2026-10-15T08:31:00Z</dcterms:created>
  <dcterms:modified xsi:type="dcterms:W3CDTF">2026-10-15T08:31:00Z</dcterms:modified>
</cp:coreProperties>
</file>