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D27E7" w14:textId="4A7A0248" w:rsidR="00E17D68" w:rsidRDefault="000B0095" w:rsidP="00E17D68">
      <w:pPr>
        <w:jc w:val="center"/>
        <w:rPr>
          <w:rFonts w:ascii="Calibri" w:eastAsia="Calibri" w:hAnsi="Calibri" w:cs="Times New Roman"/>
          <w:b/>
          <w:bCs/>
          <w:sz w:val="36"/>
          <w:szCs w:val="36"/>
        </w:rPr>
      </w:pPr>
      <w:r>
        <w:rPr>
          <w:rFonts w:ascii="Calibri" w:eastAsia="Calibri" w:hAnsi="Calibri" w:cs="Times New Roman"/>
          <w:b/>
          <w:bCs/>
          <w:sz w:val="36"/>
          <w:szCs w:val="36"/>
        </w:rPr>
        <w:t xml:space="preserve"> </w:t>
      </w:r>
      <w:r w:rsidR="00C8624C" w:rsidRPr="00C8624C">
        <w:rPr>
          <w:rFonts w:ascii="Calibri" w:eastAsia="Calibri" w:hAnsi="Calibri" w:cs="Times New Roman"/>
          <w:b/>
          <w:bCs/>
          <w:sz w:val="36"/>
          <w:szCs w:val="36"/>
        </w:rPr>
        <w:t>COMUNICATO STAMPA</w:t>
      </w:r>
    </w:p>
    <w:p w14:paraId="6A3B39CA" w14:textId="0BFE6EAA" w:rsidR="00404E71" w:rsidRDefault="001A2B0C" w:rsidP="00822F55">
      <w:pPr>
        <w:spacing w:after="80"/>
        <w:jc w:val="center"/>
        <w:rPr>
          <w:b/>
          <w:bCs/>
          <w:sz w:val="36"/>
          <w:szCs w:val="36"/>
        </w:rPr>
      </w:pPr>
      <w:r>
        <w:rPr>
          <w:b/>
          <w:bCs/>
          <w:sz w:val="36"/>
          <w:szCs w:val="36"/>
        </w:rPr>
        <w:t>MANOVRA 202</w:t>
      </w:r>
      <w:r w:rsidR="00396475">
        <w:rPr>
          <w:b/>
          <w:bCs/>
          <w:sz w:val="36"/>
          <w:szCs w:val="36"/>
        </w:rPr>
        <w:t>7</w:t>
      </w:r>
      <w:r w:rsidR="000B40CB">
        <w:rPr>
          <w:b/>
          <w:bCs/>
          <w:sz w:val="36"/>
          <w:szCs w:val="36"/>
        </w:rPr>
        <w:t>:</w:t>
      </w:r>
      <w:r w:rsidR="0073697C">
        <w:rPr>
          <w:b/>
          <w:bCs/>
          <w:sz w:val="36"/>
          <w:szCs w:val="36"/>
        </w:rPr>
        <w:t xml:space="preserve"> </w:t>
      </w:r>
      <w:r w:rsidR="004A37F0">
        <w:rPr>
          <w:b/>
          <w:bCs/>
          <w:sz w:val="36"/>
          <w:szCs w:val="36"/>
        </w:rPr>
        <w:t>AL</w:t>
      </w:r>
      <w:r w:rsidR="00404E71">
        <w:rPr>
          <w:b/>
          <w:bCs/>
          <w:sz w:val="36"/>
          <w:szCs w:val="36"/>
        </w:rPr>
        <w:t>LA SANIT</w:t>
      </w:r>
      <w:r w:rsidRPr="0087608D">
        <w:rPr>
          <w:b/>
          <w:bCs/>
          <w:sz w:val="36"/>
          <w:szCs w:val="36"/>
        </w:rPr>
        <w:t xml:space="preserve">À </w:t>
      </w:r>
      <w:r w:rsidR="003A716E">
        <w:rPr>
          <w:b/>
          <w:bCs/>
          <w:sz w:val="36"/>
          <w:szCs w:val="36"/>
        </w:rPr>
        <w:t>LE</w:t>
      </w:r>
      <w:r w:rsidR="00404E71">
        <w:rPr>
          <w:b/>
          <w:bCs/>
          <w:sz w:val="36"/>
          <w:szCs w:val="36"/>
        </w:rPr>
        <w:t xml:space="preserve"> BRICIOLE</w:t>
      </w:r>
      <w:r w:rsidR="004A37F0">
        <w:rPr>
          <w:b/>
          <w:bCs/>
          <w:sz w:val="36"/>
          <w:szCs w:val="36"/>
        </w:rPr>
        <w:t>, AI CITTADINI IL CONTO</w:t>
      </w:r>
      <w:r w:rsidR="008A443D">
        <w:rPr>
          <w:b/>
          <w:bCs/>
          <w:sz w:val="36"/>
          <w:szCs w:val="36"/>
        </w:rPr>
        <w:t>.</w:t>
      </w:r>
    </w:p>
    <w:p w14:paraId="098E7A34" w14:textId="52E74C3E" w:rsidR="00CA765A" w:rsidRDefault="00CA765A" w:rsidP="00822F55">
      <w:pPr>
        <w:spacing w:after="80"/>
        <w:jc w:val="center"/>
        <w:rPr>
          <w:b/>
          <w:bCs/>
          <w:sz w:val="36"/>
          <w:szCs w:val="36"/>
        </w:rPr>
      </w:pPr>
      <w:r>
        <w:rPr>
          <w:b/>
          <w:bCs/>
          <w:sz w:val="36"/>
          <w:szCs w:val="36"/>
        </w:rPr>
        <w:t>RISORSE INSUFFICIENTI: SOLO € 2,4 MILIARDI AGGIUNTIVI L’ANNO NEL TRIENNIO 2027-2029, MENTRE LA MANOVRA SOSTIENE IMPRESE E PRIVATO E DESTINA € 1,6 MILIARDI AI VOUCHER SANITARI.</w:t>
      </w:r>
    </w:p>
    <w:p w14:paraId="535D8CFE" w14:textId="4B23EDE9" w:rsidR="0073697C" w:rsidRDefault="000B23D8" w:rsidP="00822F55">
      <w:pPr>
        <w:spacing w:after="80"/>
        <w:jc w:val="center"/>
        <w:rPr>
          <w:b/>
          <w:bCs/>
          <w:sz w:val="36"/>
          <w:szCs w:val="36"/>
        </w:rPr>
      </w:pPr>
      <w:r>
        <w:rPr>
          <w:b/>
          <w:bCs/>
          <w:sz w:val="36"/>
          <w:szCs w:val="36"/>
        </w:rPr>
        <w:t>NEL 2029 IL FONDO SANITARIO RAGGIUNGE € 148,2 MILIARDI, MA CROLLA AL 5,87% DEL PIL.</w:t>
      </w:r>
    </w:p>
    <w:p w14:paraId="1FAC80AB" w14:textId="5D77C97D" w:rsidR="008A443D" w:rsidRDefault="007E6ADD" w:rsidP="00822F55">
      <w:pPr>
        <w:spacing w:after="80"/>
        <w:jc w:val="center"/>
        <w:rPr>
          <w:b/>
          <w:bCs/>
          <w:sz w:val="36"/>
          <w:szCs w:val="36"/>
        </w:rPr>
      </w:pPr>
      <w:r>
        <w:rPr>
          <w:b/>
          <w:bCs/>
          <w:sz w:val="36"/>
          <w:szCs w:val="36"/>
        </w:rPr>
        <w:t>NEL TRIENNIO 2027-2029 DIVARIO DI € 25,8 MILIARDI TRA FONDO SANITARIO E SPESA PREVISTA, REGIONI SEMPRE PIÙ IN ROSSO. GIMBE: A FINE LEGISLATURA IL RILANCIO DEL SSN RESTA FUORI DALL’AGENDA DEL GOVERNO.</w:t>
      </w:r>
    </w:p>
    <w:p w14:paraId="09ECFD6E" w14:textId="373D9784" w:rsidR="00822F55" w:rsidRPr="00822F55" w:rsidRDefault="001C7821" w:rsidP="00822F55">
      <w:pPr>
        <w:jc w:val="center"/>
        <w:rPr>
          <w:rFonts w:ascii="Calibri" w:eastAsia="Calibri" w:hAnsi="Calibri" w:cs="Times New Roman"/>
          <w:b/>
          <w:bCs/>
          <w:sz w:val="24"/>
          <w:szCs w:val="24"/>
        </w:rPr>
      </w:pPr>
      <w:r>
        <w:rPr>
          <w:rFonts w:ascii="Calibri" w:eastAsia="Calibri" w:hAnsi="Calibri" w:cs="Times New Roman"/>
          <w:b/>
          <w:bCs/>
          <w:sz w:val="24"/>
          <w:szCs w:val="24"/>
        </w:rPr>
        <w:t xml:space="preserve">2 novembre </w:t>
      </w:r>
      <w:r w:rsidR="00AE0F77" w:rsidRPr="008B3612">
        <w:rPr>
          <w:rFonts w:ascii="Calibri" w:eastAsia="Calibri" w:hAnsi="Calibri" w:cs="Times New Roman"/>
          <w:b/>
          <w:bCs/>
          <w:sz w:val="24"/>
          <w:szCs w:val="24"/>
        </w:rPr>
        <w:t>20</w:t>
      </w:r>
      <w:r w:rsidR="004F5B37" w:rsidRPr="008B3612">
        <w:rPr>
          <w:rFonts w:ascii="Calibri" w:eastAsia="Calibri" w:hAnsi="Calibri" w:cs="Times New Roman"/>
          <w:b/>
          <w:bCs/>
          <w:sz w:val="24"/>
          <w:szCs w:val="24"/>
        </w:rPr>
        <w:t>2</w:t>
      </w:r>
      <w:r w:rsidR="006E338E">
        <w:rPr>
          <w:rFonts w:ascii="Calibri" w:eastAsia="Calibri" w:hAnsi="Calibri" w:cs="Times New Roman"/>
          <w:b/>
          <w:bCs/>
          <w:sz w:val="24"/>
          <w:szCs w:val="24"/>
        </w:rPr>
        <w:t>6</w:t>
      </w:r>
      <w:r w:rsidR="005B4F61" w:rsidRPr="008B3612">
        <w:rPr>
          <w:rFonts w:ascii="Calibri" w:eastAsia="Calibri" w:hAnsi="Calibri" w:cs="Times New Roman"/>
          <w:b/>
          <w:bCs/>
          <w:sz w:val="24"/>
          <w:szCs w:val="24"/>
        </w:rPr>
        <w:t xml:space="preserve"> - Fondazione GIMBE, </w:t>
      </w:r>
      <w:r w:rsidR="00815D4F" w:rsidRPr="008B3612">
        <w:rPr>
          <w:rFonts w:ascii="Calibri" w:eastAsia="Calibri" w:hAnsi="Calibri" w:cs="Times New Roman"/>
          <w:b/>
          <w:bCs/>
          <w:sz w:val="24"/>
          <w:szCs w:val="24"/>
        </w:rPr>
        <w:t>Bologna</w:t>
      </w:r>
    </w:p>
    <w:p w14:paraId="1764CD82" w14:textId="493D4C94" w:rsidR="003B437E" w:rsidRPr="00BF65B9" w:rsidRDefault="00822F55" w:rsidP="00713EAC">
      <w:pPr>
        <w:spacing w:after="120"/>
        <w:jc w:val="both"/>
        <w:rPr>
          <w:rFonts w:cstheme="minorHAnsi"/>
        </w:rPr>
      </w:pPr>
      <w:r>
        <w:rPr>
          <w:rFonts w:cstheme="minorHAnsi"/>
        </w:rPr>
        <w:t>Con la quinta legge di bilancio, il Governo Meloni conferma una tendenza: il finanziamento del Servizio Sanitario Nazionale (SSN) cresce meno della ricchezza del Paese. Il Fondo Sanitario Nazionale (FSN) raggiungerà € 146,3 miliardi nel 2027, € 147,1 miliardi nel 2028 e € 148,2 miliardi nel 2029, ma il rapporto FSN/PIL previsto per il 2027 resta inferiore a quello del 2022 e scenderà sotto il 6% dal 2028. «</w:t>
      </w:r>
      <w:r>
        <w:t xml:space="preserve">La Manovra 2027 – afferma Nino Cartabellotta, Presidente della Fondazione GIMBE – conferma che il Governo si avvia a chiudere la legislatura senza aver </w:t>
      </w:r>
      <w:r>
        <w:rPr>
          <w:rFonts w:cstheme="minorHAnsi"/>
        </w:rPr>
        <w:t>assicurato al SSN un rafforzamento strutturale</w:t>
      </w:r>
      <w:r>
        <w:t xml:space="preserve">. Dopo il netto incremento del 2026, infatti, la crescita del FSN torna a rallentare. La Legge di Bilancio </w:t>
      </w:r>
      <w:r>
        <w:rPr>
          <w:rFonts w:cstheme="minorHAnsi"/>
        </w:rPr>
        <w:t xml:space="preserve">prevede un aumento del </w:t>
      </w:r>
      <w:r>
        <w:t xml:space="preserve">FSN di soli € 7,1 miliardi nel triennio 2027-2029, a fronte degli oltre € 18 miliardi richiesti dalle Regioni. L’incidenza del FSN sul PIL scende al </w:t>
      </w:r>
      <w:r>
        <w:rPr>
          <w:rFonts w:cstheme="minorHAnsi"/>
        </w:rPr>
        <w:t xml:space="preserve">6,11% nel 2027, per poi attestarsi sotto il 6% nel 2028-2029. Le Regioni devono così garantire i servizi con margini finanziari sempre più ristretti, scaricando sui cittadini una quota crescente del costo delle cure. Uno scenario ancora più preoccupante per un </w:t>
      </w:r>
      <w:r>
        <w:t>SSN sempre meno attrattivo per i professionisti sanitari, segnato da profonde diseguaglianze: nel 2025 i cittadini hanno speso di tasca propria oltre € 42,4 miliardi per curarsi e 5,6 milioni di persone hanno rinunciato a visite ed esami</w:t>
      </w:r>
      <w:r>
        <w:rPr>
          <w:rFonts w:cstheme="minorHAnsi"/>
        </w:rPr>
        <w:t>».</w:t>
      </w:r>
    </w:p>
    <w:p w14:paraId="395717B1" w14:textId="4ABFDA6C" w:rsidR="000D14BB" w:rsidRPr="000D14BB" w:rsidRDefault="00734E23" w:rsidP="00713EAC">
      <w:pPr>
        <w:spacing w:after="120"/>
        <w:jc w:val="both"/>
        <w:rPr>
          <w:rFonts w:cstheme="minorHAnsi"/>
          <w:color w:val="FF0000"/>
        </w:rPr>
      </w:pPr>
      <w:r>
        <w:rPr>
          <w:rFonts w:cstheme="minorHAnsi"/>
        </w:rPr>
        <w:t xml:space="preserve">La Manovra, dunque, disattende sia le richieste del Ministro Schillaci, che aveva indicato la necessità di € 5,5 miliardi aggiuntivi, sia quelle delle </w:t>
      </w:r>
      <w:hyperlink r:id="rId8" w:history="1">
        <w:r>
          <w:rPr>
            <w:rStyle w:val="Collegamentoipertestuale"/>
            <w:rFonts w:cstheme="minorHAnsi"/>
          </w:rPr>
          <w:t>Regioni</w:t>
        </w:r>
      </w:hyperlink>
      <w:r>
        <w:rPr>
          <w:rFonts w:cstheme="minorHAnsi"/>
        </w:rPr>
        <w:t>, che nella loro articolata proposta avevano chiesto € 6,8 miliardi per il 2027, € 5,5 miliardi nel 2028 e € 5,7 miliardi a partire dal 2029.</w:t>
      </w:r>
      <w:r>
        <w:t xml:space="preserve"> </w:t>
      </w:r>
      <w:r>
        <w:rPr>
          <w:rFonts w:cstheme="minorHAnsi"/>
        </w:rPr>
        <w:t xml:space="preserve">Una scelta distante anche dal richiamo del </w:t>
      </w:r>
      <w:hyperlink r:id="rId9" w:history="1">
        <w:r>
          <w:rPr>
            <w:rStyle w:val="Collegamentoipertestuale"/>
            <w:rFonts w:cstheme="minorHAnsi"/>
          </w:rPr>
          <w:t>Presidente Mattarella</w:t>
        </w:r>
      </w:hyperlink>
      <w:r>
        <w:rPr>
          <w:rFonts w:cstheme="minorHAnsi"/>
        </w:rPr>
        <w:t xml:space="preserve">, che ha definito il SSN «un campo di assoluta priorità», da preservare e sviluppare come strumento fondamentale per garantire il diritto costituzionale alla salute. </w:t>
      </w:r>
    </w:p>
    <w:p w14:paraId="51874D03" w14:textId="62420848" w:rsidR="00A32DED" w:rsidRPr="00734E23" w:rsidRDefault="003F5E34" w:rsidP="00713EAC">
      <w:pPr>
        <w:spacing w:after="120"/>
        <w:jc w:val="both"/>
        <w:rPr>
          <w:rFonts w:cstheme="minorHAnsi"/>
        </w:rPr>
      </w:pPr>
      <w:r w:rsidRPr="003F5E34">
        <w:rPr>
          <w:rFonts w:cstheme="minorHAnsi"/>
        </w:rPr>
        <w:t>In vista della discussione parlamentare sul DdL Bilancio 2027, la Fondazione GIMBE ha condotto un’analisi indipendente delle risorse assegnate alla sanità</w:t>
      </w:r>
      <w:r w:rsidR="00A32DED">
        <w:rPr>
          <w:rFonts w:cstheme="minorHAnsi"/>
        </w:rPr>
        <w:t>, basata</w:t>
      </w:r>
      <w:r w:rsidR="00A32DED" w:rsidRPr="00A32DED">
        <w:rPr>
          <w:rFonts w:cstheme="minorHAnsi"/>
        </w:rPr>
        <w:t xml:space="preserve"> </w:t>
      </w:r>
      <w:r w:rsidR="00A32DED" w:rsidRPr="003F5E34">
        <w:rPr>
          <w:rFonts w:cstheme="minorHAnsi"/>
        </w:rPr>
        <w:t xml:space="preserve">sul testo bollinato dalla Ragioneria Generale dello </w:t>
      </w:r>
      <w:r w:rsidR="00A32DED" w:rsidRPr="003F5E34">
        <w:rPr>
          <w:rFonts w:cstheme="minorHAnsi"/>
        </w:rPr>
        <w:lastRenderedPageBreak/>
        <w:t>Stato</w:t>
      </w:r>
      <w:r w:rsidRPr="003F5E34">
        <w:rPr>
          <w:rFonts w:cstheme="minorHAnsi"/>
        </w:rPr>
        <w:t>. L’analisi distingue le nuove risorse da quelle già previste e ricostruisce il finanziamento anno per anno, confrontandolo con il PIL e con le previsioni di spesa sanitaria.</w:t>
      </w:r>
    </w:p>
    <w:p w14:paraId="5724930E" w14:textId="679073AE" w:rsidR="00AB508A" w:rsidRDefault="003C6E53" w:rsidP="00713EAC">
      <w:pPr>
        <w:spacing w:after="120"/>
        <w:jc w:val="both"/>
        <w:rPr>
          <w:rFonts w:cstheme="minorHAnsi"/>
        </w:rPr>
      </w:pPr>
      <w:r>
        <w:rPr>
          <w:rFonts w:cstheme="minorHAnsi"/>
          <w:b/>
          <w:bCs/>
        </w:rPr>
        <w:t>FONDO SANITARIO NAZIONALE</w:t>
      </w:r>
      <w:r>
        <w:rPr>
          <w:rFonts w:cstheme="minorHAnsi"/>
        </w:rPr>
        <w:t>. La Manovra 2027 stanzia complessivamente € 7,1 miliardi nel triennio: € 2,37 miliardi nel 2027, € 2,35 miliardi nel 2028 e € 2,4 miliardi nel 2029 (</w:t>
      </w:r>
      <w:r>
        <w:rPr>
          <w:rFonts w:cstheme="minorHAnsi"/>
          <w:highlight w:val="yellow"/>
        </w:rPr>
        <w:t>tabella 1</w:t>
      </w:r>
      <w:r>
        <w:rPr>
          <w:rFonts w:cstheme="minorHAnsi"/>
        </w:rPr>
        <w:t>). Considerando anche le risorse già previste dalle precedenti Leggi di Bilancio, il FSN raggiungerà € 146,3 miliardi nel 2027, € 147,1 miliardi nel 2028 e € 148,2 miliardi nel 2029 (</w:t>
      </w:r>
      <w:r>
        <w:rPr>
          <w:rFonts w:cstheme="minorHAnsi"/>
          <w:highlight w:val="yellow"/>
        </w:rPr>
        <w:t>figura 1</w:t>
      </w:r>
      <w:r>
        <w:rPr>
          <w:rFonts w:cstheme="minorHAnsi"/>
        </w:rPr>
        <w:t xml:space="preserve">). Nel 2027 il FSN aumenterà complessivamente di € 3,37 miliardi (+2,36%) rispetto al 2026: circa € 1 miliardo era già previsto dalle precedenti Leggi di Bilancio, mentre € 2,37 miliardi sono aggiunti dalla Manovra 2027. «Nel </w:t>
      </w:r>
      <w:hyperlink r:id="rId10" w:history="1">
        <w:r>
          <w:rPr>
            <w:rStyle w:val="Collegamentoipertestuale"/>
            <w:rFonts w:cstheme="minorHAnsi"/>
          </w:rPr>
          <w:t>documento celebrativo dei quattro anni di Governo</w:t>
        </w:r>
      </w:hyperlink>
      <w:r>
        <w:rPr>
          <w:rFonts w:cstheme="minorHAnsi"/>
        </w:rPr>
        <w:t xml:space="preserve"> – commenta il Presidente – la Presidente Meloni ha rivendicato l’aumento delle risorse destinate alla sanità. Ma il numero dei miliardi, da solo, non racconta tutta la realtà: dopo quattro anni, e ormai alla fine della legislatura, il rilancio del SSN non è mai diventato una vera priorità politica. Gli stanziamenti previsti per il triennio 2027-2029 confermano che il Governo non intende colmare il crescente divario tra i finanziamenti disponibili e quelli necessari per garantire le cure ai cittadini». Negli anni successivi la crescita del FSN si riduce a € 859 milioni (+0,59%) nel 2028 e € 1,1 miliardi (+0,75%) nel 2029. Parallelamente, si riduce il peso del finanziamento pubblico rispetto alla ricchezza prodotta dal Paese: il rapporto FSN/PIL passa dal 6,14% del 2026 al 6,11% nel 2027, per poi scendere sotto il 6%: 5,98% nel 2028 e 5,87% nel 2029 (</w:t>
      </w:r>
      <w:r>
        <w:rPr>
          <w:rFonts w:cstheme="minorHAnsi"/>
          <w:highlight w:val="yellow"/>
        </w:rPr>
        <w:t>figura 2</w:t>
      </w:r>
      <w:r>
        <w:rPr>
          <w:rFonts w:cstheme="minorHAnsi"/>
        </w:rPr>
        <w:t>). «In sintesi – spiega Cartabellotta – il FSN continua ad aumentare, raggiungendo nel 2027 il “</w:t>
      </w:r>
      <w:r>
        <w:rPr>
          <w:rFonts w:cstheme="minorHAnsi"/>
          <w:i/>
          <w:iCs/>
        </w:rPr>
        <w:t>valore più alto di sempre</w:t>
      </w:r>
      <w:r>
        <w:rPr>
          <w:rFonts w:cstheme="minorHAnsi"/>
        </w:rPr>
        <w:t>”. Ma dietro gli annunci di questo “</w:t>
      </w:r>
      <w:r>
        <w:rPr>
          <w:rFonts w:cstheme="minorHAnsi"/>
          <w:i/>
          <w:iCs/>
        </w:rPr>
        <w:t>nuovo record”</w:t>
      </w:r>
      <w:r>
        <w:rPr>
          <w:rFonts w:cstheme="minorHAnsi"/>
        </w:rPr>
        <w:t xml:space="preserve"> si nasconde una realtà ben diversa: la quota di ricchezza del Paese destinata alla sanità torna a diminuire, fino a toccare nel 2029 il valore più basso di sempre» (</w:t>
      </w:r>
      <w:r>
        <w:rPr>
          <w:rFonts w:cstheme="minorHAnsi"/>
          <w:highlight w:val="yellow"/>
        </w:rPr>
        <w:t>figura 3</w:t>
      </w:r>
      <w:r>
        <w:rPr>
          <w:rFonts w:cstheme="minorHAnsi"/>
        </w:rPr>
        <w:t>).</w:t>
      </w:r>
    </w:p>
    <w:p w14:paraId="051273C5" w14:textId="4D69ABB1" w:rsidR="005B5196" w:rsidRPr="008A443D" w:rsidRDefault="003C6E53" w:rsidP="00713EAC">
      <w:pPr>
        <w:spacing w:after="120"/>
        <w:jc w:val="both"/>
        <w:rPr>
          <w:rFonts w:eastAsia="Calibri" w:cstheme="minorHAnsi"/>
          <w:bCs/>
        </w:rPr>
      </w:pPr>
      <w:r>
        <w:rPr>
          <w:rFonts w:cstheme="minorHAnsi"/>
          <w:b/>
          <w:bCs/>
        </w:rPr>
        <w:t xml:space="preserve">FINANZIAMENTO ASSEGNATO VS PREVISIONI DI SPESA. </w:t>
      </w:r>
      <w:r>
        <w:rPr>
          <w:rFonts w:cstheme="minorHAnsi"/>
        </w:rPr>
        <w:t xml:space="preserve">Si amplia ulteriormente il divario tra il FSN assegnato dalla Manovra e le previsioni di spesa sanitaria </w:t>
      </w:r>
      <w:r w:rsidR="005B5196">
        <w:rPr>
          <w:rFonts w:cstheme="minorHAnsi"/>
        </w:rPr>
        <w:t xml:space="preserve">contenute nel </w:t>
      </w:r>
      <w:r>
        <w:rPr>
          <w:rFonts w:cstheme="minorHAnsi"/>
        </w:rPr>
        <w:t>Documento Programmatico di Finanza Pubblica (DPFP) 2026. I</w:t>
      </w:r>
      <w:r>
        <w:rPr>
          <w:rFonts w:eastAsia="Calibri" w:cstheme="minorHAnsi"/>
          <w:bCs/>
        </w:rPr>
        <w:t xml:space="preserve">n rapporto al PIL, </w:t>
      </w:r>
      <w:r>
        <w:rPr>
          <w:rFonts w:cstheme="minorHAnsi"/>
        </w:rPr>
        <w:t xml:space="preserve">la spesa sanitaria prevista </w:t>
      </w:r>
      <w:r>
        <w:rPr>
          <w:rFonts w:eastAsia="Calibri" w:cstheme="minorHAnsi"/>
          <w:bCs/>
        </w:rPr>
        <w:t xml:space="preserve">si attesta al 6,3% </w:t>
      </w:r>
      <w:r>
        <w:rPr>
          <w:rFonts w:cstheme="minorHAnsi"/>
        </w:rPr>
        <w:t>per tutto il triennio 2027-2029</w:t>
      </w:r>
      <w:r>
        <w:rPr>
          <w:rFonts w:eastAsia="Calibri" w:cstheme="minorHAnsi"/>
          <w:bCs/>
        </w:rPr>
        <w:t xml:space="preserve"> (</w:t>
      </w:r>
      <w:r w:rsidRPr="00475C36">
        <w:rPr>
          <w:rFonts w:eastAsia="Calibri" w:cstheme="minorHAnsi"/>
          <w:bCs/>
          <w:highlight w:val="yellow"/>
        </w:rPr>
        <w:t>figura 4</w:t>
      </w:r>
      <w:r>
        <w:rPr>
          <w:rFonts w:eastAsia="Calibri" w:cstheme="minorHAnsi"/>
          <w:bCs/>
        </w:rPr>
        <w:t>). In valori assoluti, il gap tra spesa prevista e FSN raggiunge € 5,4 miliardi nel 2027, € 8,5 miliardi nel 2028 e € 11,8 miliardi nel 2029 (</w:t>
      </w:r>
      <w:r>
        <w:rPr>
          <w:rFonts w:eastAsia="Calibri" w:cstheme="minorHAnsi"/>
          <w:bCs/>
          <w:highlight w:val="yellow"/>
        </w:rPr>
        <w:t>figura 5</w:t>
      </w:r>
      <w:r>
        <w:rPr>
          <w:rFonts w:eastAsia="Calibri" w:cstheme="minorHAnsi"/>
          <w:bCs/>
        </w:rPr>
        <w:t xml:space="preserve">). </w:t>
      </w:r>
      <w:r>
        <w:rPr>
          <w:rFonts w:cstheme="minorHAnsi"/>
        </w:rPr>
        <w:t xml:space="preserve">«Il crescente divario tra previsioni di spesa e FSN – puntualizza Cartabellotta – non è una semplice differenza contabile: si traduce in una pressione sempre maggiore sui bilanci regionali. Se lo Stato, cui spetta definire e finanziare i Livelli Essenziali di Assistenza (LEA), non mette a disposizione risorse adeguate, per mantenere i conti in ordine le Regioni devono aumentare le imposte oppure ridurre servizi e prestazioni. In entrambi i casi, il prezzo lo pagano comunque i cittadini». </w:t>
      </w:r>
    </w:p>
    <w:p w14:paraId="3CA0208E" w14:textId="79E9C68A" w:rsidR="005B5196" w:rsidRDefault="00F96836" w:rsidP="00713EAC">
      <w:pPr>
        <w:spacing w:after="120"/>
        <w:jc w:val="both"/>
        <w:rPr>
          <w:rFonts w:cstheme="minorHAnsi"/>
        </w:rPr>
      </w:pPr>
      <w:r>
        <w:rPr>
          <w:rFonts w:cstheme="minorHAnsi"/>
          <w:b/>
          <w:bCs/>
        </w:rPr>
        <w:t xml:space="preserve">22,7 MILIARDI DI “TAGLI INVISIBILI”. </w:t>
      </w:r>
      <w:r>
        <w:rPr>
          <w:rFonts w:cstheme="minorHAnsi"/>
        </w:rPr>
        <w:t>Al Governo Meloni va riconosciuto l’incremento del FSN di € 20,9 miliardi nel 2027 rispetto al 2022. Tuttavia, a questo aumento si accompagna la progressiva riduzione del rapporto FSN/PIL, che scende dal 6,27% del 2022 a valori intorno al 6-6,1% negli anni successivi (</w:t>
      </w:r>
      <w:r>
        <w:rPr>
          <w:rFonts w:cstheme="minorHAnsi"/>
          <w:highlight w:val="yellow"/>
        </w:rPr>
        <w:t>figura 2</w:t>
      </w:r>
      <w:r>
        <w:rPr>
          <w:rFonts w:cstheme="minorHAnsi"/>
        </w:rPr>
        <w:t>). Se tale rapporto fosse rimasto costante al livello del 2022, il SSN dal 2023 al 2027 avrebbe potuto disporre di circa € 22,7 miliardi in più (</w:t>
      </w:r>
      <w:r>
        <w:rPr>
          <w:rFonts w:cstheme="minorHAnsi"/>
          <w:highlight w:val="yellow"/>
        </w:rPr>
        <w:t>figura 6</w:t>
      </w:r>
      <w:r>
        <w:rPr>
          <w:rFonts w:cstheme="minorHAnsi"/>
        </w:rPr>
        <w:t xml:space="preserve">). Il </w:t>
      </w:r>
      <w:hyperlink r:id="rId11" w:history="1">
        <w:r>
          <w:rPr>
            <w:rStyle w:val="Collegamentoipertestuale"/>
            <w:rFonts w:cstheme="minorHAnsi"/>
          </w:rPr>
          <w:t>Ministro Schillaci ha contestato in Parlamento il concetto</w:t>
        </w:r>
      </w:hyperlink>
      <w:hyperlink r:id="rId12" w:history="1">
        <w:r>
          <w:rPr>
            <w:rStyle w:val="Collegamentoipertestuale"/>
            <w:rFonts w:cstheme="minorHAnsi"/>
          </w:rPr>
          <w:t xml:space="preserve"> di</w:t>
        </w:r>
      </w:hyperlink>
      <w:hyperlink r:id="rId13" w:history="1">
        <w:r>
          <w:rPr>
            <w:rStyle w:val="Collegamentoipertestuale"/>
            <w:rFonts w:cstheme="minorHAnsi"/>
          </w:rPr>
          <w:t xml:space="preserve"> “tagli invisibili</w:t>
        </w:r>
      </w:hyperlink>
      <w:r>
        <w:rPr>
          <w:rFonts w:cstheme="minorHAnsi"/>
        </w:rPr>
        <w:t>”, sostenendo che non si tratta di risorse sottratte alla sanità o ai cittadini, ma della differenza rispetto a un parametro teorico che mantiene costante al livello del 2022 il rapporto tra FSN e PIL. «È esattamente questo – replica Cartabellotta – il significato delle nostre analisi. Non abbiamo mai parlato di tagli nominali, ma di “tagli invisibili” che non compaiono certo nella contabilità dello Stato. I loro effetti si manifestano nei bilanci delle Regioni, nelle tasche dei cittadini e nelle crescenti difficoltà di accesso ai servizi, indebolendo la capacità del SSN di rispondere ai bisogni di salute. Il FSN cresce in miliardi, ma perde peso rispetto alla ricchezza del Paese: un meccanismo con cui tutti i Governi hanno perpetrato il definanziamento silenzioso del SSN, ovvero i “tagli invisibili”».</w:t>
      </w:r>
    </w:p>
    <w:p w14:paraId="70E51D73" w14:textId="1D48E804" w:rsidR="00403B2B" w:rsidRDefault="00205A3C" w:rsidP="00713EAC">
      <w:pPr>
        <w:spacing w:after="120"/>
        <w:jc w:val="both"/>
        <w:rPr>
          <w:rFonts w:cstheme="minorHAnsi"/>
        </w:rPr>
      </w:pPr>
      <w:r>
        <w:rPr>
          <w:rFonts w:cstheme="minorHAnsi"/>
          <w:b/>
          <w:bCs/>
        </w:rPr>
        <w:t>REGIONI SEMPRE PIÙ IN ROSSO</w:t>
      </w:r>
      <w:r>
        <w:rPr>
          <w:rFonts w:cstheme="minorHAnsi"/>
        </w:rPr>
        <w:t xml:space="preserve">. Secondo quanto </w:t>
      </w:r>
      <w:hyperlink r:id="rId14" w:history="1">
        <w:r>
          <w:rPr>
            <w:rStyle w:val="Collegamentoipertestuale"/>
            <w:rFonts w:cstheme="minorHAnsi"/>
          </w:rPr>
          <w:t>documentato dalla Corte dei conti</w:t>
        </w:r>
      </w:hyperlink>
      <w:r>
        <w:rPr>
          <w:rFonts w:cstheme="minorHAnsi"/>
        </w:rPr>
        <w:t xml:space="preserve"> lo scorso 12 ottobre, nel 2025 le Regioni hanno accumulato un disavanzo, prima delle coperture, di circa € 2,3 miliardi, in aumento </w:t>
      </w:r>
      <w:r>
        <w:rPr>
          <w:rFonts w:cstheme="minorHAnsi"/>
        </w:rPr>
        <w:lastRenderedPageBreak/>
        <w:t xml:space="preserve">di € 795,2 milioni (+51,8%) rispetto all’anno precedente. «Conti sempre più in rosso – chiosa il Presidente – sono il segnale di un sottofinanziamento strutturale con risorse insufficienti a coprire i costi dei servizi e a garantire i LEA. Una situazione che non può essere liquidata come semplice “cattiva amministrazione”, considerato che le difficoltà finanziarie riguardano quasi tutte le Regioni. A pesare sui bilanci sono anche l’inflazione che, secondo le </w:t>
      </w:r>
      <w:hyperlink r:id="rId15" w:history="1">
        <w:r>
          <w:rPr>
            <w:rStyle w:val="Collegamentoipertestuale"/>
            <w:rFonts w:cstheme="minorHAnsi"/>
          </w:rPr>
          <w:t>stime preliminari ISTAT</w:t>
        </w:r>
      </w:hyperlink>
      <w:r>
        <w:rPr>
          <w:rFonts w:cstheme="minorHAnsi"/>
        </w:rPr>
        <w:t>, a ottobre 2026 ha raggiunto il 5,4% su base annua, l’aumento dei costi di farmaci e tecnologie e i crescenti bisogni di salute di una popolazione sempre più anziana e affetta da malattie croniche».</w:t>
      </w:r>
    </w:p>
    <w:p w14:paraId="1D691E8C" w14:textId="7F16F76E" w:rsidR="005522A7" w:rsidRDefault="003C6E53" w:rsidP="00713EAC">
      <w:pPr>
        <w:spacing w:after="120"/>
        <w:jc w:val="both"/>
        <w:rPr>
          <w:rFonts w:cstheme="minorHAnsi"/>
          <w:b/>
          <w:bCs/>
        </w:rPr>
      </w:pPr>
      <w:r>
        <w:rPr>
          <w:rFonts w:cstheme="minorHAnsi"/>
          <w:b/>
          <w:bCs/>
        </w:rPr>
        <w:t>MISURE PREVISTE</w:t>
      </w:r>
      <w:r w:rsidR="005522A7">
        <w:rPr>
          <w:rFonts w:cstheme="minorHAnsi"/>
          <w:b/>
          <w:bCs/>
        </w:rPr>
        <w:t xml:space="preserve"> DALLA MANOVRA 2027</w:t>
      </w:r>
      <w:r w:rsidR="00E94B2E">
        <w:rPr>
          <w:rFonts w:cstheme="minorHAnsi"/>
          <w:b/>
          <w:bCs/>
        </w:rPr>
        <w:t xml:space="preserve"> </w:t>
      </w:r>
      <w:r w:rsidR="00E94B2E">
        <w:rPr>
          <w:rFonts w:cstheme="minorHAnsi"/>
        </w:rPr>
        <w:t>(</w:t>
      </w:r>
      <w:r w:rsidR="00E94B2E">
        <w:rPr>
          <w:rFonts w:cstheme="minorHAnsi"/>
          <w:highlight w:val="yellow"/>
        </w:rPr>
        <w:t>tabella 2</w:t>
      </w:r>
      <w:r w:rsidR="00E94B2E">
        <w:rPr>
          <w:rFonts w:cstheme="minorHAnsi"/>
        </w:rPr>
        <w:t>)</w:t>
      </w:r>
    </w:p>
    <w:p w14:paraId="1E9AC5AF" w14:textId="18728662" w:rsidR="00403B2B" w:rsidRDefault="003C6E53" w:rsidP="00713EAC">
      <w:pPr>
        <w:spacing w:after="120"/>
        <w:jc w:val="both"/>
        <w:rPr>
          <w:rFonts w:cstheme="minorHAnsi"/>
        </w:rPr>
      </w:pPr>
      <w:r>
        <w:rPr>
          <w:rFonts w:cstheme="minorHAnsi"/>
          <w:bCs/>
        </w:rPr>
        <w:t>L’art. 69 della Manovra, dedicato al “Rifinanziamento del Servizio Sanitario Nazionale”, dispone l’incremento del FSN e ne specifica alcune destinazioni</w:t>
      </w:r>
      <w:r>
        <w:rPr>
          <w:rFonts w:cstheme="minorHAnsi"/>
        </w:rPr>
        <w:t>, destinando espressamente cifre esigue alla libera disponibilità di Regioni e Province autonome, anche per far fronte agli effetti dell’inflazione: € 138 milioni nel 2027, € 236 milioni nel 2028 e € 273 milioni nel 2029. «Una parte consistente delle risorse stanziate – commenta Cartabellotta – viene assorbita dall’aumento dei costi dell’assistenza. Aggiornare le tariffe e intervenire su payback e tetti di spesa significa coprire costi maggiori, senza necessariamente aumentare le prestazioni erogate. In altre parole, il modesto aumento del FSN non si traduce in un corrispondente potenziamento dei servizi, mentre alle Regioni restano margini finanziari molto ridotti per ampliare l’offerta e rispondere ai bisogni di salute della popolazione». Infine, la Manovra prevede misure finanziate al di fuori del FSN e interventi che utilizzano risorse già stanziate.</w:t>
      </w:r>
    </w:p>
    <w:p w14:paraId="212642C7" w14:textId="33E72EF7" w:rsidR="00CC02E1" w:rsidRPr="005522A7" w:rsidRDefault="00CC02E1" w:rsidP="00713EAC">
      <w:pPr>
        <w:pStyle w:val="Paragrafoelenco"/>
        <w:numPr>
          <w:ilvl w:val="0"/>
          <w:numId w:val="10"/>
        </w:numPr>
        <w:spacing w:after="120"/>
        <w:jc w:val="both"/>
        <w:rPr>
          <w:b/>
          <w:bCs/>
        </w:rPr>
      </w:pPr>
      <w:r w:rsidRPr="005522A7">
        <w:rPr>
          <w:b/>
          <w:bCs/>
        </w:rPr>
        <w:t>MISURE A VALERE SUL FONDO SANITARIO NAZIONALE</w:t>
      </w:r>
    </w:p>
    <w:p w14:paraId="33686AF3" w14:textId="6357D5CA" w:rsidR="00420AC8" w:rsidRPr="00475C36" w:rsidRDefault="003C6E53" w:rsidP="00713EAC">
      <w:pPr>
        <w:spacing w:after="120"/>
        <w:jc w:val="both"/>
      </w:pPr>
      <w:r>
        <w:rPr>
          <w:b/>
          <w:bCs/>
        </w:rPr>
        <w:t xml:space="preserve">PERSONALE. </w:t>
      </w:r>
      <w:r>
        <w:t>Dal 2027 le risorse destinate all’</w:t>
      </w:r>
      <w:r>
        <w:rPr>
          <w:b/>
          <w:bCs/>
        </w:rPr>
        <w:t xml:space="preserve">indennità per i professionisti dei Pronto soccorso </w:t>
      </w:r>
      <w:r>
        <w:t xml:space="preserve">aumentano di € 380 milioni annui lordi: € 114 milioni per i medici e € 266 milioni per il personale del comparto. </w:t>
      </w:r>
      <w:r>
        <w:rPr>
          <w:rFonts w:cstheme="minorHAnsi"/>
        </w:rPr>
        <w:t>«L’aumento dell’indennità – commenta Cartabellotta – riconosce la particolare gravosità del lavoro in Pronto soccorso, ma non può sostituire un piano strutturale per potenziare gli organici e rendere sostenibili turni e carichi di lavoro».</w:t>
      </w:r>
      <w:r>
        <w:t xml:space="preserve"> </w:t>
      </w:r>
      <w:r>
        <w:rPr>
          <w:rFonts w:cstheme="minorHAnsi"/>
        </w:rPr>
        <w:t xml:space="preserve">Inoltre, per il solo 2027, le Regioni potranno incrementare la spesa per </w:t>
      </w:r>
      <w:r>
        <w:rPr>
          <w:rFonts w:cstheme="minorHAnsi"/>
          <w:b/>
          <w:bCs/>
        </w:rPr>
        <w:t>prestazioni aggiuntive</w:t>
      </w:r>
      <w:r>
        <w:rPr>
          <w:rFonts w:cstheme="minorHAnsi"/>
        </w:rPr>
        <w:t xml:space="preserve"> del personale sanitario fino a € 300 milioni lordi: € 213 milioni per i medici e € 87 milioni per il personale sanitario del comparto, nel rispetto dei limiti contrattuali delle tariffe orarie, dei volumi erogabili, dell’orario massimo di lavoro e dei riposi. «La strategia </w:t>
      </w:r>
      <w:r>
        <w:t>del “più lavori, più ti pago”</w:t>
      </w:r>
      <w:r>
        <w:rPr>
          <w:rFonts w:cstheme="minorHAnsi"/>
        </w:rPr>
        <w:t xml:space="preserve"> – commenta Cartabellotta – </w:t>
      </w:r>
      <w:r>
        <w:t>mostra i suoi limiti: i professionisti sanitari sono già stremati da turni massacranti, hanno elevati livelli di burnout e la crescente demotivazione li spinge a lasciare il SSN. Continuare a chiedere di lavorare di più può tamponare le carenze di personale, ma rischia di accelerare la fuga dal SSN</w:t>
      </w:r>
      <w:r>
        <w:rPr>
          <w:rFonts w:cstheme="minorHAnsi"/>
        </w:rPr>
        <w:t>».</w:t>
      </w:r>
    </w:p>
    <w:p w14:paraId="28CCF32C" w14:textId="63688E69" w:rsidR="00B25161" w:rsidRPr="00C436CE" w:rsidRDefault="000F60B0" w:rsidP="00713EAC">
      <w:pPr>
        <w:spacing w:after="120"/>
        <w:jc w:val="both"/>
        <w:rPr>
          <w:b/>
          <w:bCs/>
        </w:rPr>
      </w:pPr>
      <w:r>
        <w:rPr>
          <w:b/>
          <w:bCs/>
        </w:rPr>
        <w:t xml:space="preserve">TARIFFE DEI RICOVERI. </w:t>
      </w:r>
      <w:r>
        <w:t xml:space="preserve">A decorrere dal 2027 vengono stanziati € 500 milioni annui per l’adeguamento delle </w:t>
      </w:r>
      <w:r>
        <w:rPr>
          <w:b/>
          <w:bCs/>
        </w:rPr>
        <w:t xml:space="preserve">tariffe dei ricoveri per acuti. </w:t>
      </w:r>
    </w:p>
    <w:p w14:paraId="1CA87A51" w14:textId="3BB196B3" w:rsidR="00475B1C" w:rsidRDefault="00475B1C" w:rsidP="00713EAC">
      <w:pPr>
        <w:spacing w:after="120"/>
        <w:jc w:val="both"/>
      </w:pPr>
      <w:r>
        <w:rPr>
          <w:rFonts w:cstheme="minorHAnsi"/>
          <w:b/>
          <w:bCs/>
        </w:rPr>
        <w:t xml:space="preserve">TETTI DI SPESA PER FARMACI E DISPOSITIVI MEDICI. </w:t>
      </w:r>
      <w:r>
        <w:t xml:space="preserve">La Manovra ridetermina i tetti di spesa per gli acquisti diretti di farmaci (dall’8,8% al 9%) e per i dispositivi medici (dal 4,6% al 4,7%). Gli oneri stimati a carico del FSN ammontano a circa € 146 milioni annui dal 2027 per i </w:t>
      </w:r>
      <w:r>
        <w:rPr>
          <w:b/>
          <w:bCs/>
        </w:rPr>
        <w:t>dispositivi medici</w:t>
      </w:r>
      <w:r>
        <w:t xml:space="preserve"> e a circa € 292 milioni annui dal 2028 per gli </w:t>
      </w:r>
      <w:r>
        <w:rPr>
          <w:b/>
          <w:bCs/>
        </w:rPr>
        <w:t>acquisti diretti dei farmaci</w:t>
      </w:r>
      <w:r>
        <w:t>. A parità di spesa complessiva, la misura riduce il ripiano a carico delle imprese.</w:t>
      </w:r>
    </w:p>
    <w:p w14:paraId="262B26D5" w14:textId="30E74B97" w:rsidR="00BC2F8D" w:rsidRDefault="000F60B0" w:rsidP="00713EAC">
      <w:pPr>
        <w:spacing w:after="120"/>
        <w:jc w:val="both"/>
      </w:pPr>
      <w:r>
        <w:rPr>
          <w:b/>
          <w:bCs/>
        </w:rPr>
        <w:t xml:space="preserve">ALTRE MISURE. </w:t>
      </w:r>
      <w:r>
        <w:t xml:space="preserve">Per le spese socioassistenziali dei </w:t>
      </w:r>
      <w:r>
        <w:rPr>
          <w:b/>
          <w:bCs/>
        </w:rPr>
        <w:t>pazienti con Alzheimer</w:t>
      </w:r>
      <w:r>
        <w:t xml:space="preserve"> e altre demenze senili la Manovra stanzia € 100 milioni </w:t>
      </w:r>
      <w:r w:rsidR="00475C36">
        <w:t xml:space="preserve">solo </w:t>
      </w:r>
      <w:r>
        <w:t>per</w:t>
      </w:r>
      <w:r w:rsidR="00403B2B">
        <w:t xml:space="preserve"> il </w:t>
      </w:r>
      <w:r>
        <w:t xml:space="preserve">2027. </w:t>
      </w:r>
      <w:r w:rsidR="00403B2B">
        <w:t xml:space="preserve">Per le </w:t>
      </w:r>
      <w:r w:rsidR="00403B2B" w:rsidRPr="00475C36">
        <w:rPr>
          <w:b/>
        </w:rPr>
        <w:t>prestazioni psicologiche e terapeutico-riabilitative erogate dai servizi per le dipendenze a pazienti residenti in altre Regioni</w:t>
      </w:r>
      <w:r w:rsidR="00403B2B">
        <w:t>, le risorse aumentano di € 15 milioni annui a decorrere dal 2027, portando la dotazione complessiva a € 30 milioni annui. L’incremento è compreso nel rifinanziamento del FSN.</w:t>
      </w:r>
    </w:p>
    <w:p w14:paraId="344BA05F" w14:textId="77777777" w:rsidR="00713EAC" w:rsidRDefault="00713EAC" w:rsidP="00713EAC">
      <w:pPr>
        <w:spacing w:after="120"/>
        <w:jc w:val="both"/>
      </w:pPr>
    </w:p>
    <w:p w14:paraId="0A648A9D" w14:textId="70C7CA5E" w:rsidR="005522A7" w:rsidRDefault="007B1B70" w:rsidP="00713EAC">
      <w:pPr>
        <w:pStyle w:val="Paragrafoelenco"/>
        <w:numPr>
          <w:ilvl w:val="0"/>
          <w:numId w:val="10"/>
        </w:numPr>
        <w:spacing w:after="120"/>
        <w:ind w:left="357" w:hanging="357"/>
        <w:contextualSpacing w:val="0"/>
        <w:jc w:val="both"/>
        <w:rPr>
          <w:b/>
          <w:bCs/>
        </w:rPr>
      </w:pPr>
      <w:r w:rsidRPr="005522A7">
        <w:rPr>
          <w:b/>
          <w:bCs/>
        </w:rPr>
        <w:lastRenderedPageBreak/>
        <w:t>MISURE</w:t>
      </w:r>
      <w:r w:rsidR="00222D40" w:rsidRPr="005522A7">
        <w:rPr>
          <w:b/>
          <w:bCs/>
        </w:rPr>
        <w:t xml:space="preserve"> NON A VALERE SUL FONDO SANITARIO</w:t>
      </w:r>
      <w:r w:rsidRPr="005522A7">
        <w:rPr>
          <w:b/>
          <w:bCs/>
        </w:rPr>
        <w:t xml:space="preserve"> </w:t>
      </w:r>
    </w:p>
    <w:p w14:paraId="0FE145FB" w14:textId="4305A664" w:rsidR="00BC2F8D" w:rsidRDefault="00CC02E1" w:rsidP="00713EAC">
      <w:pPr>
        <w:spacing w:after="120"/>
        <w:jc w:val="both"/>
      </w:pPr>
      <w:r>
        <w:rPr>
          <w:b/>
          <w:bCs/>
        </w:rPr>
        <w:t>VOUCHER SANITARIO.</w:t>
      </w:r>
      <w:r>
        <w:t xml:space="preserve"> L’art. 53 istituisce, solo per il 2027, un fondo di € 1.645 milioni per l’erogazione di un voucher da € 300 destinato all’acquisto di beni e prestazioni sanitarie, le cui modalità di utilizzo saranno </w:t>
      </w:r>
      <w:r>
        <w:rPr>
          <w:rFonts w:cstheme="minorHAnsi"/>
        </w:rPr>
        <w:t>definite da un successivo decreto attuativo</w:t>
      </w:r>
      <w:r>
        <w:t xml:space="preserve">. I destinatari sono i titolari di trattamenti pensionistici o assistenziali che abbiano compiuto 75 anni entro il 31 dicembre 2026 e che nel 2025 abbiano percepito trattamenti complessivamente non superiori a € 28.000 lordi annui: la platea stimata è di circa 5,46 milioni di persone. «Sostenere economicamente gli anziani più fragili – commenta Cartabellotta – è un obiettivo condivisibile, ma un contributo </w:t>
      </w:r>
      <w:r w:rsidR="00467E22">
        <w:t xml:space="preserve">di oltre € 1,6 miliardi </w:t>
      </w:r>
      <w:r>
        <w:t>per l’acquisto di beni e prestazioni sanitarie non potenzia</w:t>
      </w:r>
      <w:r w:rsidR="00467E22">
        <w:t xml:space="preserve"> </w:t>
      </w:r>
      <w:r>
        <w:t xml:space="preserve">direttamente l’offerta pubblica. </w:t>
      </w:r>
      <w:r w:rsidR="00467E22">
        <w:t>Inoltre, s</w:t>
      </w:r>
      <w:r>
        <w:t xml:space="preserve">e il decreto attuativo consentirà di utilizzare il voucher anche per acquistare prestazioni sul mercato privato, le risorse pubbliche finiranno per sostenerne la domanda, senza rafforzare la capacità del SSN di rispondere ai bisogni di salute. </w:t>
      </w:r>
      <w:r w:rsidR="00467E22">
        <w:t>Infine, l</w:t>
      </w:r>
      <w:r>
        <w:t xml:space="preserve">a misura dura un solo anno e prevede criteri di accesso che sollevano interrogativi sull’equità: l’importo della pensione non fotografa la condizione economica complessiva, perché non considera altri redditi e patrimoni, mentre il requisito dell’età </w:t>
      </w:r>
      <w:r>
        <w:rPr>
          <w:rFonts w:cstheme="minorHAnsi"/>
        </w:rPr>
        <w:t>esclude persone più giovani, anche se affette da patologie e in difficoltà economica</w:t>
      </w:r>
      <w:r>
        <w:t>».</w:t>
      </w:r>
    </w:p>
    <w:p w14:paraId="25C42947" w14:textId="785B00C2" w:rsidR="0002774F" w:rsidRDefault="00BC2F8D" w:rsidP="00713EAC">
      <w:pPr>
        <w:spacing w:after="120"/>
        <w:jc w:val="both"/>
      </w:pPr>
      <w:r>
        <w:rPr>
          <w:rStyle w:val="Collegamentoipertestuale"/>
          <w:b/>
          <w:bCs/>
          <w:color w:val="auto"/>
          <w:u w:val="none"/>
        </w:rPr>
        <w:t xml:space="preserve">PAYBACK E SOSTEGNO ALLE IMPRESE. </w:t>
      </w:r>
      <w:r>
        <w:t xml:space="preserve">Dal 2027 è previsto un fondo di € 160 milioni annui destinato alle Regioni per </w:t>
      </w:r>
      <w:r>
        <w:rPr>
          <w:b/>
        </w:rPr>
        <w:t>compensare la riduzione del ripiano farmaceutico</w:t>
      </w:r>
      <w:r>
        <w:t xml:space="preserve"> dovuto dalle imprese che effettuano investimenti aggiuntivi in Italia. Le risorse del fondo sono trasferite alle Regioni, ma il beneficio economico è riconosciuto alle imprese. Per il</w:t>
      </w:r>
      <w:r>
        <w:rPr>
          <w:b/>
          <w:bCs/>
        </w:rPr>
        <w:t xml:space="preserve"> payback sui dispositivi medici</w:t>
      </w:r>
      <w:r>
        <w:t>, la quota di ripiano a carico dello Stato è pari a € 350 milioni per ciascuno degli anni 2028-2031.</w:t>
      </w:r>
    </w:p>
    <w:p w14:paraId="3EDF6E6D" w14:textId="6456E722" w:rsidR="0002774F" w:rsidRDefault="00CC02E1" w:rsidP="00713EAC">
      <w:pPr>
        <w:spacing w:after="120"/>
        <w:jc w:val="both"/>
      </w:pPr>
      <w:r>
        <w:rPr>
          <w:b/>
          <w:bCs/>
        </w:rPr>
        <w:t>ALTRE MISURE.</w:t>
      </w:r>
      <w:r>
        <w:t xml:space="preserve"> La Manovra stanzia € 136 milioni per il solo 2027 per prorogare la sperimentazione della </w:t>
      </w:r>
      <w:r>
        <w:rPr>
          <w:b/>
          <w:bCs/>
        </w:rPr>
        <w:t>prestazione universale per anziani non autosufficienti</w:t>
      </w:r>
      <w:r>
        <w:t xml:space="preserve">. Prevede inoltre € 200 milioni annui nel triennio 2028-2030 per </w:t>
      </w:r>
      <w:r>
        <w:rPr>
          <w:b/>
          <w:bCs/>
        </w:rPr>
        <w:t xml:space="preserve">l’efficientamento energetico </w:t>
      </w:r>
      <w:r>
        <w:t xml:space="preserve">di ospedali e strutture sanitarie pubbliche. Per il 2027 sono stanziati € 100 milioni per concorrere agli oneri derivanti da sentenze e accordi transattivi relativi al </w:t>
      </w:r>
      <w:r>
        <w:rPr>
          <w:b/>
          <w:bCs/>
        </w:rPr>
        <w:t>servizio mensa o al buono pasto sostitutivo</w:t>
      </w:r>
      <w:r>
        <w:t xml:space="preserve"> per il personale del comparto con prestazioni lavorative giornaliere superiori alle sei ore. A decorrere dal 2027, il </w:t>
      </w:r>
      <w:r>
        <w:rPr>
          <w:b/>
          <w:bCs/>
        </w:rPr>
        <w:t>Fondo nazionale di intervento per la lotta alla droga</w:t>
      </w:r>
      <w:r>
        <w:t xml:space="preserve"> viene incrementato di € 5 milioni annui, mentre il </w:t>
      </w:r>
      <w:r>
        <w:rPr>
          <w:b/>
          <w:bCs/>
        </w:rPr>
        <w:t>Fondo per la detenzione domiciliare finalizzata al recupero delle persone con dipendenze</w:t>
      </w:r>
      <w:r>
        <w:t xml:space="preserve"> viene rifinanziato con € 20,56 milioni annui.</w:t>
      </w:r>
    </w:p>
    <w:p w14:paraId="3649B5B0" w14:textId="41ABD5BC" w:rsidR="00CC02E1" w:rsidRPr="005522A7" w:rsidRDefault="00371F6B" w:rsidP="00713EAC">
      <w:pPr>
        <w:pStyle w:val="Paragrafoelenco"/>
        <w:numPr>
          <w:ilvl w:val="0"/>
          <w:numId w:val="10"/>
        </w:numPr>
        <w:spacing w:after="120"/>
        <w:ind w:left="357" w:hanging="357"/>
        <w:contextualSpacing w:val="0"/>
        <w:jc w:val="both"/>
        <w:rPr>
          <w:b/>
          <w:bCs/>
        </w:rPr>
      </w:pPr>
      <w:r w:rsidRPr="005522A7">
        <w:rPr>
          <w:b/>
          <w:bCs/>
        </w:rPr>
        <w:t xml:space="preserve">MISURE </w:t>
      </w:r>
      <w:r w:rsidR="00467E22">
        <w:rPr>
          <w:b/>
          <w:bCs/>
        </w:rPr>
        <w:t>FINANZIATE CON RISORSE GIÀ</w:t>
      </w:r>
      <w:r w:rsidRPr="005522A7">
        <w:rPr>
          <w:b/>
          <w:bCs/>
        </w:rPr>
        <w:t xml:space="preserve"> </w:t>
      </w:r>
      <w:r w:rsidR="00467E22">
        <w:rPr>
          <w:b/>
          <w:bCs/>
        </w:rPr>
        <w:t>STANZIATE</w:t>
      </w:r>
    </w:p>
    <w:p w14:paraId="68968614" w14:textId="63396747" w:rsidR="0002774F" w:rsidRDefault="00737992" w:rsidP="00713EAC">
      <w:pPr>
        <w:spacing w:after="120"/>
        <w:jc w:val="both"/>
      </w:pPr>
      <w:r w:rsidRPr="00737992">
        <w:rPr>
          <w:b/>
          <w:bCs/>
        </w:rPr>
        <w:t>PRIVATO ACCREDITATO</w:t>
      </w:r>
      <w:r w:rsidRPr="00737992">
        <w:t xml:space="preserve">. Dal 2027 la Manovra innalza </w:t>
      </w:r>
      <w:r w:rsidR="0002774F">
        <w:t xml:space="preserve">di 3 punti percentuali </w:t>
      </w:r>
      <w:r w:rsidRPr="00737992">
        <w:t>il limite</w:t>
      </w:r>
      <w:r w:rsidR="0002774F">
        <w:t xml:space="preserve"> di spesa</w:t>
      </w:r>
      <w:r w:rsidRPr="00737992">
        <w:t xml:space="preserve"> per l’</w:t>
      </w:r>
      <w:r w:rsidRPr="00737992">
        <w:rPr>
          <w:b/>
          <w:bCs/>
        </w:rPr>
        <w:t>acquisto di prestazioni dagli erogatori privati accreditati</w:t>
      </w:r>
      <w:r w:rsidRPr="00737992">
        <w:t xml:space="preserve">: 2 </w:t>
      </w:r>
      <w:r w:rsidR="0002774F">
        <w:t>punti per gli</w:t>
      </w:r>
      <w:r w:rsidRPr="00737992">
        <w:t xml:space="preserve"> effetti delle nuove tariffe di riabilitazione ospedaliera e lungodegenza e 1</w:t>
      </w:r>
      <w:r w:rsidR="0002774F">
        <w:t xml:space="preserve"> punto per </w:t>
      </w:r>
      <w:r w:rsidR="00187163">
        <w:t>q</w:t>
      </w:r>
      <w:r w:rsidRPr="00737992">
        <w:t xml:space="preserve">uelli della specialistica ambulatoriale e protesica. </w:t>
      </w:r>
      <w:r w:rsidR="0049748A">
        <w:t>Gli effetti tariffari sono</w:t>
      </w:r>
      <w:r w:rsidRPr="00737992">
        <w:t xml:space="preserve"> </w:t>
      </w:r>
      <w:r w:rsidR="0049748A">
        <w:t xml:space="preserve">di </w:t>
      </w:r>
      <w:r w:rsidRPr="00737992">
        <w:t>€</w:t>
      </w:r>
      <w:r>
        <w:t xml:space="preserve"> </w:t>
      </w:r>
      <w:r w:rsidRPr="00737992">
        <w:t xml:space="preserve">365 milioni annui, </w:t>
      </w:r>
      <w:r w:rsidR="0049748A">
        <w:t xml:space="preserve">già </w:t>
      </w:r>
      <w:r w:rsidRPr="00737992">
        <w:t xml:space="preserve">coperti </w:t>
      </w:r>
      <w:r w:rsidR="0049748A">
        <w:t>da</w:t>
      </w:r>
      <w:r w:rsidR="009E2561">
        <w:t xml:space="preserve"> risorse </w:t>
      </w:r>
      <w:r w:rsidR="0049748A">
        <w:t>allocat</w:t>
      </w:r>
      <w:r w:rsidR="009E2561">
        <w:t>e</w:t>
      </w:r>
      <w:r w:rsidR="0049748A">
        <w:t xml:space="preserve"> </w:t>
      </w:r>
      <w:r w:rsidRPr="00737992">
        <w:t>da precedenti Manovre: €</w:t>
      </w:r>
      <w:r>
        <w:t xml:space="preserve"> </w:t>
      </w:r>
      <w:r w:rsidRPr="00737992">
        <w:t xml:space="preserve">350 milioni annui </w:t>
      </w:r>
      <w:r w:rsidR="0002774F">
        <w:t xml:space="preserve">a partire </w:t>
      </w:r>
      <w:r w:rsidRPr="00737992">
        <w:t>dal 2026 per riabilitazione e lungodegenza e €</w:t>
      </w:r>
      <w:r w:rsidR="0049748A">
        <w:t xml:space="preserve"> </w:t>
      </w:r>
      <w:r w:rsidRPr="00737992">
        <w:t xml:space="preserve">183 milioni annui dal 2027 per specialistica e protesica. L’innalzamento del tetto consente di remunerare le prestazioni </w:t>
      </w:r>
      <w:r w:rsidR="0002774F">
        <w:t>secondo le nuove</w:t>
      </w:r>
      <w:r w:rsidR="0002774F" w:rsidRPr="00737992">
        <w:t xml:space="preserve"> </w:t>
      </w:r>
      <w:r w:rsidRPr="00737992">
        <w:t>tariffe</w:t>
      </w:r>
      <w:r w:rsidR="0002774F">
        <w:t xml:space="preserve">, </w:t>
      </w:r>
      <w:r w:rsidRPr="00737992">
        <w:t>senza ridurre il numero di quelle acquistate.</w:t>
      </w:r>
    </w:p>
    <w:p w14:paraId="7483FF22" w14:textId="54541F0C" w:rsidR="00BD7095" w:rsidRPr="00713EAC" w:rsidRDefault="0049748A" w:rsidP="00713EAC">
      <w:pPr>
        <w:spacing w:after="120"/>
        <w:jc w:val="both"/>
        <w:rPr>
          <w:b/>
          <w:bCs/>
        </w:rPr>
      </w:pPr>
      <w:r w:rsidRPr="0049748A">
        <w:rPr>
          <w:b/>
          <w:bCs/>
        </w:rPr>
        <w:t>ACCESSO PRECOCE AI MEDICINALI</w:t>
      </w:r>
      <w:r>
        <w:rPr>
          <w:b/>
          <w:bCs/>
        </w:rPr>
        <w:t xml:space="preserve">. </w:t>
      </w:r>
      <w:r w:rsidR="00371F6B">
        <w:t xml:space="preserve">Per il triennio 2027-2029 viene sperimentato un percorso di </w:t>
      </w:r>
      <w:r w:rsidR="00371F6B">
        <w:rPr>
          <w:b/>
          <w:bCs/>
        </w:rPr>
        <w:t>accesso precoce ai medicinali</w:t>
      </w:r>
      <w:r w:rsidR="00371F6B">
        <w:t xml:space="preserve"> </w:t>
      </w:r>
      <w:r w:rsidR="0002774F">
        <w:t xml:space="preserve">destinati al trattamento di </w:t>
      </w:r>
      <w:r w:rsidR="00371F6B">
        <w:t xml:space="preserve">patologie gravi e invalidanti </w:t>
      </w:r>
      <w:r w:rsidR="0002774F">
        <w:t xml:space="preserve">per le quali non esistono </w:t>
      </w:r>
      <w:r w:rsidR="00371F6B">
        <w:t xml:space="preserve">valide alternative terapeutiche. </w:t>
      </w:r>
      <w:r w:rsidR="0002774F">
        <w:t xml:space="preserve">A tale scopo viene </w:t>
      </w:r>
      <w:r w:rsidR="00371F6B">
        <w:t xml:space="preserve">riservata </w:t>
      </w:r>
      <w:r w:rsidR="0002774F">
        <w:t xml:space="preserve">una quota </w:t>
      </w:r>
      <w:r w:rsidR="00371F6B">
        <w:t>fino a € 70 milioni annui del Fondo per i farmaci innovativi, senza increment</w:t>
      </w:r>
      <w:r w:rsidR="00082DC7">
        <w:t>ar</w:t>
      </w:r>
      <w:r>
        <w:t>n</w:t>
      </w:r>
      <w:r w:rsidR="00082DC7">
        <w:t>e</w:t>
      </w:r>
      <w:r w:rsidR="00371F6B">
        <w:t xml:space="preserve"> la dotazione complessiva.</w:t>
      </w:r>
    </w:p>
    <w:p w14:paraId="4ADFA04E" w14:textId="77777777" w:rsidR="000F0CDE" w:rsidRDefault="000F0CDE" w:rsidP="00713EAC">
      <w:pPr>
        <w:spacing w:after="120"/>
        <w:jc w:val="both"/>
      </w:pPr>
      <w:r w:rsidRPr="006D16CF">
        <w:t xml:space="preserve">La quinta Legge di Bilancio del Governo Meloni conferma il mancato rilancio del SSN. Il FSN cresce in termini nominali, ma il suo peso sul PIL resta inferiore a quello del 2022 ed è previsto in ulteriore calo nel triennio 2027-2029. È il definanziamento silenzioso del SSN, misurato rispetto al PIL, che gli annunci sui finanziamenti record non </w:t>
      </w:r>
      <w:r>
        <w:t xml:space="preserve">possono </w:t>
      </w:r>
      <w:r w:rsidRPr="006D16CF">
        <w:t>cancella</w:t>
      </w:r>
      <w:r>
        <w:t>re</w:t>
      </w:r>
      <w:r w:rsidRPr="006D16CF">
        <w:t xml:space="preserve">. «La Manovra 2027 – commenta </w:t>
      </w:r>
      <w:r>
        <w:t>il Presidente</w:t>
      </w:r>
      <w:r w:rsidRPr="006D16CF">
        <w:t xml:space="preserve"> – segna un passo indietro su tre fronti. Innanzitutto, dopo il netto incremento del 2026, la crescita del FSN rallenta bruscamente, mentre </w:t>
      </w:r>
      <w:r w:rsidRPr="006D16CF">
        <w:lastRenderedPageBreak/>
        <w:t xml:space="preserve">l’inflazione aumenta i costi dell’assistenza. In secondo luogo, una quota consistente delle risorse viene assorbita da maggiori oneri, senza un corrispondente potenziamento dei servizi. Infine, interviene sui tetti e sul payback a beneficio delle imprese, adegua le remunerazioni del privato accreditato e finanzia un costoso voucher che non rafforza l’offerta pubblica». </w:t>
      </w:r>
      <w:r>
        <w:t>L</w:t>
      </w:r>
      <w:r w:rsidRPr="006D16CF">
        <w:t>e prestazioni aggiuntive del personale sanitario, le misure per l’Alzheimer e il voucher da € 300 sono finanziati solo per il 2027, anno della scadenza ordinaria della legislatura. Una scelta che solleva interrogativi sulle priorità della Manovra, perché il SSN non si rafforza distribuendo bonus a scadenza, ma garantendo risorse stabili, personale e servizi accessibili a tutti.</w:t>
      </w:r>
      <w:r>
        <w:t xml:space="preserve"> </w:t>
      </w:r>
    </w:p>
    <w:p w14:paraId="788383F2" w14:textId="330F0344" w:rsidR="000F0CDE" w:rsidRPr="006D16CF" w:rsidRDefault="000F0CDE" w:rsidP="00713EAC">
      <w:pPr>
        <w:spacing w:after="120"/>
        <w:jc w:val="both"/>
      </w:pPr>
      <w:r w:rsidRPr="006D16CF">
        <w:t xml:space="preserve">Alle Regioni, con i bilanci già in rosso, resta la responsabilità di garantire i LEA senza finanziamenti adeguati. Per i professionisti sanitari mancano risposte strutturali su organici, carichi di lavoro e attrattività del servizio pubblico. Per i cittadini aumenta il rischio di attese più lunghe, maggiori diseguaglianze, spese di tasca propria e rinunce a visite ed esami. La Manovra è in continuità con oltre sedici anni di scelte politiche: si finanziano altri capitoli di spesa e costose misure temporanee legate a scadenze elettorali, senza assicurare al SSN risorse e riforme adeguate ai bisogni di salute e al costo delle innovazioni. «Il Governo – conclude Cartabellotta – deve assumersi la responsabilità di queste priorità. I cittadini non possono continuare a pagare con i propri risparmi o con la propria salute. Perché quando chi può paga e chi non può rinuncia, il diritto costituzionale alla tutela della salute diventa un privilegio. </w:t>
      </w:r>
      <w:r>
        <w:t>E l</w:t>
      </w:r>
      <w:r w:rsidRPr="006D16CF">
        <w:t>a politica ha il dovere di fermare questa pericolosa deriva che mina la coesione sociale e la tenuta democratica del Paese».</w:t>
      </w:r>
    </w:p>
    <w:p w14:paraId="46BE6A2E" w14:textId="77777777" w:rsidR="0049748A" w:rsidRPr="00861CE9" w:rsidRDefault="0049748A" w:rsidP="00861CE9">
      <w:pPr>
        <w:suppressAutoHyphens/>
        <w:spacing w:after="120"/>
        <w:jc w:val="both"/>
        <w:rPr>
          <w:rStyle w:val="Collegamentoipertestuale"/>
          <w:rFonts w:cstheme="minorHAnsi"/>
          <w:color w:val="auto"/>
          <w:u w:val="none"/>
        </w:rPr>
      </w:pPr>
    </w:p>
    <w:p w14:paraId="1B9D85AE" w14:textId="4BCA4790" w:rsidR="00DC2A0C" w:rsidRPr="005240BD" w:rsidRDefault="00DC2A0C" w:rsidP="003C4D0F">
      <w:pPr>
        <w:spacing w:after="0"/>
        <w:rPr>
          <w:rFonts w:eastAsia="Calibri" w:cstheme="minorHAnsi"/>
        </w:rPr>
      </w:pPr>
      <w:r>
        <w:rPr>
          <w:rFonts w:eastAsia="Calibri" w:cstheme="minorHAnsi"/>
          <w:b/>
          <w:bCs/>
        </w:rPr>
        <w:t>Fondazione GIMBE</w:t>
      </w:r>
      <w:r w:rsidR="00082DC7">
        <w:rPr>
          <w:rFonts w:eastAsia="Calibri" w:cstheme="minorHAnsi"/>
          <w:b/>
          <w:bCs/>
        </w:rPr>
        <w:br/>
      </w:r>
      <w:r>
        <w:rPr>
          <w:rFonts w:eastAsia="Calibri" w:cstheme="minorHAnsi"/>
        </w:rPr>
        <w:t>Via Amendola 2 - 40121 Bologna</w:t>
      </w:r>
    </w:p>
    <w:p w14:paraId="051E331D" w14:textId="77777777" w:rsidR="00DC2A0C" w:rsidRPr="005240BD" w:rsidRDefault="00DC2A0C" w:rsidP="003C4D0F">
      <w:pPr>
        <w:spacing w:after="0"/>
        <w:rPr>
          <w:rFonts w:eastAsia="Calibri" w:cstheme="minorHAnsi"/>
        </w:rPr>
      </w:pPr>
      <w:r w:rsidRPr="005240BD">
        <w:rPr>
          <w:rFonts w:eastAsia="Calibri" w:cstheme="minorHAnsi"/>
        </w:rPr>
        <w:t>Tel. 051 5883920 - Fax 051 4075774</w:t>
      </w:r>
    </w:p>
    <w:p w14:paraId="729B9D46" w14:textId="77777777" w:rsidR="00472CFC" w:rsidRDefault="00DC2A0C" w:rsidP="00F60D04">
      <w:pPr>
        <w:spacing w:after="0"/>
        <w:rPr>
          <w:rStyle w:val="Collegamentoipertestuale"/>
          <w:rFonts w:eastAsia="Calibri" w:cstheme="minorHAnsi"/>
        </w:rPr>
      </w:pPr>
      <w:r w:rsidRPr="005240BD">
        <w:rPr>
          <w:rFonts w:eastAsia="Calibri" w:cstheme="minorHAnsi"/>
        </w:rPr>
        <w:t xml:space="preserve">E-mail: </w:t>
      </w:r>
      <w:hyperlink r:id="rId16" w:history="1">
        <w:r w:rsidR="004E472B" w:rsidRPr="00066CA1">
          <w:rPr>
            <w:rStyle w:val="Collegamentoipertestuale"/>
            <w:rFonts w:eastAsia="Calibri" w:cstheme="minorHAnsi"/>
          </w:rPr>
          <w:t>ufficio.stampa@gimbe.org</w:t>
        </w:r>
      </w:hyperlink>
    </w:p>
    <w:p w14:paraId="56ED7A0B" w14:textId="77777777" w:rsidR="00F60D04" w:rsidRDefault="00F60D04" w:rsidP="00F60D04">
      <w:pPr>
        <w:spacing w:after="0"/>
        <w:rPr>
          <w:rStyle w:val="Collegamentoipertestuale"/>
          <w:rFonts w:eastAsia="Calibri" w:cstheme="minorHAnsi"/>
        </w:rPr>
      </w:pPr>
    </w:p>
    <w:p w14:paraId="6245546F" w14:textId="13EDA9CC" w:rsidR="002E63AA" w:rsidRDefault="002E63AA">
      <w:pPr>
        <w:rPr>
          <w:rFonts w:eastAsia="Calibri" w:cstheme="minorHAnsi"/>
          <w:b/>
          <w:bCs/>
          <w:color w:val="00457D"/>
        </w:rPr>
      </w:pPr>
      <w:r>
        <w:rPr>
          <w:rFonts w:eastAsia="Calibri" w:cstheme="minorHAnsi"/>
          <w:b/>
          <w:bCs/>
          <w:color w:val="00457D"/>
        </w:rPr>
        <w:br w:type="page"/>
      </w:r>
    </w:p>
    <w:p w14:paraId="1F97BD78" w14:textId="77777777" w:rsidR="00082DC7" w:rsidRDefault="00082DC7" w:rsidP="002E63AA">
      <w:pPr>
        <w:keepNext/>
        <w:rPr>
          <w:rFonts w:eastAsia="Calibri" w:cstheme="minorHAnsi"/>
          <w:b/>
          <w:bCs/>
          <w:color w:val="00457D"/>
        </w:rPr>
      </w:pPr>
    </w:p>
    <w:p w14:paraId="781025E8" w14:textId="62A717A8" w:rsidR="006868BA" w:rsidRPr="00414C1C" w:rsidRDefault="001574B2" w:rsidP="00414C1C">
      <w:pPr>
        <w:keepNext/>
        <w:spacing w:after="120"/>
        <w:jc w:val="center"/>
        <w:rPr>
          <w:rFonts w:eastAsia="Calibri" w:cstheme="minorHAnsi"/>
          <w:color w:val="00457D"/>
        </w:rPr>
      </w:pPr>
      <w:r w:rsidRPr="004442B9">
        <w:rPr>
          <w:rFonts w:eastAsia="Calibri" w:cstheme="minorHAnsi"/>
          <w:b/>
          <w:bCs/>
          <w:color w:val="00457D"/>
        </w:rPr>
        <w:t xml:space="preserve">Tabella 1. </w:t>
      </w:r>
      <w:r w:rsidR="005A33A7" w:rsidRPr="004442B9">
        <w:rPr>
          <w:rFonts w:eastAsia="Calibri" w:cstheme="minorHAnsi"/>
          <w:b/>
          <w:bCs/>
          <w:color w:val="00457D"/>
        </w:rPr>
        <w:t>DdL Bilancio 2027: r</w:t>
      </w:r>
      <w:r w:rsidRPr="004442B9">
        <w:rPr>
          <w:rFonts w:eastAsia="Calibri" w:cstheme="minorHAnsi"/>
          <w:b/>
          <w:bCs/>
          <w:color w:val="00457D"/>
        </w:rPr>
        <w:t>ideterminazione del Fabbisogno Sanitario Nazionale</w:t>
      </w:r>
      <w:r w:rsidR="0057305E">
        <w:rPr>
          <w:rFonts w:eastAsia="Calibri" w:cstheme="minorHAnsi"/>
          <w:b/>
          <w:bCs/>
          <w:color w:val="00457D"/>
        </w:rPr>
        <w:t xml:space="preserve"> (FSN)</w:t>
      </w:r>
      <w:r w:rsidR="005A33A7" w:rsidRPr="004442B9">
        <w:rPr>
          <w:rFonts w:eastAsia="Calibri" w:cstheme="minorHAnsi"/>
          <w:b/>
          <w:bCs/>
          <w:color w:val="00457D"/>
        </w:rPr>
        <w:t xml:space="preserve"> </w:t>
      </w:r>
      <w:r w:rsidRPr="004442B9">
        <w:rPr>
          <w:rFonts w:eastAsia="Calibri" w:cstheme="minorHAnsi"/>
          <w:b/>
          <w:bCs/>
          <w:color w:val="00457D"/>
        </w:rPr>
        <w:t xml:space="preserve"> </w:t>
      </w:r>
    </w:p>
    <w:tbl>
      <w:tblPr>
        <w:tblW w:w="4638" w:type="pct"/>
        <w:jc w:val="center"/>
        <w:tblLayout w:type="fixed"/>
        <w:tblCellMar>
          <w:left w:w="70" w:type="dxa"/>
          <w:right w:w="70" w:type="dxa"/>
        </w:tblCellMar>
        <w:tblLook w:val="04A0" w:firstRow="1" w:lastRow="0" w:firstColumn="1" w:lastColumn="0" w:noHBand="0" w:noVBand="1"/>
      </w:tblPr>
      <w:tblGrid>
        <w:gridCol w:w="4530"/>
        <w:gridCol w:w="1098"/>
        <w:gridCol w:w="1100"/>
        <w:gridCol w:w="1100"/>
        <w:gridCol w:w="1098"/>
      </w:tblGrid>
      <w:tr w:rsidR="00A20ACC" w14:paraId="1CF7295D" w14:textId="77777777" w:rsidTr="00861CE9">
        <w:trPr>
          <w:trHeight w:val="340"/>
          <w:jc w:val="center"/>
        </w:trPr>
        <w:tc>
          <w:tcPr>
            <w:tcW w:w="2538" w:type="pct"/>
            <w:tcBorders>
              <w:top w:val="single" w:sz="8" w:space="0" w:color="00457D"/>
              <w:left w:val="single" w:sz="4" w:space="0" w:color="00457D"/>
              <w:bottom w:val="single" w:sz="8" w:space="0" w:color="00457D"/>
              <w:right w:val="single" w:sz="8" w:space="0" w:color="FFFFFF"/>
            </w:tcBorders>
            <w:shd w:val="clear" w:color="000000" w:fill="00457D"/>
            <w:noWrap/>
            <w:vAlign w:val="center"/>
            <w:hideMark/>
          </w:tcPr>
          <w:p w14:paraId="17B2BABC" w14:textId="77777777" w:rsidR="00BF4D19" w:rsidRPr="00941E2E" w:rsidRDefault="00BF4D19" w:rsidP="00082DC7">
            <w:pPr>
              <w:keepNext/>
              <w:spacing w:after="0"/>
              <w:jc w:val="center"/>
              <w:rPr>
                <w:rFonts w:ascii="Calibri" w:eastAsia="Times New Roman" w:hAnsi="Calibri" w:cs="Calibri"/>
                <w:b/>
                <w:bCs/>
                <w:color w:val="FFFFFF"/>
                <w:lang w:eastAsia="it-IT"/>
              </w:rPr>
            </w:pPr>
            <w:r w:rsidRPr="00941E2E">
              <w:rPr>
                <w:rFonts w:ascii="Calibri" w:eastAsia="Times New Roman" w:hAnsi="Calibri" w:cs="Calibri"/>
                <w:b/>
                <w:bCs/>
                <w:color w:val="FFFFFF"/>
                <w:lang w:eastAsia="it-IT"/>
              </w:rPr>
              <w:t> </w:t>
            </w:r>
          </w:p>
        </w:tc>
        <w:tc>
          <w:tcPr>
            <w:tcW w:w="615" w:type="pct"/>
            <w:tcBorders>
              <w:top w:val="single" w:sz="8" w:space="0" w:color="00457D"/>
              <w:left w:val="nil"/>
              <w:bottom w:val="single" w:sz="8" w:space="0" w:color="00457D"/>
              <w:right w:val="single" w:sz="8" w:space="0" w:color="FFFFFF"/>
            </w:tcBorders>
            <w:shd w:val="clear" w:color="000000" w:fill="00457D"/>
            <w:noWrap/>
            <w:vAlign w:val="center"/>
          </w:tcPr>
          <w:p w14:paraId="3EB28135" w14:textId="77777777" w:rsidR="00BF4D19" w:rsidRPr="00941E2E" w:rsidRDefault="00BF4D19" w:rsidP="00082DC7">
            <w:pPr>
              <w:keepNext/>
              <w:spacing w:after="0"/>
              <w:jc w:val="center"/>
              <w:rPr>
                <w:rFonts w:ascii="Calibri" w:eastAsia="Times New Roman" w:hAnsi="Calibri" w:cs="Calibri"/>
                <w:b/>
                <w:bCs/>
                <w:color w:val="FFFFFF"/>
                <w:lang w:eastAsia="it-IT"/>
              </w:rPr>
            </w:pPr>
            <w:r>
              <w:rPr>
                <w:rFonts w:ascii="Calibri" w:eastAsia="Times New Roman" w:hAnsi="Calibri" w:cs="Calibri"/>
                <w:b/>
                <w:bCs/>
                <w:color w:val="FFFFFF"/>
                <w:lang w:eastAsia="it-IT"/>
              </w:rPr>
              <w:t>2026</w:t>
            </w:r>
          </w:p>
        </w:tc>
        <w:tc>
          <w:tcPr>
            <w:tcW w:w="616" w:type="pct"/>
            <w:tcBorders>
              <w:top w:val="single" w:sz="8" w:space="0" w:color="00457D"/>
              <w:left w:val="nil"/>
              <w:bottom w:val="single" w:sz="8" w:space="0" w:color="00457D"/>
              <w:right w:val="single" w:sz="8" w:space="0" w:color="FFFFFF"/>
            </w:tcBorders>
            <w:shd w:val="clear" w:color="000000" w:fill="00457D"/>
            <w:noWrap/>
            <w:vAlign w:val="center"/>
            <w:hideMark/>
          </w:tcPr>
          <w:p w14:paraId="6113AFF5" w14:textId="77777777" w:rsidR="00BF4D19" w:rsidRPr="00941E2E" w:rsidRDefault="00BF4D19" w:rsidP="00082DC7">
            <w:pPr>
              <w:keepNext/>
              <w:spacing w:after="0"/>
              <w:jc w:val="center"/>
              <w:rPr>
                <w:rFonts w:ascii="Calibri" w:eastAsia="Times New Roman" w:hAnsi="Calibri" w:cs="Calibri"/>
                <w:b/>
                <w:bCs/>
                <w:color w:val="FFFFFF"/>
                <w:lang w:eastAsia="it-IT"/>
              </w:rPr>
            </w:pPr>
            <w:r>
              <w:rPr>
                <w:rFonts w:ascii="Calibri" w:eastAsia="Times New Roman" w:hAnsi="Calibri" w:cs="Calibri"/>
                <w:b/>
                <w:bCs/>
                <w:color w:val="FFFFFF"/>
                <w:lang w:eastAsia="it-IT"/>
              </w:rPr>
              <w:t>2027</w:t>
            </w:r>
          </w:p>
        </w:tc>
        <w:tc>
          <w:tcPr>
            <w:tcW w:w="616" w:type="pct"/>
            <w:tcBorders>
              <w:top w:val="single" w:sz="8" w:space="0" w:color="00457D"/>
              <w:left w:val="nil"/>
              <w:bottom w:val="single" w:sz="8" w:space="0" w:color="00457D"/>
              <w:right w:val="single" w:sz="8" w:space="0" w:color="FFFFFF"/>
            </w:tcBorders>
            <w:shd w:val="clear" w:color="000000" w:fill="00457D"/>
            <w:noWrap/>
            <w:vAlign w:val="center"/>
          </w:tcPr>
          <w:p w14:paraId="4B5244D0" w14:textId="77777777" w:rsidR="00BF4D19" w:rsidRPr="00941E2E" w:rsidRDefault="00BF4D19" w:rsidP="00082DC7">
            <w:pPr>
              <w:keepNext/>
              <w:spacing w:after="0"/>
              <w:jc w:val="center"/>
              <w:rPr>
                <w:rFonts w:ascii="Calibri" w:eastAsia="Times New Roman" w:hAnsi="Calibri" w:cs="Calibri"/>
                <w:b/>
                <w:bCs/>
                <w:color w:val="FFFFFF"/>
                <w:lang w:eastAsia="it-IT"/>
              </w:rPr>
            </w:pPr>
            <w:r>
              <w:rPr>
                <w:rFonts w:ascii="Calibri" w:eastAsia="Times New Roman" w:hAnsi="Calibri" w:cs="Calibri"/>
                <w:b/>
                <w:bCs/>
                <w:color w:val="FFFFFF"/>
                <w:lang w:eastAsia="it-IT"/>
              </w:rPr>
              <w:t>2028</w:t>
            </w:r>
          </w:p>
        </w:tc>
        <w:tc>
          <w:tcPr>
            <w:tcW w:w="615" w:type="pct"/>
            <w:tcBorders>
              <w:top w:val="single" w:sz="8" w:space="0" w:color="00457D"/>
              <w:left w:val="single" w:sz="8" w:space="0" w:color="FFFFFF"/>
              <w:bottom w:val="single" w:sz="8" w:space="0" w:color="00457D"/>
              <w:right w:val="single" w:sz="8" w:space="0" w:color="00457D"/>
            </w:tcBorders>
            <w:shd w:val="clear" w:color="000000" w:fill="00457D"/>
            <w:vAlign w:val="center"/>
          </w:tcPr>
          <w:p w14:paraId="2E26AE3D" w14:textId="77777777" w:rsidR="00BF4D19" w:rsidRDefault="00BF4D19" w:rsidP="00082DC7">
            <w:pPr>
              <w:keepNext/>
              <w:spacing w:after="0"/>
              <w:jc w:val="center"/>
              <w:rPr>
                <w:rFonts w:ascii="Calibri" w:eastAsia="Times New Roman" w:hAnsi="Calibri" w:cs="Calibri"/>
                <w:b/>
                <w:bCs/>
                <w:color w:val="FFFFFF"/>
                <w:lang w:eastAsia="it-IT"/>
              </w:rPr>
            </w:pPr>
            <w:r>
              <w:rPr>
                <w:rFonts w:ascii="Calibri" w:eastAsia="Times New Roman" w:hAnsi="Calibri" w:cs="Calibri"/>
                <w:b/>
                <w:bCs/>
                <w:color w:val="FFFFFF"/>
                <w:lang w:eastAsia="it-IT"/>
              </w:rPr>
              <w:t>2029</w:t>
            </w:r>
          </w:p>
        </w:tc>
      </w:tr>
      <w:tr w:rsidR="00BF4D19" w14:paraId="18B48651"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50FA8809" w14:textId="275CBB06" w:rsidR="00BF4D19" w:rsidRPr="00941E2E" w:rsidRDefault="00BF4D19" w:rsidP="00082DC7">
            <w:pPr>
              <w:keepNext/>
              <w:spacing w:after="0"/>
              <w:rPr>
                <w:rFonts w:ascii="Calibri" w:eastAsia="Times New Roman" w:hAnsi="Calibri" w:cs="Calibri"/>
                <w:color w:val="000000"/>
                <w:lang w:eastAsia="it-IT"/>
              </w:rPr>
            </w:pPr>
            <w:r>
              <w:rPr>
                <w:rFonts w:eastAsia="Times New Roman" w:cstheme="minorHAnsi"/>
                <w:lang w:eastAsia="it-IT"/>
              </w:rPr>
              <w:t>FSN</w:t>
            </w:r>
            <w:r w:rsidRPr="00DE07CE">
              <w:rPr>
                <w:rFonts w:eastAsia="Times New Roman" w:cstheme="minorHAnsi"/>
                <w:lang w:eastAsia="it-IT"/>
              </w:rPr>
              <w:t xml:space="preserve"> </w:t>
            </w:r>
            <w:r>
              <w:rPr>
                <w:rFonts w:eastAsia="Times New Roman" w:cstheme="minorHAnsi"/>
                <w:lang w:eastAsia="it-IT"/>
              </w:rPr>
              <w:t>ante Manovra</w:t>
            </w:r>
          </w:p>
        </w:tc>
        <w:tc>
          <w:tcPr>
            <w:tcW w:w="615" w:type="pct"/>
            <w:tcBorders>
              <w:top w:val="nil"/>
              <w:left w:val="nil"/>
              <w:bottom w:val="single" w:sz="8" w:space="0" w:color="00457D"/>
              <w:right w:val="single" w:sz="8" w:space="0" w:color="00457D"/>
            </w:tcBorders>
            <w:noWrap/>
            <w:vAlign w:val="center"/>
          </w:tcPr>
          <w:p w14:paraId="3641A467" w14:textId="2B7F95C5" w:rsidR="00BF4D19" w:rsidRPr="00941E2E" w:rsidRDefault="00BF4D19" w:rsidP="00082DC7">
            <w:pPr>
              <w:keepNext/>
              <w:spacing w:after="0" w:line="240" w:lineRule="auto"/>
              <w:jc w:val="right"/>
              <w:rPr>
                <w:rFonts w:ascii="Calibri" w:eastAsia="Times New Roman" w:hAnsi="Calibri" w:cs="Calibri"/>
                <w:color w:val="000000"/>
                <w:lang w:eastAsia="it-IT"/>
              </w:rPr>
            </w:pPr>
            <w:r w:rsidRPr="00DE07CE">
              <w:rPr>
                <w:rFonts w:eastAsia="Times New Roman" w:cstheme="minorHAnsi"/>
                <w:lang w:eastAsia="it-IT"/>
              </w:rPr>
              <w:t>142.889</w:t>
            </w:r>
          </w:p>
        </w:tc>
        <w:tc>
          <w:tcPr>
            <w:tcW w:w="616" w:type="pct"/>
            <w:tcBorders>
              <w:top w:val="nil"/>
              <w:left w:val="nil"/>
              <w:bottom w:val="single" w:sz="8" w:space="0" w:color="00457D"/>
              <w:right w:val="single" w:sz="8" w:space="0" w:color="00457D"/>
            </w:tcBorders>
            <w:noWrap/>
            <w:vAlign w:val="center"/>
          </w:tcPr>
          <w:p w14:paraId="0F4CC2D0" w14:textId="58A17012" w:rsidR="00BF4D19" w:rsidRPr="00941E2E" w:rsidRDefault="00BF4D19" w:rsidP="00082DC7">
            <w:pPr>
              <w:keepNext/>
              <w:spacing w:after="0"/>
              <w:jc w:val="right"/>
              <w:rPr>
                <w:rFonts w:ascii="Calibri" w:eastAsia="Times New Roman" w:hAnsi="Calibri" w:cs="Calibri"/>
                <w:color w:val="000000"/>
                <w:lang w:eastAsia="it-IT"/>
              </w:rPr>
            </w:pPr>
            <w:r w:rsidRPr="00DE07CE">
              <w:rPr>
                <w:rFonts w:eastAsia="Times New Roman" w:cstheme="minorHAnsi"/>
                <w:lang w:eastAsia="it-IT"/>
              </w:rPr>
              <w:t>143.892</w:t>
            </w:r>
          </w:p>
        </w:tc>
        <w:tc>
          <w:tcPr>
            <w:tcW w:w="616" w:type="pct"/>
            <w:tcBorders>
              <w:top w:val="nil"/>
              <w:left w:val="nil"/>
              <w:bottom w:val="single" w:sz="8" w:space="0" w:color="00457D"/>
              <w:right w:val="single" w:sz="8" w:space="0" w:color="00457D"/>
            </w:tcBorders>
            <w:noWrap/>
            <w:vAlign w:val="center"/>
          </w:tcPr>
          <w:p w14:paraId="0EDA4C4E" w14:textId="445543A5" w:rsidR="00BF4D19" w:rsidRPr="00941E2E" w:rsidRDefault="00BF4D19" w:rsidP="00082DC7">
            <w:pPr>
              <w:keepNext/>
              <w:spacing w:after="0"/>
              <w:jc w:val="right"/>
              <w:rPr>
                <w:rFonts w:ascii="Calibri" w:eastAsia="Times New Roman" w:hAnsi="Calibri" w:cs="Calibri"/>
                <w:color w:val="000000"/>
                <w:lang w:eastAsia="it-IT"/>
              </w:rPr>
            </w:pPr>
            <w:r w:rsidRPr="00DE07CE">
              <w:rPr>
                <w:rFonts w:eastAsia="Times New Roman" w:cstheme="minorHAnsi"/>
                <w:lang w:eastAsia="it-IT"/>
              </w:rPr>
              <w:t>144.764</w:t>
            </w:r>
          </w:p>
        </w:tc>
        <w:tc>
          <w:tcPr>
            <w:tcW w:w="615" w:type="pct"/>
            <w:tcBorders>
              <w:top w:val="nil"/>
              <w:left w:val="nil"/>
              <w:bottom w:val="single" w:sz="8" w:space="0" w:color="00457D"/>
              <w:right w:val="single" w:sz="8" w:space="0" w:color="00457D"/>
            </w:tcBorders>
            <w:vAlign w:val="center"/>
          </w:tcPr>
          <w:p w14:paraId="67ADFC4A" w14:textId="1610FA5E" w:rsidR="00BF4D19" w:rsidRDefault="00BF4D19" w:rsidP="00082DC7">
            <w:pPr>
              <w:keepNext/>
              <w:spacing w:after="0"/>
              <w:jc w:val="right"/>
              <w:rPr>
                <w:rFonts w:ascii="Calibri" w:hAnsi="Calibri" w:cs="Calibri"/>
                <w:color w:val="000000"/>
              </w:rPr>
            </w:pPr>
            <w:r w:rsidRPr="00DE07CE">
              <w:rPr>
                <w:rFonts w:eastAsia="Times New Roman" w:cstheme="minorHAnsi"/>
                <w:lang w:eastAsia="it-IT"/>
              </w:rPr>
              <w:t>145.826</w:t>
            </w:r>
          </w:p>
        </w:tc>
      </w:tr>
      <w:tr w:rsidR="00BF4D19" w14:paraId="7A0331F9"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24195130" w14:textId="2461B16E" w:rsidR="00BF4D19" w:rsidRPr="00941E2E" w:rsidRDefault="00BF4D19" w:rsidP="00082DC7">
            <w:pPr>
              <w:keepNext/>
              <w:spacing w:after="0"/>
              <w:rPr>
                <w:rFonts w:ascii="Calibri" w:eastAsia="Times New Roman" w:hAnsi="Calibri" w:cs="Calibri"/>
                <w:color w:val="000000"/>
                <w:lang w:eastAsia="it-IT"/>
              </w:rPr>
            </w:pPr>
            <w:r w:rsidRPr="00DE07CE">
              <w:rPr>
                <w:rFonts w:eastAsia="Times New Roman" w:cstheme="minorHAnsi"/>
                <w:lang w:eastAsia="it-IT"/>
              </w:rPr>
              <w:t>Incremento disposto dall’art. 69</w:t>
            </w:r>
          </w:p>
        </w:tc>
        <w:tc>
          <w:tcPr>
            <w:tcW w:w="615" w:type="pct"/>
            <w:tcBorders>
              <w:top w:val="nil"/>
              <w:left w:val="nil"/>
              <w:bottom w:val="single" w:sz="8" w:space="0" w:color="00457D"/>
              <w:right w:val="single" w:sz="8" w:space="0" w:color="00457D"/>
            </w:tcBorders>
            <w:noWrap/>
            <w:vAlign w:val="center"/>
          </w:tcPr>
          <w:p w14:paraId="7A4C6B63" w14:textId="72BAD9B9" w:rsidR="00BF4D19" w:rsidRPr="00BF4D19" w:rsidRDefault="00116541" w:rsidP="00082DC7">
            <w:pPr>
              <w:keepNext/>
              <w:spacing w:after="0" w:line="240" w:lineRule="auto"/>
              <w:jc w:val="center"/>
            </w:pPr>
            <w:r>
              <w:rPr>
                <w:rFonts w:ascii="Calibri" w:hAnsi="Calibri"/>
                <w:sz w:val="19"/>
              </w:rPr>
              <w:t>—</w:t>
            </w:r>
          </w:p>
        </w:tc>
        <w:tc>
          <w:tcPr>
            <w:tcW w:w="616" w:type="pct"/>
            <w:tcBorders>
              <w:top w:val="nil"/>
              <w:left w:val="nil"/>
              <w:bottom w:val="single" w:sz="8" w:space="0" w:color="00457D"/>
              <w:right w:val="single" w:sz="8" w:space="0" w:color="00457D"/>
            </w:tcBorders>
            <w:noWrap/>
            <w:vAlign w:val="center"/>
          </w:tcPr>
          <w:p w14:paraId="60C0A3B5" w14:textId="0CC73BAF"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+2.365</w:t>
            </w:r>
          </w:p>
        </w:tc>
        <w:tc>
          <w:tcPr>
            <w:tcW w:w="616" w:type="pct"/>
            <w:tcBorders>
              <w:top w:val="nil"/>
              <w:left w:val="nil"/>
              <w:bottom w:val="single" w:sz="8" w:space="0" w:color="00457D"/>
              <w:right w:val="single" w:sz="8" w:space="0" w:color="00457D"/>
            </w:tcBorders>
            <w:noWrap/>
            <w:vAlign w:val="center"/>
          </w:tcPr>
          <w:p w14:paraId="59554293" w14:textId="524970BB"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+2.352</w:t>
            </w:r>
          </w:p>
        </w:tc>
        <w:tc>
          <w:tcPr>
            <w:tcW w:w="615" w:type="pct"/>
            <w:tcBorders>
              <w:top w:val="nil"/>
              <w:left w:val="nil"/>
              <w:bottom w:val="single" w:sz="8" w:space="0" w:color="00457D"/>
              <w:right w:val="single" w:sz="8" w:space="0" w:color="00457D"/>
            </w:tcBorders>
            <w:vAlign w:val="center"/>
          </w:tcPr>
          <w:p w14:paraId="36E7E9DA" w14:textId="66768CB3" w:rsidR="00BF4D19" w:rsidRDefault="00BF4D19" w:rsidP="00082DC7">
            <w:pPr>
              <w:keepNext/>
              <w:spacing w:after="0"/>
              <w:jc w:val="right"/>
              <w:rPr>
                <w:rFonts w:ascii="Calibri" w:hAnsi="Calibri" w:cs="Calibri"/>
                <w:color w:val="000000"/>
              </w:rPr>
            </w:pPr>
            <w:r w:rsidRPr="00DE07CE">
              <w:rPr>
                <w:rFonts w:eastAsia="Times New Roman" w:cstheme="minorHAnsi"/>
                <w:lang w:eastAsia="it-IT"/>
              </w:rPr>
              <w:t>+2.399</w:t>
            </w:r>
          </w:p>
        </w:tc>
      </w:tr>
      <w:tr w:rsidR="00BF4D19" w14:paraId="4983392B"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27F4F931" w14:textId="6D0095E7" w:rsidR="00BF4D19" w:rsidRPr="00BF4D19" w:rsidRDefault="00BF4D19" w:rsidP="00082DC7">
            <w:pPr>
              <w:keepNext/>
              <w:spacing w:after="0"/>
              <w:rPr>
                <w:rFonts w:ascii="Calibri" w:eastAsia="Times New Roman" w:hAnsi="Calibri" w:cs="Calibri"/>
                <w:color w:val="000000"/>
                <w:lang w:eastAsia="it-IT"/>
              </w:rPr>
            </w:pPr>
            <w:r w:rsidRPr="00BF4D19">
              <w:rPr>
                <w:rFonts w:eastAsia="Times New Roman" w:cstheme="minorHAnsi"/>
                <w:lang w:eastAsia="it-IT"/>
              </w:rPr>
              <w:t xml:space="preserve">FSN </w:t>
            </w:r>
            <w:r w:rsidRPr="00DE07CE">
              <w:rPr>
                <w:rFonts w:eastAsia="Times New Roman" w:cstheme="minorHAnsi"/>
                <w:lang w:eastAsia="it-IT"/>
              </w:rPr>
              <w:t xml:space="preserve">dopo la </w:t>
            </w:r>
            <w:r w:rsidRPr="00BF4D19">
              <w:rPr>
                <w:rFonts w:eastAsia="Times New Roman" w:cstheme="minorHAnsi"/>
                <w:lang w:eastAsia="it-IT"/>
              </w:rPr>
              <w:t>M</w:t>
            </w:r>
            <w:r w:rsidRPr="00DE07CE">
              <w:rPr>
                <w:rFonts w:eastAsia="Times New Roman" w:cstheme="minorHAnsi"/>
                <w:lang w:eastAsia="it-IT"/>
              </w:rPr>
              <w:t>anovra</w:t>
            </w:r>
          </w:p>
        </w:tc>
        <w:tc>
          <w:tcPr>
            <w:tcW w:w="615" w:type="pct"/>
            <w:tcBorders>
              <w:top w:val="nil"/>
              <w:left w:val="nil"/>
              <w:bottom w:val="single" w:sz="8" w:space="0" w:color="00457D"/>
              <w:right w:val="single" w:sz="8" w:space="0" w:color="00457D"/>
            </w:tcBorders>
            <w:noWrap/>
            <w:vAlign w:val="center"/>
          </w:tcPr>
          <w:p w14:paraId="7C088824" w14:textId="4A83A7D1" w:rsidR="00BF4D19" w:rsidRPr="00BF4D19" w:rsidRDefault="00BF4D19" w:rsidP="00082DC7">
            <w:pPr>
              <w:keepNext/>
              <w:spacing w:after="0" w:line="240" w:lineRule="auto"/>
              <w:jc w:val="right"/>
            </w:pPr>
            <w:r w:rsidRPr="00DE07CE">
              <w:rPr>
                <w:rFonts w:eastAsia="Times New Roman" w:cstheme="minorHAnsi"/>
                <w:lang w:eastAsia="it-IT"/>
              </w:rPr>
              <w:t>142.889</w:t>
            </w:r>
          </w:p>
        </w:tc>
        <w:tc>
          <w:tcPr>
            <w:tcW w:w="616" w:type="pct"/>
            <w:tcBorders>
              <w:top w:val="nil"/>
              <w:left w:val="nil"/>
              <w:bottom w:val="single" w:sz="8" w:space="0" w:color="00457D"/>
              <w:right w:val="single" w:sz="8" w:space="0" w:color="00457D"/>
            </w:tcBorders>
            <w:noWrap/>
            <w:vAlign w:val="center"/>
          </w:tcPr>
          <w:p w14:paraId="6E5BC7E2" w14:textId="37C9E228"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146.257</w:t>
            </w:r>
          </w:p>
        </w:tc>
        <w:tc>
          <w:tcPr>
            <w:tcW w:w="616" w:type="pct"/>
            <w:tcBorders>
              <w:top w:val="nil"/>
              <w:left w:val="nil"/>
              <w:bottom w:val="single" w:sz="8" w:space="0" w:color="00457D"/>
              <w:right w:val="single" w:sz="8" w:space="0" w:color="00457D"/>
            </w:tcBorders>
            <w:noWrap/>
            <w:vAlign w:val="center"/>
          </w:tcPr>
          <w:p w14:paraId="52101E37" w14:textId="56F5DB37"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147.116</w:t>
            </w:r>
          </w:p>
        </w:tc>
        <w:tc>
          <w:tcPr>
            <w:tcW w:w="615" w:type="pct"/>
            <w:tcBorders>
              <w:top w:val="nil"/>
              <w:left w:val="nil"/>
              <w:bottom w:val="single" w:sz="8" w:space="0" w:color="00457D"/>
              <w:right w:val="single" w:sz="8" w:space="0" w:color="00457D"/>
            </w:tcBorders>
            <w:vAlign w:val="center"/>
          </w:tcPr>
          <w:p w14:paraId="4F63FA39" w14:textId="30E7C026"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148.225</w:t>
            </w:r>
          </w:p>
        </w:tc>
      </w:tr>
      <w:tr w:rsidR="00BF4D19" w14:paraId="1ECDCB37"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4A350601" w14:textId="25CAAA8E" w:rsidR="00BF4D19" w:rsidRPr="00BF4D19" w:rsidRDefault="00BF4D19" w:rsidP="00082DC7">
            <w:pPr>
              <w:keepNext/>
              <w:spacing w:after="0"/>
              <w:rPr>
                <w:rFonts w:ascii="Calibri" w:eastAsia="Times New Roman" w:hAnsi="Calibri" w:cs="Calibri"/>
                <w:color w:val="000000"/>
                <w:lang w:eastAsia="it-IT"/>
              </w:rPr>
            </w:pPr>
            <w:r w:rsidRPr="00DE07CE">
              <w:rPr>
                <w:rFonts w:eastAsia="Times New Roman" w:cstheme="minorHAnsi"/>
                <w:lang w:eastAsia="it-IT"/>
              </w:rPr>
              <w:t xml:space="preserve">Incremento </w:t>
            </w:r>
            <w:r w:rsidR="00A20ACC">
              <w:rPr>
                <w:rFonts w:eastAsia="Times New Roman" w:cstheme="minorHAnsi"/>
                <w:lang w:eastAsia="it-IT"/>
              </w:rPr>
              <w:t xml:space="preserve">FSN </w:t>
            </w:r>
            <w:r w:rsidR="00A20ACC" w:rsidRPr="00DE07CE">
              <w:rPr>
                <w:rFonts w:eastAsia="Times New Roman" w:cstheme="minorHAnsi"/>
                <w:lang w:eastAsia="it-IT"/>
              </w:rPr>
              <w:t>rispetto all’anno precedente</w:t>
            </w:r>
          </w:p>
        </w:tc>
        <w:tc>
          <w:tcPr>
            <w:tcW w:w="615" w:type="pct"/>
            <w:tcBorders>
              <w:top w:val="nil"/>
              <w:left w:val="nil"/>
              <w:bottom w:val="single" w:sz="8" w:space="0" w:color="00457D"/>
              <w:right w:val="single" w:sz="8" w:space="0" w:color="00457D"/>
            </w:tcBorders>
            <w:noWrap/>
            <w:vAlign w:val="center"/>
          </w:tcPr>
          <w:p w14:paraId="6F3436F7" w14:textId="6B8560CC" w:rsidR="00BF4D19" w:rsidRPr="00BF4D19" w:rsidRDefault="00BF4D19" w:rsidP="00082DC7">
            <w:pPr>
              <w:keepNext/>
              <w:spacing w:after="0" w:line="240" w:lineRule="auto"/>
              <w:jc w:val="right"/>
            </w:pPr>
            <w:r w:rsidRPr="00DE07CE">
              <w:rPr>
                <w:rFonts w:eastAsia="Times New Roman" w:cstheme="minorHAnsi"/>
                <w:lang w:eastAsia="it-IT"/>
              </w:rPr>
              <w:t>+6.349</w:t>
            </w:r>
          </w:p>
        </w:tc>
        <w:tc>
          <w:tcPr>
            <w:tcW w:w="616" w:type="pct"/>
            <w:tcBorders>
              <w:top w:val="nil"/>
              <w:left w:val="nil"/>
              <w:bottom w:val="single" w:sz="8" w:space="0" w:color="00457D"/>
              <w:right w:val="single" w:sz="8" w:space="0" w:color="00457D"/>
            </w:tcBorders>
            <w:noWrap/>
            <w:vAlign w:val="center"/>
          </w:tcPr>
          <w:p w14:paraId="412DA36E" w14:textId="76DF723C"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+3.368</w:t>
            </w:r>
          </w:p>
        </w:tc>
        <w:tc>
          <w:tcPr>
            <w:tcW w:w="616" w:type="pct"/>
            <w:tcBorders>
              <w:top w:val="nil"/>
              <w:left w:val="nil"/>
              <w:bottom w:val="single" w:sz="8" w:space="0" w:color="00457D"/>
              <w:right w:val="single" w:sz="8" w:space="0" w:color="00457D"/>
            </w:tcBorders>
            <w:noWrap/>
            <w:vAlign w:val="center"/>
          </w:tcPr>
          <w:p w14:paraId="0EE39CFD" w14:textId="752E5903"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+859</w:t>
            </w:r>
          </w:p>
        </w:tc>
        <w:tc>
          <w:tcPr>
            <w:tcW w:w="615" w:type="pct"/>
            <w:tcBorders>
              <w:top w:val="nil"/>
              <w:left w:val="nil"/>
              <w:bottom w:val="single" w:sz="8" w:space="0" w:color="00457D"/>
              <w:right w:val="single" w:sz="8" w:space="0" w:color="00457D"/>
            </w:tcBorders>
            <w:vAlign w:val="center"/>
          </w:tcPr>
          <w:p w14:paraId="4D0A4A36" w14:textId="0E19B39E"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+1.109</w:t>
            </w:r>
          </w:p>
        </w:tc>
      </w:tr>
      <w:tr w:rsidR="00BF4D19" w14:paraId="1E9A2DAF" w14:textId="77777777" w:rsidTr="00861CE9">
        <w:trPr>
          <w:trHeight w:val="340"/>
          <w:jc w:val="center"/>
        </w:trPr>
        <w:tc>
          <w:tcPr>
            <w:tcW w:w="2538" w:type="pct"/>
            <w:tcBorders>
              <w:top w:val="nil"/>
              <w:left w:val="single" w:sz="8" w:space="0" w:color="00457D"/>
              <w:bottom w:val="single" w:sz="8" w:space="0" w:color="00457D"/>
              <w:right w:val="single" w:sz="8" w:space="0" w:color="00457D"/>
            </w:tcBorders>
            <w:noWrap/>
            <w:vAlign w:val="center"/>
            <w:hideMark/>
          </w:tcPr>
          <w:p w14:paraId="567411E0" w14:textId="77777777" w:rsidR="00861CE9" w:rsidRDefault="00861CE9" w:rsidP="00082DC7">
            <w:pPr>
              <w:keepNext/>
              <w:spacing w:after="0"/>
              <w:rPr>
                <w:rFonts w:eastAsia="Times New Roman" w:cstheme="minorHAnsi"/>
                <w:lang w:eastAsia="it-IT"/>
              </w:rPr>
            </w:pPr>
            <w:r w:rsidRPr="00DE07CE">
              <w:rPr>
                <w:rFonts w:eastAsia="Times New Roman" w:cstheme="minorHAnsi"/>
                <w:lang w:eastAsia="it-IT"/>
              </w:rPr>
              <w:t xml:space="preserve">Incremento </w:t>
            </w:r>
            <w:r>
              <w:rPr>
                <w:rFonts w:eastAsia="Times New Roman" w:cstheme="minorHAnsi"/>
                <w:lang w:eastAsia="it-IT"/>
              </w:rPr>
              <w:t xml:space="preserve">% FSN </w:t>
            </w:r>
            <w:r w:rsidRPr="00DE07CE">
              <w:rPr>
                <w:rFonts w:eastAsia="Times New Roman" w:cstheme="minorHAnsi"/>
                <w:lang w:eastAsia="it-IT"/>
              </w:rPr>
              <w:t>rispetto all’anno precedente</w:t>
            </w:r>
          </w:p>
          <w:p w14:paraId="57F9CF67" w14:textId="5AF62EF5" w:rsidR="00BF4D19" w:rsidRPr="00BF4D19" w:rsidRDefault="00BF4D19" w:rsidP="00082DC7">
            <w:pPr>
              <w:keepNext/>
              <w:spacing w:after="0"/>
              <w:rPr>
                <w:rFonts w:ascii="Calibri" w:eastAsia="Times New Roman" w:hAnsi="Calibri" w:cs="Calibri"/>
                <w:color w:val="000000"/>
                <w:lang w:eastAsia="it-IT"/>
              </w:rPr>
            </w:pPr>
          </w:p>
        </w:tc>
        <w:tc>
          <w:tcPr>
            <w:tcW w:w="615" w:type="pct"/>
            <w:tcBorders>
              <w:top w:val="nil"/>
              <w:left w:val="nil"/>
              <w:bottom w:val="single" w:sz="8" w:space="0" w:color="00457D"/>
              <w:right w:val="single" w:sz="8" w:space="0" w:color="00457D"/>
            </w:tcBorders>
            <w:noWrap/>
            <w:vAlign w:val="center"/>
          </w:tcPr>
          <w:p w14:paraId="259674C4" w14:textId="73FFE4CE" w:rsidR="00BF4D19" w:rsidRPr="00BF4D19" w:rsidRDefault="00BF4D19" w:rsidP="00082DC7">
            <w:pPr>
              <w:keepNext/>
              <w:spacing w:after="0" w:line="240" w:lineRule="auto"/>
              <w:jc w:val="right"/>
            </w:pPr>
            <w:r w:rsidRPr="00DE07CE">
              <w:rPr>
                <w:rFonts w:eastAsia="Times New Roman" w:cstheme="minorHAnsi"/>
                <w:lang w:eastAsia="it-IT"/>
              </w:rPr>
              <w:t>+4,65%</w:t>
            </w:r>
          </w:p>
        </w:tc>
        <w:tc>
          <w:tcPr>
            <w:tcW w:w="616" w:type="pct"/>
            <w:tcBorders>
              <w:top w:val="nil"/>
              <w:left w:val="nil"/>
              <w:bottom w:val="single" w:sz="8" w:space="0" w:color="00457D"/>
              <w:right w:val="single" w:sz="8" w:space="0" w:color="00457D"/>
            </w:tcBorders>
            <w:noWrap/>
            <w:vAlign w:val="center"/>
          </w:tcPr>
          <w:p w14:paraId="180A4E95" w14:textId="3AF9AEFE"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+2,36%</w:t>
            </w:r>
          </w:p>
        </w:tc>
        <w:tc>
          <w:tcPr>
            <w:tcW w:w="616" w:type="pct"/>
            <w:tcBorders>
              <w:top w:val="nil"/>
              <w:left w:val="nil"/>
              <w:bottom w:val="single" w:sz="8" w:space="0" w:color="00457D"/>
              <w:right w:val="single" w:sz="8" w:space="0" w:color="00457D"/>
            </w:tcBorders>
            <w:noWrap/>
            <w:vAlign w:val="center"/>
          </w:tcPr>
          <w:p w14:paraId="5E7579A0" w14:textId="17BB1F5E"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+0,59%</w:t>
            </w:r>
          </w:p>
        </w:tc>
        <w:tc>
          <w:tcPr>
            <w:tcW w:w="615" w:type="pct"/>
            <w:tcBorders>
              <w:top w:val="nil"/>
              <w:left w:val="nil"/>
              <w:bottom w:val="single" w:sz="8" w:space="0" w:color="00457D"/>
              <w:right w:val="single" w:sz="8" w:space="0" w:color="00457D"/>
            </w:tcBorders>
            <w:vAlign w:val="center"/>
          </w:tcPr>
          <w:p w14:paraId="5BC7E49C" w14:textId="00AF0B81" w:rsidR="00BF4D19" w:rsidRPr="00BF4D19" w:rsidRDefault="00BF4D19" w:rsidP="00082DC7">
            <w:pPr>
              <w:keepNext/>
              <w:spacing w:after="0"/>
              <w:jc w:val="right"/>
              <w:rPr>
                <w:rFonts w:ascii="Calibri" w:hAnsi="Calibri" w:cs="Calibri"/>
                <w:color w:val="000000"/>
              </w:rPr>
            </w:pPr>
            <w:r w:rsidRPr="00DE07CE">
              <w:rPr>
                <w:rFonts w:eastAsia="Times New Roman" w:cstheme="minorHAnsi"/>
                <w:lang w:eastAsia="it-IT"/>
              </w:rPr>
              <w:t>+0,75%</w:t>
            </w:r>
          </w:p>
        </w:tc>
      </w:tr>
      <w:tr w:rsidR="00BF4D19" w14:paraId="172E8FB8" w14:textId="77777777" w:rsidTr="00A20ACC">
        <w:trPr>
          <w:trHeight w:val="340"/>
          <w:jc w:val="center"/>
        </w:trPr>
        <w:tc>
          <w:tcPr>
            <w:tcW w:w="5000" w:type="pct"/>
            <w:gridSpan w:val="5"/>
            <w:tcBorders>
              <w:top w:val="nil"/>
              <w:left w:val="single" w:sz="8" w:space="0" w:color="00457D"/>
              <w:bottom w:val="single" w:sz="8" w:space="0" w:color="00457D"/>
              <w:right w:val="single" w:sz="8" w:space="0" w:color="00457D"/>
            </w:tcBorders>
            <w:noWrap/>
            <w:vAlign w:val="center"/>
            <w:hideMark/>
          </w:tcPr>
          <w:p w14:paraId="4238C6C7" w14:textId="194BD40E" w:rsidR="00BF4D19" w:rsidRPr="00BF4D19" w:rsidRDefault="00BF4D19" w:rsidP="00BF4D19">
            <w:pPr>
              <w:spacing w:after="0"/>
              <w:rPr>
                <w:rFonts w:eastAsia="Times New Roman" w:cstheme="minorHAnsi"/>
                <w:lang w:eastAsia="it-IT"/>
              </w:rPr>
            </w:pPr>
            <w:r w:rsidRPr="008228B2">
              <w:rPr>
                <w:rFonts w:eastAsia="Times New Roman" w:cstheme="minorHAnsi"/>
                <w:sz w:val="18"/>
                <w:szCs w:val="18"/>
                <w:lang w:eastAsia="it-IT"/>
              </w:rPr>
              <w:t>Importi in milioni di euro</w:t>
            </w:r>
          </w:p>
        </w:tc>
      </w:tr>
    </w:tbl>
    <w:p w14:paraId="56E48442" w14:textId="77777777" w:rsidR="00BF4D19" w:rsidRDefault="00BF4D19" w:rsidP="00C7306D">
      <w:pPr>
        <w:spacing w:after="0"/>
        <w:jc w:val="center"/>
        <w:rPr>
          <w:rFonts w:eastAsia="Calibri" w:cstheme="minorHAnsi"/>
          <w:b/>
          <w:bCs/>
          <w:color w:val="00457D"/>
          <w:sz w:val="24"/>
          <w:szCs w:val="24"/>
        </w:rPr>
      </w:pPr>
    </w:p>
    <w:p w14:paraId="21BD9AAA" w14:textId="77777777" w:rsidR="00E252A6" w:rsidRDefault="00E252A6" w:rsidP="00BD7476">
      <w:pPr>
        <w:spacing w:after="0"/>
        <w:rPr>
          <w:rFonts w:eastAsia="Calibri" w:cstheme="minorHAnsi"/>
          <w:b/>
          <w:bCs/>
          <w:color w:val="00457D"/>
          <w:sz w:val="24"/>
          <w:szCs w:val="24"/>
        </w:rPr>
      </w:pPr>
    </w:p>
    <w:p w14:paraId="1C2DE029" w14:textId="739D462B" w:rsidR="0039730F" w:rsidRPr="004442B9" w:rsidRDefault="00F60D04" w:rsidP="00B10C9A">
      <w:pPr>
        <w:spacing w:after="0" w:line="360" w:lineRule="auto"/>
        <w:jc w:val="center"/>
        <w:rPr>
          <w:rFonts w:eastAsia="Calibri" w:cstheme="minorHAnsi"/>
          <w:b/>
          <w:bCs/>
          <w:color w:val="00457D"/>
        </w:rPr>
      </w:pPr>
      <w:r w:rsidRPr="004442B9">
        <w:rPr>
          <w:rFonts w:eastAsia="Calibri" w:cstheme="minorHAnsi"/>
          <w:b/>
          <w:bCs/>
          <w:color w:val="00457D"/>
        </w:rPr>
        <w:t>Figura 1</w:t>
      </w:r>
      <w:r w:rsidR="00DA54E1" w:rsidRPr="004442B9">
        <w:rPr>
          <w:rFonts w:eastAsia="Calibri" w:cstheme="minorHAnsi"/>
          <w:b/>
          <w:bCs/>
          <w:color w:val="00457D"/>
        </w:rPr>
        <w:t>. Fabbisogno Sanitario Nazionale</w:t>
      </w:r>
      <w:r w:rsidR="006E338E" w:rsidRPr="004442B9">
        <w:rPr>
          <w:rFonts w:eastAsia="Calibri" w:cstheme="minorHAnsi"/>
          <w:b/>
          <w:bCs/>
          <w:color w:val="00457D"/>
        </w:rPr>
        <w:t xml:space="preserve"> in termini nominali</w:t>
      </w:r>
      <w:r w:rsidR="00DA54E1" w:rsidRPr="004442B9">
        <w:rPr>
          <w:rFonts w:eastAsia="Calibri" w:cstheme="minorHAnsi"/>
          <w:b/>
          <w:bCs/>
          <w:color w:val="00457D"/>
        </w:rPr>
        <w:t>: trend 2010-20</w:t>
      </w:r>
      <w:r w:rsidR="001574B2" w:rsidRPr="004442B9">
        <w:rPr>
          <w:rFonts w:eastAsia="Calibri" w:cstheme="minorHAnsi"/>
          <w:b/>
          <w:bCs/>
          <w:color w:val="00457D"/>
        </w:rPr>
        <w:t>2</w:t>
      </w:r>
      <w:r w:rsidR="006E338E" w:rsidRPr="004442B9">
        <w:rPr>
          <w:rFonts w:eastAsia="Calibri" w:cstheme="minorHAnsi"/>
          <w:b/>
          <w:bCs/>
          <w:color w:val="00457D"/>
        </w:rPr>
        <w:t>9</w:t>
      </w:r>
    </w:p>
    <w:p w14:paraId="0772B50B" w14:textId="305755A4" w:rsidR="001574B2" w:rsidRDefault="008851DF" w:rsidP="00C7306D">
      <w:pPr>
        <w:spacing w:after="0"/>
        <w:jc w:val="center"/>
        <w:rPr>
          <w:rFonts w:eastAsia="Calibri" w:cstheme="minorHAnsi"/>
          <w:b/>
          <w:bCs/>
          <w:color w:val="00457D"/>
        </w:rPr>
      </w:pPr>
      <w:r>
        <w:rPr>
          <w:rFonts w:eastAsia="Calibri" w:cstheme="minorHAnsi"/>
          <w:b/>
          <w:bCs/>
          <w:noProof/>
          <w:color w:val="00457D"/>
          <w:lang w:eastAsia="it-IT"/>
        </w:rPr>
        <w:drawing>
          <wp:inline distT="0" distB="0" distL="0" distR="0" wp14:anchorId="2A2A7255" wp14:editId="72DBB2DC">
            <wp:extent cx="5400000" cy="2986855"/>
            <wp:effectExtent l="0" t="0" r="0" b="4445"/>
            <wp:docPr id="17146972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0" cy="2986855"/>
                    </a:xfrm>
                    <a:prstGeom prst="rect">
                      <a:avLst/>
                    </a:prstGeom>
                    <a:noFill/>
                  </pic:spPr>
                </pic:pic>
              </a:graphicData>
            </a:graphic>
          </wp:inline>
        </w:drawing>
      </w:r>
    </w:p>
    <w:p w14:paraId="2B65B9BC" w14:textId="77777777" w:rsidR="00EE1C11" w:rsidRDefault="00EE1C11">
      <w:pPr>
        <w:rPr>
          <w:rFonts w:eastAsia="Calibri" w:cstheme="minorHAnsi"/>
          <w:b/>
          <w:bCs/>
          <w:color w:val="00457D"/>
        </w:rPr>
      </w:pPr>
      <w:r>
        <w:rPr>
          <w:rFonts w:eastAsia="Calibri" w:cstheme="minorHAnsi"/>
          <w:b/>
          <w:bCs/>
          <w:color w:val="00457D"/>
        </w:rPr>
        <w:br w:type="page"/>
      </w:r>
    </w:p>
    <w:p w14:paraId="70800A81" w14:textId="3725421A" w:rsidR="001574B2" w:rsidRPr="004442B9" w:rsidRDefault="001574B2" w:rsidP="00B10C9A">
      <w:pPr>
        <w:spacing w:after="0" w:line="360" w:lineRule="auto"/>
        <w:jc w:val="center"/>
        <w:rPr>
          <w:rFonts w:eastAsia="Calibri" w:cstheme="minorHAnsi"/>
          <w:b/>
          <w:bCs/>
          <w:color w:val="00457D"/>
        </w:rPr>
      </w:pPr>
      <w:r w:rsidRPr="004442B9">
        <w:rPr>
          <w:rFonts w:eastAsia="Calibri" w:cstheme="minorHAnsi"/>
          <w:b/>
          <w:bCs/>
          <w:color w:val="00457D"/>
        </w:rPr>
        <w:lastRenderedPageBreak/>
        <w:t>Figura 2. Fabbisogno Sanitario Nazionale in % sul PIL: trend 2010-202</w:t>
      </w:r>
      <w:r w:rsidR="006E338E" w:rsidRPr="004442B9">
        <w:rPr>
          <w:rFonts w:eastAsia="Calibri" w:cstheme="minorHAnsi"/>
          <w:b/>
          <w:bCs/>
          <w:color w:val="00457D"/>
        </w:rPr>
        <w:t>9</w:t>
      </w:r>
    </w:p>
    <w:p w14:paraId="626F35E9" w14:textId="678CF997" w:rsidR="00045598" w:rsidRDefault="00045598" w:rsidP="00CA2619">
      <w:pPr>
        <w:spacing w:after="120"/>
        <w:jc w:val="center"/>
        <w:rPr>
          <w:rFonts w:eastAsia="Calibri" w:cstheme="minorHAnsi"/>
          <w:b/>
          <w:bCs/>
          <w:color w:val="00457D"/>
          <w:sz w:val="24"/>
          <w:szCs w:val="24"/>
        </w:rPr>
      </w:pPr>
      <w:r>
        <w:rPr>
          <w:rFonts w:eastAsia="Calibri" w:cstheme="minorHAnsi"/>
          <w:b/>
          <w:bCs/>
          <w:noProof/>
          <w:color w:val="00457D"/>
          <w:sz w:val="24"/>
          <w:szCs w:val="24"/>
          <w:lang w:eastAsia="it-IT"/>
        </w:rPr>
        <w:drawing>
          <wp:inline distT="0" distB="0" distL="0" distR="0" wp14:anchorId="1A98DBE4" wp14:editId="28AF945E">
            <wp:extent cx="5400000" cy="2986855"/>
            <wp:effectExtent l="0" t="0" r="0" b="4445"/>
            <wp:docPr id="18278571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0" cy="2986855"/>
                    </a:xfrm>
                    <a:prstGeom prst="rect">
                      <a:avLst/>
                    </a:prstGeom>
                    <a:noFill/>
                  </pic:spPr>
                </pic:pic>
              </a:graphicData>
            </a:graphic>
          </wp:inline>
        </w:drawing>
      </w:r>
    </w:p>
    <w:p w14:paraId="0463ED78" w14:textId="0AC20224" w:rsidR="00246187" w:rsidRDefault="00246187" w:rsidP="00CA2619">
      <w:pPr>
        <w:spacing w:after="120"/>
        <w:jc w:val="center"/>
        <w:rPr>
          <w:rFonts w:eastAsia="Calibri" w:cstheme="minorHAnsi"/>
          <w:b/>
          <w:bCs/>
          <w:color w:val="00457D"/>
          <w:sz w:val="24"/>
          <w:szCs w:val="24"/>
        </w:rPr>
      </w:pPr>
    </w:p>
    <w:p w14:paraId="4FD8D6AD" w14:textId="60E89F00" w:rsidR="00246187" w:rsidRPr="004442B9" w:rsidRDefault="00246187" w:rsidP="00246187">
      <w:pPr>
        <w:spacing w:after="0" w:line="360" w:lineRule="auto"/>
        <w:jc w:val="center"/>
        <w:rPr>
          <w:rFonts w:eastAsia="Calibri" w:cstheme="minorHAnsi"/>
          <w:b/>
          <w:bCs/>
          <w:color w:val="00457D"/>
        </w:rPr>
      </w:pPr>
      <w:r w:rsidRPr="004442B9">
        <w:rPr>
          <w:rFonts w:eastAsia="Calibri" w:cstheme="minorHAnsi"/>
          <w:b/>
          <w:bCs/>
          <w:color w:val="00457D"/>
        </w:rPr>
        <w:t>Figura 3. Fabbisogno Sanitario Nazionale in valori assoluti e in % sul PIL: trend 2010-2029</w:t>
      </w:r>
    </w:p>
    <w:p w14:paraId="11466D90" w14:textId="0EC5F623" w:rsidR="00246187" w:rsidRPr="00CA2619" w:rsidRDefault="007D4CFB" w:rsidP="00CA2619">
      <w:pPr>
        <w:spacing w:after="120"/>
        <w:jc w:val="center"/>
        <w:rPr>
          <w:rFonts w:eastAsia="Calibri" w:cstheme="minorHAnsi"/>
          <w:b/>
          <w:bCs/>
          <w:color w:val="00457D"/>
          <w:sz w:val="24"/>
          <w:szCs w:val="24"/>
        </w:rPr>
      </w:pPr>
      <w:r>
        <w:rPr>
          <w:rFonts w:eastAsia="Calibri" w:cstheme="minorHAnsi"/>
          <w:b/>
          <w:bCs/>
          <w:noProof/>
          <w:color w:val="00457D"/>
          <w:sz w:val="24"/>
          <w:szCs w:val="24"/>
          <w:lang w:eastAsia="it-IT"/>
        </w:rPr>
        <w:drawing>
          <wp:inline distT="0" distB="0" distL="0" distR="0" wp14:anchorId="47B305C8" wp14:editId="4A2D322C">
            <wp:extent cx="5400000" cy="2985297"/>
            <wp:effectExtent l="0" t="0" r="0" b="5715"/>
            <wp:docPr id="11028459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0" cy="2985297"/>
                    </a:xfrm>
                    <a:prstGeom prst="rect">
                      <a:avLst/>
                    </a:prstGeom>
                    <a:noFill/>
                  </pic:spPr>
                </pic:pic>
              </a:graphicData>
            </a:graphic>
          </wp:inline>
        </w:drawing>
      </w:r>
    </w:p>
    <w:p w14:paraId="2C4349B9" w14:textId="7399CE23" w:rsidR="00F60D04" w:rsidRDefault="00F60D04" w:rsidP="00C7306D">
      <w:pPr>
        <w:spacing w:after="0"/>
        <w:rPr>
          <w:rFonts w:eastAsia="Calibri" w:cstheme="minorHAnsi"/>
          <w:b/>
          <w:bCs/>
          <w:color w:val="00457D"/>
          <w:sz w:val="16"/>
          <w:szCs w:val="16"/>
        </w:rPr>
      </w:pPr>
    </w:p>
    <w:p w14:paraId="6E8611EB" w14:textId="286A524B" w:rsidR="006E338E" w:rsidRDefault="006E338E" w:rsidP="00C7306D">
      <w:pPr>
        <w:spacing w:after="0"/>
        <w:rPr>
          <w:rFonts w:eastAsia="Calibri" w:cstheme="minorHAnsi"/>
          <w:b/>
          <w:bCs/>
          <w:color w:val="00457D"/>
          <w:sz w:val="16"/>
          <w:szCs w:val="16"/>
        </w:rPr>
      </w:pPr>
    </w:p>
    <w:p w14:paraId="11E3CCB5" w14:textId="6F77185C" w:rsidR="006E338E" w:rsidRDefault="006E338E" w:rsidP="00C7306D">
      <w:pPr>
        <w:spacing w:after="0"/>
        <w:rPr>
          <w:rFonts w:eastAsia="Calibri" w:cstheme="minorHAnsi"/>
          <w:b/>
          <w:bCs/>
          <w:color w:val="00457D"/>
          <w:sz w:val="16"/>
          <w:szCs w:val="16"/>
        </w:rPr>
      </w:pPr>
    </w:p>
    <w:p w14:paraId="46EE7423" w14:textId="44EA4027" w:rsidR="00155767" w:rsidRDefault="00155767" w:rsidP="00C7306D">
      <w:pPr>
        <w:spacing w:after="0"/>
        <w:rPr>
          <w:rFonts w:eastAsia="Calibri" w:cstheme="minorHAnsi"/>
          <w:b/>
          <w:bCs/>
          <w:color w:val="00457D"/>
          <w:sz w:val="16"/>
          <w:szCs w:val="16"/>
        </w:rPr>
      </w:pPr>
    </w:p>
    <w:p w14:paraId="69ABDF0C" w14:textId="0198C91F" w:rsidR="00155767" w:rsidRDefault="00155767" w:rsidP="00C7306D">
      <w:pPr>
        <w:spacing w:after="0"/>
        <w:rPr>
          <w:rFonts w:eastAsia="Calibri" w:cstheme="minorHAnsi"/>
          <w:b/>
          <w:bCs/>
          <w:color w:val="00457D"/>
          <w:sz w:val="16"/>
          <w:szCs w:val="16"/>
        </w:rPr>
      </w:pPr>
    </w:p>
    <w:p w14:paraId="5D68641B" w14:textId="08D54258" w:rsidR="00155767" w:rsidRDefault="00155767" w:rsidP="00C7306D">
      <w:pPr>
        <w:spacing w:after="0"/>
        <w:rPr>
          <w:rFonts w:eastAsia="Calibri" w:cstheme="minorHAnsi"/>
          <w:b/>
          <w:bCs/>
          <w:color w:val="00457D"/>
          <w:sz w:val="16"/>
          <w:szCs w:val="16"/>
        </w:rPr>
      </w:pPr>
    </w:p>
    <w:p w14:paraId="785EE370" w14:textId="6B4825BD" w:rsidR="00155767" w:rsidRDefault="00155767" w:rsidP="00C7306D">
      <w:pPr>
        <w:spacing w:after="0"/>
        <w:rPr>
          <w:rFonts w:eastAsia="Calibri" w:cstheme="minorHAnsi"/>
          <w:b/>
          <w:bCs/>
          <w:color w:val="00457D"/>
          <w:sz w:val="16"/>
          <w:szCs w:val="16"/>
        </w:rPr>
      </w:pPr>
    </w:p>
    <w:p w14:paraId="49DCACC9" w14:textId="31DD6EDE" w:rsidR="00155767" w:rsidRDefault="00155767" w:rsidP="00C7306D">
      <w:pPr>
        <w:spacing w:after="0"/>
        <w:rPr>
          <w:rFonts w:eastAsia="Calibri" w:cstheme="minorHAnsi"/>
          <w:b/>
          <w:bCs/>
          <w:color w:val="00457D"/>
          <w:sz w:val="16"/>
          <w:szCs w:val="16"/>
        </w:rPr>
      </w:pPr>
    </w:p>
    <w:p w14:paraId="16F2F7F1" w14:textId="021EA25C" w:rsidR="00155767" w:rsidRDefault="00155767" w:rsidP="00C7306D">
      <w:pPr>
        <w:spacing w:after="0"/>
        <w:rPr>
          <w:rFonts w:eastAsia="Calibri" w:cstheme="minorHAnsi"/>
          <w:b/>
          <w:bCs/>
          <w:color w:val="00457D"/>
          <w:sz w:val="16"/>
          <w:szCs w:val="16"/>
        </w:rPr>
      </w:pPr>
    </w:p>
    <w:p w14:paraId="6C4753AC" w14:textId="0761ECCB" w:rsidR="00155767" w:rsidRDefault="00155767" w:rsidP="00C7306D">
      <w:pPr>
        <w:spacing w:after="0"/>
        <w:rPr>
          <w:rFonts w:eastAsia="Calibri" w:cstheme="minorHAnsi"/>
          <w:b/>
          <w:bCs/>
          <w:color w:val="00457D"/>
          <w:sz w:val="16"/>
          <w:szCs w:val="16"/>
        </w:rPr>
      </w:pPr>
    </w:p>
    <w:p w14:paraId="52C5E32A" w14:textId="0CA89DAC" w:rsidR="00155767" w:rsidRDefault="00155767" w:rsidP="00C7306D">
      <w:pPr>
        <w:spacing w:after="0"/>
        <w:rPr>
          <w:rFonts w:eastAsia="Calibri" w:cstheme="minorHAnsi"/>
          <w:b/>
          <w:bCs/>
          <w:color w:val="00457D"/>
          <w:sz w:val="16"/>
          <w:szCs w:val="16"/>
        </w:rPr>
      </w:pPr>
    </w:p>
    <w:p w14:paraId="3BB59A0A" w14:textId="40E34135" w:rsidR="00155767" w:rsidRDefault="00155767" w:rsidP="00C7306D">
      <w:pPr>
        <w:spacing w:after="0"/>
        <w:rPr>
          <w:rFonts w:eastAsia="Calibri" w:cstheme="minorHAnsi"/>
          <w:b/>
          <w:bCs/>
          <w:color w:val="00457D"/>
          <w:sz w:val="16"/>
          <w:szCs w:val="16"/>
        </w:rPr>
      </w:pPr>
    </w:p>
    <w:p w14:paraId="69496458" w14:textId="3F9B78DB" w:rsidR="00155767" w:rsidRDefault="00155767" w:rsidP="00C7306D">
      <w:pPr>
        <w:spacing w:after="0"/>
        <w:rPr>
          <w:rFonts w:eastAsia="Calibri" w:cstheme="minorHAnsi"/>
          <w:b/>
          <w:bCs/>
          <w:color w:val="00457D"/>
          <w:sz w:val="16"/>
          <w:szCs w:val="16"/>
        </w:rPr>
      </w:pPr>
    </w:p>
    <w:p w14:paraId="4A78512F" w14:textId="04CF59EF" w:rsidR="00155767" w:rsidRDefault="00155767" w:rsidP="00C7306D">
      <w:pPr>
        <w:spacing w:after="0"/>
        <w:rPr>
          <w:rFonts w:eastAsia="Calibri" w:cstheme="minorHAnsi"/>
          <w:b/>
          <w:bCs/>
          <w:color w:val="00457D"/>
          <w:sz w:val="16"/>
          <w:szCs w:val="16"/>
        </w:rPr>
      </w:pPr>
    </w:p>
    <w:p w14:paraId="21B9E1D8" w14:textId="77777777" w:rsidR="00155767" w:rsidRDefault="00155767" w:rsidP="00C7306D">
      <w:pPr>
        <w:spacing w:after="0"/>
        <w:rPr>
          <w:rFonts w:eastAsia="Calibri" w:cstheme="minorHAnsi"/>
          <w:b/>
          <w:bCs/>
          <w:color w:val="00457D"/>
          <w:sz w:val="16"/>
          <w:szCs w:val="16"/>
        </w:rPr>
      </w:pPr>
    </w:p>
    <w:p w14:paraId="0877E8FD" w14:textId="1579406E" w:rsidR="000416F7" w:rsidRPr="004442B9" w:rsidRDefault="00246187" w:rsidP="00246187">
      <w:pPr>
        <w:spacing w:after="0" w:line="360" w:lineRule="auto"/>
        <w:jc w:val="center"/>
        <w:rPr>
          <w:rFonts w:eastAsia="Calibri" w:cstheme="minorHAnsi"/>
          <w:b/>
          <w:bCs/>
          <w:color w:val="00457D"/>
        </w:rPr>
      </w:pPr>
      <w:r w:rsidRPr="004442B9">
        <w:rPr>
          <w:rFonts w:eastAsia="Calibri" w:cstheme="minorHAnsi"/>
          <w:b/>
          <w:bCs/>
          <w:color w:val="00457D"/>
        </w:rPr>
        <w:lastRenderedPageBreak/>
        <w:t xml:space="preserve">Figura </w:t>
      </w:r>
      <w:r w:rsidR="00155767">
        <w:rPr>
          <w:rFonts w:eastAsia="Calibri" w:cstheme="minorHAnsi"/>
          <w:b/>
          <w:bCs/>
          <w:color w:val="00457D"/>
        </w:rPr>
        <w:t>4</w:t>
      </w:r>
      <w:r w:rsidRPr="004442B9">
        <w:rPr>
          <w:rFonts w:eastAsia="Calibri" w:cstheme="minorHAnsi"/>
          <w:b/>
          <w:bCs/>
          <w:color w:val="00457D"/>
        </w:rPr>
        <w:t>. Fabbisogno Sanitario Nazionale e spesa sanitaria in % sul PIL: trend 2010-2029</w:t>
      </w:r>
    </w:p>
    <w:p w14:paraId="3A6E50C3" w14:textId="3D5EE6A2" w:rsidR="00B72317" w:rsidRDefault="00B92B8C" w:rsidP="00B72317">
      <w:pPr>
        <w:spacing w:after="0"/>
        <w:jc w:val="center"/>
        <w:rPr>
          <w:rFonts w:eastAsia="Calibri" w:cstheme="minorHAnsi"/>
          <w:b/>
          <w:bCs/>
          <w:color w:val="FF0000"/>
        </w:rPr>
      </w:pPr>
      <w:r>
        <w:rPr>
          <w:rFonts w:eastAsia="Calibri" w:cstheme="minorHAnsi"/>
          <w:b/>
          <w:bCs/>
          <w:noProof/>
          <w:color w:val="FF0000"/>
          <w:lang w:eastAsia="it-IT"/>
        </w:rPr>
        <w:drawing>
          <wp:inline distT="0" distB="0" distL="0" distR="0" wp14:anchorId="078BA5D7" wp14:editId="798A7A9B">
            <wp:extent cx="5040000" cy="2846187"/>
            <wp:effectExtent l="0" t="0" r="8255" b="0"/>
            <wp:docPr id="9528755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0" cy="2846187"/>
                    </a:xfrm>
                    <a:prstGeom prst="rect">
                      <a:avLst/>
                    </a:prstGeom>
                    <a:noFill/>
                  </pic:spPr>
                </pic:pic>
              </a:graphicData>
            </a:graphic>
          </wp:inline>
        </w:drawing>
      </w:r>
    </w:p>
    <w:p w14:paraId="3C6816F4" w14:textId="52C6709A" w:rsidR="00D216D3" w:rsidRDefault="00D216D3" w:rsidP="00C7306D">
      <w:pPr>
        <w:spacing w:after="0"/>
        <w:rPr>
          <w:rFonts w:eastAsia="Calibri" w:cstheme="minorHAnsi"/>
          <w:b/>
          <w:bCs/>
          <w:color w:val="FF0000"/>
        </w:rPr>
      </w:pPr>
    </w:p>
    <w:p w14:paraId="7AEBF271" w14:textId="77777777" w:rsidR="00244D7A" w:rsidRDefault="00244D7A" w:rsidP="00244D7A">
      <w:pPr>
        <w:spacing w:line="240" w:lineRule="auto"/>
        <w:jc w:val="center"/>
        <w:rPr>
          <w:rFonts w:eastAsia="Calibri" w:cstheme="minorHAnsi"/>
          <w:b/>
          <w:bCs/>
          <w:color w:val="00457D"/>
        </w:rPr>
      </w:pPr>
    </w:p>
    <w:p w14:paraId="21DAACB2" w14:textId="57A1F2C9" w:rsidR="00533BCA" w:rsidRPr="00244D7A" w:rsidRDefault="00214838" w:rsidP="00244D7A">
      <w:pPr>
        <w:spacing w:line="240" w:lineRule="auto"/>
        <w:jc w:val="center"/>
        <w:rPr>
          <w:rFonts w:eastAsia="Calibri" w:cstheme="minorHAnsi"/>
          <w:color w:val="00457D"/>
        </w:rPr>
      </w:pPr>
      <w:r>
        <w:rPr>
          <w:rFonts w:eastAsia="Calibri" w:cstheme="minorHAnsi"/>
          <w:b/>
          <w:bCs/>
          <w:color w:val="00457D"/>
        </w:rPr>
        <w:t>Figura 5. Divario tra FSN e spesa sanitaria: consuntivi 2023-2025 e previsioni 2026-2029</w:t>
      </w:r>
      <w:r>
        <w:rPr>
          <w:rFonts w:eastAsia="Calibri" w:cstheme="minorHAnsi"/>
          <w:color w:val="00457D"/>
          <w:sz w:val="20"/>
          <w:szCs w:val="20"/>
        </w:rPr>
        <w:t xml:space="preserve"> (fonti: DFP 2026, DPFP 2026 e DdL Bilancio 2027)</w:t>
      </w:r>
    </w:p>
    <w:p w14:paraId="6C9A9CE9" w14:textId="1B00C2A7" w:rsidR="00214838" w:rsidRDefault="00DF0616" w:rsidP="00DF0616">
      <w:pPr>
        <w:spacing w:after="0"/>
        <w:jc w:val="center"/>
        <w:rPr>
          <w:rFonts w:eastAsia="Calibri" w:cstheme="minorHAnsi"/>
          <w:b/>
          <w:bCs/>
          <w:color w:val="FF0000"/>
        </w:rPr>
      </w:pPr>
      <w:r>
        <w:rPr>
          <w:rFonts w:eastAsia="Calibri" w:cstheme="minorHAnsi"/>
          <w:b/>
          <w:bCs/>
          <w:noProof/>
          <w:color w:val="FF0000"/>
          <w:lang w:eastAsia="it-IT"/>
        </w:rPr>
        <w:drawing>
          <wp:inline distT="0" distB="0" distL="0" distR="0" wp14:anchorId="5273B55A" wp14:editId="6AFF5428">
            <wp:extent cx="5040000" cy="2787731"/>
            <wp:effectExtent l="0" t="0" r="8255" b="0"/>
            <wp:docPr id="18757247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0" cy="2787731"/>
                    </a:xfrm>
                    <a:prstGeom prst="rect">
                      <a:avLst/>
                    </a:prstGeom>
                    <a:noFill/>
                  </pic:spPr>
                </pic:pic>
              </a:graphicData>
            </a:graphic>
          </wp:inline>
        </w:drawing>
      </w:r>
    </w:p>
    <w:p w14:paraId="66213D2B" w14:textId="24347B95" w:rsidR="00214838" w:rsidRDefault="00214838" w:rsidP="00C7306D">
      <w:pPr>
        <w:spacing w:after="0"/>
        <w:rPr>
          <w:rFonts w:eastAsia="Calibri" w:cstheme="minorHAnsi"/>
          <w:b/>
          <w:bCs/>
          <w:color w:val="FF0000"/>
        </w:rPr>
      </w:pPr>
    </w:p>
    <w:p w14:paraId="0C75CF42" w14:textId="1E8044A6" w:rsidR="00214838" w:rsidRDefault="00214838" w:rsidP="00C7306D">
      <w:pPr>
        <w:spacing w:after="0"/>
        <w:rPr>
          <w:rFonts w:eastAsia="Calibri" w:cstheme="minorHAnsi"/>
          <w:b/>
          <w:bCs/>
          <w:color w:val="FF0000"/>
        </w:rPr>
      </w:pPr>
    </w:p>
    <w:p w14:paraId="39D64469" w14:textId="6C0B3B25" w:rsidR="00244D7A" w:rsidRDefault="00244D7A" w:rsidP="00C7306D">
      <w:pPr>
        <w:spacing w:after="0"/>
        <w:rPr>
          <w:rFonts w:eastAsia="Calibri" w:cstheme="minorHAnsi"/>
          <w:b/>
          <w:bCs/>
          <w:color w:val="FF0000"/>
        </w:rPr>
      </w:pPr>
    </w:p>
    <w:p w14:paraId="05E8F3D4" w14:textId="54DEC962" w:rsidR="00244D7A" w:rsidRDefault="00244D7A" w:rsidP="00C7306D">
      <w:pPr>
        <w:spacing w:after="0"/>
        <w:rPr>
          <w:rFonts w:eastAsia="Calibri" w:cstheme="minorHAnsi"/>
          <w:b/>
          <w:bCs/>
          <w:color w:val="FF0000"/>
        </w:rPr>
      </w:pPr>
    </w:p>
    <w:p w14:paraId="01E08561" w14:textId="1D698660" w:rsidR="00244D7A" w:rsidRDefault="00244D7A" w:rsidP="00C7306D">
      <w:pPr>
        <w:spacing w:after="0"/>
        <w:rPr>
          <w:rFonts w:eastAsia="Calibri" w:cstheme="minorHAnsi"/>
          <w:b/>
          <w:bCs/>
          <w:color w:val="FF0000"/>
        </w:rPr>
      </w:pPr>
    </w:p>
    <w:p w14:paraId="7454C3D3" w14:textId="72E97A46" w:rsidR="00244D7A" w:rsidRDefault="00244D7A" w:rsidP="00C7306D">
      <w:pPr>
        <w:spacing w:after="0"/>
        <w:rPr>
          <w:rFonts w:eastAsia="Calibri" w:cstheme="minorHAnsi"/>
          <w:b/>
          <w:bCs/>
          <w:color w:val="FF0000"/>
        </w:rPr>
      </w:pPr>
    </w:p>
    <w:p w14:paraId="0204BCC1" w14:textId="0AC9EC31" w:rsidR="00244D7A" w:rsidRDefault="00244D7A" w:rsidP="00C7306D">
      <w:pPr>
        <w:spacing w:after="0"/>
        <w:rPr>
          <w:rFonts w:eastAsia="Calibri" w:cstheme="minorHAnsi"/>
          <w:b/>
          <w:bCs/>
          <w:color w:val="FF0000"/>
        </w:rPr>
      </w:pPr>
    </w:p>
    <w:p w14:paraId="7F76D07E" w14:textId="0C29678E" w:rsidR="00244D7A" w:rsidRDefault="00244D7A" w:rsidP="00C7306D">
      <w:pPr>
        <w:spacing w:after="0"/>
        <w:rPr>
          <w:rFonts w:eastAsia="Calibri" w:cstheme="minorHAnsi"/>
          <w:b/>
          <w:bCs/>
          <w:color w:val="FF0000"/>
        </w:rPr>
      </w:pPr>
    </w:p>
    <w:p w14:paraId="2B766B9C" w14:textId="790AFBE9" w:rsidR="00244D7A" w:rsidRDefault="00244D7A" w:rsidP="00C7306D">
      <w:pPr>
        <w:spacing w:after="0"/>
        <w:rPr>
          <w:rFonts w:eastAsia="Calibri" w:cstheme="minorHAnsi"/>
          <w:b/>
          <w:bCs/>
          <w:color w:val="FF0000"/>
        </w:rPr>
      </w:pPr>
    </w:p>
    <w:p w14:paraId="356F1B59" w14:textId="0278E8FF" w:rsidR="00244D7A" w:rsidRDefault="00244D7A" w:rsidP="00C7306D">
      <w:pPr>
        <w:spacing w:after="0"/>
        <w:rPr>
          <w:rFonts w:eastAsia="Calibri" w:cstheme="minorHAnsi"/>
          <w:b/>
          <w:bCs/>
          <w:color w:val="FF0000"/>
        </w:rPr>
      </w:pPr>
    </w:p>
    <w:p w14:paraId="738F32EF" w14:textId="77777777" w:rsidR="00244D7A" w:rsidRDefault="00244D7A" w:rsidP="00C7306D">
      <w:pPr>
        <w:spacing w:after="0"/>
        <w:rPr>
          <w:rFonts w:eastAsia="Calibri" w:cstheme="minorHAnsi"/>
          <w:b/>
          <w:bCs/>
          <w:color w:val="FF0000"/>
        </w:rPr>
      </w:pPr>
    </w:p>
    <w:p w14:paraId="47395D06" w14:textId="77777777" w:rsidR="00214838" w:rsidRPr="006E338E" w:rsidRDefault="00214838" w:rsidP="00C7306D">
      <w:pPr>
        <w:spacing w:after="0"/>
        <w:rPr>
          <w:rFonts w:eastAsia="Calibri" w:cstheme="minorHAnsi"/>
          <w:b/>
          <w:bCs/>
          <w:color w:val="FF0000"/>
        </w:rPr>
      </w:pPr>
    </w:p>
    <w:p w14:paraId="0DF5EAF2" w14:textId="643348E4" w:rsidR="00335ED9" w:rsidRPr="00195886" w:rsidRDefault="00155767" w:rsidP="00195886">
      <w:pPr>
        <w:spacing w:line="240" w:lineRule="auto"/>
        <w:jc w:val="center"/>
        <w:rPr>
          <w:rFonts w:eastAsia="Calibri" w:cstheme="minorHAnsi"/>
          <w:b/>
          <w:bCs/>
          <w:color w:val="00457D"/>
          <w:sz w:val="20"/>
          <w:szCs w:val="20"/>
        </w:rPr>
      </w:pPr>
      <w:r>
        <w:rPr>
          <w:rFonts w:eastAsia="Calibri" w:cstheme="minorHAnsi"/>
          <w:b/>
          <w:bCs/>
          <w:color w:val="00457D"/>
        </w:rPr>
        <w:lastRenderedPageBreak/>
        <w:t>Figura 6. FSN effettivo vs FSN al 6,27% del PIL</w:t>
      </w:r>
      <w:r>
        <w:rPr>
          <w:rFonts w:eastAsia="Calibri" w:cstheme="minorHAnsi"/>
          <w:color w:val="00457D"/>
          <w:sz w:val="20"/>
          <w:szCs w:val="20"/>
        </w:rPr>
        <w:t xml:space="preserve"> (dati PIL anni 2023-2025 ISTAT a prezzi correnti, anni 2026-2027: stime DPFP 2026)</w:t>
      </w:r>
    </w:p>
    <w:p w14:paraId="78EF8FD4" w14:textId="240E8D3A" w:rsidR="00727EF4" w:rsidRDefault="007D4CFB" w:rsidP="00155767">
      <w:pPr>
        <w:spacing w:line="240" w:lineRule="auto"/>
        <w:jc w:val="center"/>
        <w:rPr>
          <w:rFonts w:eastAsia="Calibri" w:cstheme="minorHAnsi"/>
          <w:b/>
          <w:bCs/>
          <w:color w:val="00457D"/>
          <w:sz w:val="24"/>
          <w:szCs w:val="24"/>
        </w:rPr>
      </w:pPr>
      <w:r>
        <w:rPr>
          <w:rFonts w:eastAsia="Calibri" w:cstheme="minorHAnsi"/>
          <w:b/>
          <w:bCs/>
          <w:noProof/>
          <w:color w:val="00457D"/>
          <w:sz w:val="24"/>
          <w:szCs w:val="24"/>
          <w:lang w:eastAsia="it-IT"/>
        </w:rPr>
        <w:drawing>
          <wp:inline distT="0" distB="0" distL="0" distR="0" wp14:anchorId="5C061E75" wp14:editId="2E860CE6">
            <wp:extent cx="5400000" cy="2989984"/>
            <wp:effectExtent l="0" t="0" r="0" b="1270"/>
            <wp:docPr id="198811920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00" cy="2989984"/>
                    </a:xfrm>
                    <a:prstGeom prst="rect">
                      <a:avLst/>
                    </a:prstGeom>
                    <a:noFill/>
                  </pic:spPr>
                </pic:pic>
              </a:graphicData>
            </a:graphic>
          </wp:inline>
        </w:drawing>
      </w:r>
    </w:p>
    <w:p w14:paraId="792328ED" w14:textId="77777777" w:rsidR="00155767" w:rsidRDefault="00155767" w:rsidP="00B10C9A">
      <w:pPr>
        <w:spacing w:line="240" w:lineRule="auto"/>
        <w:jc w:val="center"/>
        <w:rPr>
          <w:rFonts w:eastAsia="Calibri" w:cstheme="minorHAnsi"/>
          <w:b/>
          <w:bCs/>
          <w:color w:val="00457D"/>
        </w:rPr>
      </w:pPr>
    </w:p>
    <w:p w14:paraId="16E329A0" w14:textId="77777777" w:rsidR="00155767" w:rsidRDefault="00155767" w:rsidP="00B10C9A">
      <w:pPr>
        <w:spacing w:line="240" w:lineRule="auto"/>
        <w:jc w:val="center"/>
        <w:rPr>
          <w:rFonts w:eastAsia="Calibri" w:cstheme="minorHAnsi"/>
          <w:b/>
          <w:bCs/>
          <w:color w:val="00457D"/>
        </w:rPr>
      </w:pPr>
    </w:p>
    <w:p w14:paraId="6CD33C48" w14:textId="3BBF2BB4" w:rsidR="000D167B" w:rsidRPr="00214838" w:rsidRDefault="00B92B8C" w:rsidP="000D167B">
      <w:pPr>
        <w:keepNext/>
        <w:pageBreakBefore/>
        <w:spacing w:after="120"/>
        <w:jc w:val="center"/>
        <w:rPr>
          <w:rFonts w:eastAsia="Calibri" w:cstheme="minorHAnsi"/>
          <w:b/>
          <w:bCs/>
          <w:color w:val="00457D"/>
        </w:rPr>
      </w:pPr>
      <w:r>
        <w:rPr>
          <w:rFonts w:eastAsia="Calibri" w:cstheme="minorHAnsi"/>
          <w:b/>
          <w:bCs/>
          <w:color w:val="00457D"/>
        </w:rPr>
        <w:lastRenderedPageBreak/>
        <w:t>T</w:t>
      </w:r>
      <w:r w:rsidR="000D167B" w:rsidRPr="00214838">
        <w:rPr>
          <w:rFonts w:eastAsia="Calibri" w:cstheme="minorHAnsi"/>
          <w:b/>
          <w:bCs/>
          <w:color w:val="00457D"/>
        </w:rPr>
        <w:t xml:space="preserve">abella 2. Misure sanitarie e sociosanitarie </w:t>
      </w:r>
      <w:r w:rsidR="008B453A" w:rsidRPr="00214838">
        <w:rPr>
          <w:rFonts w:eastAsia="Calibri" w:cstheme="minorHAnsi"/>
          <w:b/>
          <w:bCs/>
          <w:color w:val="00457D"/>
        </w:rPr>
        <w:t xml:space="preserve">previste </w:t>
      </w:r>
      <w:r w:rsidR="000D167B" w:rsidRPr="00214838">
        <w:rPr>
          <w:rFonts w:eastAsia="Calibri" w:cstheme="minorHAnsi"/>
          <w:b/>
          <w:bCs/>
          <w:color w:val="00457D"/>
        </w:rPr>
        <w:t>d</w:t>
      </w:r>
      <w:r w:rsidR="00214838" w:rsidRPr="00214838">
        <w:rPr>
          <w:rFonts w:eastAsia="Calibri" w:cstheme="minorHAnsi"/>
          <w:b/>
          <w:bCs/>
          <w:color w:val="00457D"/>
        </w:rPr>
        <w:t>a</w:t>
      </w:r>
      <w:r w:rsidR="000D167B" w:rsidRPr="00214838">
        <w:rPr>
          <w:rFonts w:eastAsia="Calibri" w:cstheme="minorHAnsi"/>
          <w:b/>
          <w:bCs/>
          <w:color w:val="00457D"/>
        </w:rPr>
        <w:t>l DdL Bilancio 2027</w:t>
      </w:r>
    </w:p>
    <w:tbl>
      <w:tblPr>
        <w:tblW w:w="9493" w:type="dxa"/>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Layout w:type="fixed"/>
        <w:tblLook w:val="04A0" w:firstRow="1" w:lastRow="0" w:firstColumn="1" w:lastColumn="0" w:noHBand="0" w:noVBand="1"/>
      </w:tblPr>
      <w:tblGrid>
        <w:gridCol w:w="5807"/>
        <w:gridCol w:w="1228"/>
        <w:gridCol w:w="1229"/>
        <w:gridCol w:w="1229"/>
      </w:tblGrid>
      <w:tr w:rsidR="000D167B" w14:paraId="53C19BE3" w14:textId="77777777" w:rsidTr="00B92B8C">
        <w:trPr>
          <w:cantSplit/>
          <w:trHeight w:val="397"/>
          <w:tblHeader/>
          <w:jc w:val="center"/>
        </w:trPr>
        <w:tc>
          <w:tcPr>
            <w:tcW w:w="5807" w:type="dxa"/>
            <w:tcBorders>
              <w:right w:val="single" w:sz="4" w:space="0" w:color="FFFFFF" w:themeColor="background1"/>
            </w:tcBorders>
            <w:shd w:val="clear" w:color="auto" w:fill="00457D"/>
            <w:vAlign w:val="center"/>
          </w:tcPr>
          <w:p w14:paraId="7EBC8FFC" w14:textId="77777777" w:rsidR="000D167B" w:rsidRPr="00454B19" w:rsidRDefault="000D167B" w:rsidP="00B92B8C">
            <w:pPr>
              <w:spacing w:before="20" w:after="0"/>
            </w:pPr>
            <w:r w:rsidRPr="00454B19">
              <w:rPr>
                <w:rFonts w:ascii="Calibri" w:hAnsi="Calibri"/>
                <w:b/>
                <w:color w:val="FFFFFF"/>
              </w:rPr>
              <w:t>Misura e riferimento</w:t>
            </w:r>
          </w:p>
        </w:tc>
        <w:tc>
          <w:tcPr>
            <w:tcW w:w="1228" w:type="dxa"/>
            <w:tcBorders>
              <w:left w:val="single" w:sz="4" w:space="0" w:color="FFFFFF" w:themeColor="background1"/>
              <w:right w:val="single" w:sz="4" w:space="0" w:color="FFFFFF" w:themeColor="background1"/>
            </w:tcBorders>
            <w:shd w:val="clear" w:color="auto" w:fill="00457D"/>
            <w:vAlign w:val="center"/>
          </w:tcPr>
          <w:p w14:paraId="22ECC43D" w14:textId="77777777" w:rsidR="000D167B" w:rsidRPr="00454B19" w:rsidRDefault="000D167B" w:rsidP="00B92B8C">
            <w:pPr>
              <w:spacing w:before="20" w:after="0"/>
              <w:jc w:val="center"/>
            </w:pPr>
            <w:r w:rsidRPr="00454B19">
              <w:rPr>
                <w:rFonts w:ascii="Calibri" w:hAnsi="Calibri"/>
                <w:b/>
                <w:color w:val="FFFFFF"/>
              </w:rPr>
              <w:t>2027</w:t>
            </w:r>
          </w:p>
        </w:tc>
        <w:tc>
          <w:tcPr>
            <w:tcW w:w="1229" w:type="dxa"/>
            <w:tcBorders>
              <w:left w:val="single" w:sz="4" w:space="0" w:color="FFFFFF" w:themeColor="background1"/>
              <w:right w:val="single" w:sz="4" w:space="0" w:color="FFFFFF" w:themeColor="background1"/>
            </w:tcBorders>
            <w:shd w:val="clear" w:color="auto" w:fill="00457D"/>
            <w:vAlign w:val="center"/>
          </w:tcPr>
          <w:p w14:paraId="70311E37" w14:textId="77777777" w:rsidR="000D167B" w:rsidRPr="00454B19" w:rsidRDefault="000D167B" w:rsidP="00B92B8C">
            <w:pPr>
              <w:spacing w:before="20" w:after="0"/>
              <w:jc w:val="center"/>
            </w:pPr>
            <w:r w:rsidRPr="00454B19">
              <w:rPr>
                <w:rFonts w:ascii="Calibri" w:hAnsi="Calibri"/>
                <w:b/>
                <w:color w:val="FFFFFF"/>
              </w:rPr>
              <w:t>2028</w:t>
            </w:r>
          </w:p>
        </w:tc>
        <w:tc>
          <w:tcPr>
            <w:tcW w:w="1229" w:type="dxa"/>
            <w:tcBorders>
              <w:left w:val="single" w:sz="4" w:space="0" w:color="FFFFFF" w:themeColor="background1"/>
            </w:tcBorders>
            <w:shd w:val="clear" w:color="auto" w:fill="00457D"/>
            <w:vAlign w:val="center"/>
          </w:tcPr>
          <w:p w14:paraId="27611DD1" w14:textId="77777777" w:rsidR="000D167B" w:rsidRPr="00454B19" w:rsidRDefault="000D167B" w:rsidP="00B92B8C">
            <w:pPr>
              <w:spacing w:before="20" w:after="0"/>
              <w:jc w:val="center"/>
            </w:pPr>
            <w:r w:rsidRPr="00454B19">
              <w:rPr>
                <w:rFonts w:ascii="Calibri" w:hAnsi="Calibri"/>
                <w:b/>
                <w:color w:val="FFFFFF"/>
              </w:rPr>
              <w:t>2029</w:t>
            </w:r>
          </w:p>
        </w:tc>
      </w:tr>
      <w:tr w:rsidR="000D167B" w14:paraId="65097984" w14:textId="77777777" w:rsidTr="00B92B8C">
        <w:trPr>
          <w:cantSplit/>
          <w:trHeight w:val="397"/>
          <w:jc w:val="center"/>
        </w:trPr>
        <w:tc>
          <w:tcPr>
            <w:tcW w:w="5807" w:type="dxa"/>
            <w:shd w:val="clear" w:color="auto" w:fill="D9E5F2"/>
            <w:vAlign w:val="center"/>
          </w:tcPr>
          <w:p w14:paraId="45863FD0" w14:textId="7165BAD0" w:rsidR="000D167B" w:rsidRPr="00454B19" w:rsidRDefault="000D167B" w:rsidP="00B92B8C">
            <w:pPr>
              <w:spacing w:before="20" w:after="0"/>
              <w:rPr>
                <w:color w:val="00457D"/>
              </w:rPr>
            </w:pPr>
            <w:r w:rsidRPr="00454B19">
              <w:rPr>
                <w:rFonts w:ascii="Calibri" w:hAnsi="Calibri"/>
                <w:b/>
                <w:color w:val="00457D"/>
                <w:sz w:val="20"/>
              </w:rPr>
              <w:t xml:space="preserve">A. </w:t>
            </w:r>
            <w:r w:rsidR="00467E22">
              <w:rPr>
                <w:rFonts w:ascii="Calibri" w:hAnsi="Calibri"/>
                <w:b/>
                <w:color w:val="00457D"/>
                <w:sz w:val="20"/>
              </w:rPr>
              <w:t>MISURE A VALERE SUL FSN</w:t>
            </w:r>
            <w:r w:rsidR="00E96CD1" w:rsidRPr="00E96CD1">
              <w:rPr>
                <w:rFonts w:ascii="Calibri" w:hAnsi="Calibri"/>
                <w:bCs/>
                <w:color w:val="00457D"/>
                <w:sz w:val="20"/>
                <w:vertAlign w:val="superscript"/>
              </w:rPr>
              <w:t>1</w:t>
            </w:r>
          </w:p>
        </w:tc>
        <w:tc>
          <w:tcPr>
            <w:tcW w:w="1228" w:type="dxa"/>
            <w:shd w:val="clear" w:color="auto" w:fill="D9E5F2"/>
            <w:vAlign w:val="center"/>
          </w:tcPr>
          <w:p w14:paraId="4A4ADB10" w14:textId="77777777" w:rsidR="000D167B" w:rsidRDefault="000D167B" w:rsidP="00B92B8C">
            <w:pPr>
              <w:spacing w:before="20" w:after="0"/>
            </w:pPr>
          </w:p>
        </w:tc>
        <w:tc>
          <w:tcPr>
            <w:tcW w:w="1229" w:type="dxa"/>
            <w:shd w:val="clear" w:color="auto" w:fill="D9E5F2"/>
            <w:vAlign w:val="center"/>
          </w:tcPr>
          <w:p w14:paraId="34C2E01C" w14:textId="77777777" w:rsidR="000D167B" w:rsidRDefault="000D167B" w:rsidP="00B92B8C">
            <w:pPr>
              <w:spacing w:before="20" w:after="0"/>
            </w:pPr>
          </w:p>
        </w:tc>
        <w:tc>
          <w:tcPr>
            <w:tcW w:w="1229" w:type="dxa"/>
            <w:shd w:val="clear" w:color="auto" w:fill="D9E5F2"/>
            <w:vAlign w:val="center"/>
          </w:tcPr>
          <w:p w14:paraId="331C7035" w14:textId="77777777" w:rsidR="000D167B" w:rsidRDefault="000D167B" w:rsidP="00B92B8C">
            <w:pPr>
              <w:spacing w:before="20" w:after="0"/>
            </w:pPr>
          </w:p>
        </w:tc>
      </w:tr>
      <w:tr w:rsidR="000D167B" w14:paraId="2F77ED0F" w14:textId="77777777" w:rsidTr="00B92B8C">
        <w:trPr>
          <w:cantSplit/>
          <w:trHeight w:val="340"/>
          <w:jc w:val="center"/>
        </w:trPr>
        <w:tc>
          <w:tcPr>
            <w:tcW w:w="5807" w:type="dxa"/>
          </w:tcPr>
          <w:p w14:paraId="3787BC1B" w14:textId="3D8C64ED" w:rsidR="000D167B" w:rsidRDefault="000D167B" w:rsidP="00B92B8C">
            <w:pPr>
              <w:spacing w:before="20" w:after="0"/>
            </w:pPr>
            <w:r>
              <w:rPr>
                <w:rFonts w:ascii="Calibri" w:hAnsi="Calibri"/>
                <w:sz w:val="20"/>
              </w:rPr>
              <w:t xml:space="preserve">Incremento FSN </w:t>
            </w:r>
            <w:r w:rsidRPr="00454B19">
              <w:rPr>
                <w:rFonts w:ascii="Calibri" w:hAnsi="Calibri"/>
                <w:sz w:val="20"/>
              </w:rPr>
              <w:t>(art. 69, c. 1)</w:t>
            </w:r>
          </w:p>
        </w:tc>
        <w:tc>
          <w:tcPr>
            <w:tcW w:w="1228" w:type="dxa"/>
            <w:vAlign w:val="center"/>
          </w:tcPr>
          <w:p w14:paraId="6D483B03" w14:textId="77777777" w:rsidR="000D167B" w:rsidRDefault="000D167B" w:rsidP="00B92B8C">
            <w:pPr>
              <w:spacing w:before="20" w:after="0"/>
              <w:jc w:val="right"/>
            </w:pPr>
            <w:r>
              <w:rPr>
                <w:rFonts w:ascii="Calibri" w:hAnsi="Calibri"/>
                <w:sz w:val="19"/>
              </w:rPr>
              <w:t>2.365</w:t>
            </w:r>
          </w:p>
        </w:tc>
        <w:tc>
          <w:tcPr>
            <w:tcW w:w="1229" w:type="dxa"/>
            <w:vAlign w:val="center"/>
          </w:tcPr>
          <w:p w14:paraId="070CCED1" w14:textId="77777777" w:rsidR="000D167B" w:rsidRDefault="000D167B" w:rsidP="00B92B8C">
            <w:pPr>
              <w:spacing w:before="20" w:after="0"/>
              <w:jc w:val="right"/>
            </w:pPr>
            <w:r>
              <w:rPr>
                <w:rFonts w:ascii="Calibri" w:hAnsi="Calibri"/>
                <w:sz w:val="19"/>
              </w:rPr>
              <w:t>2.352</w:t>
            </w:r>
          </w:p>
        </w:tc>
        <w:tc>
          <w:tcPr>
            <w:tcW w:w="1229" w:type="dxa"/>
            <w:vAlign w:val="center"/>
          </w:tcPr>
          <w:p w14:paraId="1166CA9F" w14:textId="77777777" w:rsidR="000D167B" w:rsidRDefault="000D167B" w:rsidP="00B92B8C">
            <w:pPr>
              <w:spacing w:before="20" w:after="0"/>
              <w:jc w:val="right"/>
            </w:pPr>
            <w:r>
              <w:rPr>
                <w:rFonts w:ascii="Calibri" w:hAnsi="Calibri"/>
                <w:sz w:val="19"/>
              </w:rPr>
              <w:t>2.399</w:t>
            </w:r>
          </w:p>
        </w:tc>
      </w:tr>
      <w:tr w:rsidR="000D167B" w14:paraId="4F7D02B5" w14:textId="77777777" w:rsidTr="00B92B8C">
        <w:trPr>
          <w:cantSplit/>
          <w:trHeight w:val="340"/>
          <w:jc w:val="center"/>
        </w:trPr>
        <w:tc>
          <w:tcPr>
            <w:tcW w:w="5807" w:type="dxa"/>
          </w:tcPr>
          <w:p w14:paraId="26CE343D" w14:textId="4D5A4B22" w:rsidR="000D167B" w:rsidRDefault="000D167B" w:rsidP="00B92B8C">
            <w:pPr>
              <w:spacing w:before="20" w:after="0"/>
            </w:pPr>
            <w:r>
              <w:rPr>
                <w:rFonts w:ascii="Calibri" w:hAnsi="Calibri"/>
                <w:sz w:val="20"/>
              </w:rPr>
              <w:t xml:space="preserve">    di cui tariffe ospedaliere per acuti (art. 69, c. 2)</w:t>
            </w:r>
          </w:p>
        </w:tc>
        <w:tc>
          <w:tcPr>
            <w:tcW w:w="1228" w:type="dxa"/>
            <w:vAlign w:val="center"/>
          </w:tcPr>
          <w:p w14:paraId="4FB6CF31" w14:textId="77777777" w:rsidR="000D167B" w:rsidRDefault="000D167B" w:rsidP="00B92B8C">
            <w:pPr>
              <w:spacing w:before="20" w:after="0"/>
              <w:jc w:val="right"/>
            </w:pPr>
            <w:r>
              <w:rPr>
                <w:rFonts w:ascii="Calibri" w:hAnsi="Calibri"/>
                <w:sz w:val="19"/>
              </w:rPr>
              <w:t>500</w:t>
            </w:r>
          </w:p>
        </w:tc>
        <w:tc>
          <w:tcPr>
            <w:tcW w:w="1229" w:type="dxa"/>
            <w:vAlign w:val="center"/>
          </w:tcPr>
          <w:p w14:paraId="33376C22" w14:textId="77777777" w:rsidR="000D167B" w:rsidRDefault="000D167B" w:rsidP="00B92B8C">
            <w:pPr>
              <w:spacing w:before="20" w:after="0"/>
              <w:jc w:val="right"/>
            </w:pPr>
            <w:r>
              <w:rPr>
                <w:rFonts w:ascii="Calibri" w:hAnsi="Calibri"/>
                <w:sz w:val="19"/>
              </w:rPr>
              <w:t>500</w:t>
            </w:r>
          </w:p>
        </w:tc>
        <w:tc>
          <w:tcPr>
            <w:tcW w:w="1229" w:type="dxa"/>
            <w:vAlign w:val="center"/>
          </w:tcPr>
          <w:p w14:paraId="703C2C51" w14:textId="77777777" w:rsidR="000D167B" w:rsidRDefault="000D167B" w:rsidP="00B92B8C">
            <w:pPr>
              <w:spacing w:before="20" w:after="0"/>
              <w:jc w:val="right"/>
            </w:pPr>
            <w:r>
              <w:rPr>
                <w:rFonts w:ascii="Calibri" w:hAnsi="Calibri"/>
                <w:sz w:val="19"/>
              </w:rPr>
              <w:t>500</w:t>
            </w:r>
          </w:p>
        </w:tc>
      </w:tr>
      <w:tr w:rsidR="000D167B" w14:paraId="144A6E8B" w14:textId="77777777" w:rsidTr="00B92B8C">
        <w:trPr>
          <w:cantSplit/>
          <w:trHeight w:val="340"/>
          <w:jc w:val="center"/>
        </w:trPr>
        <w:tc>
          <w:tcPr>
            <w:tcW w:w="5807" w:type="dxa"/>
          </w:tcPr>
          <w:p w14:paraId="09DDA729" w14:textId="1C012B33" w:rsidR="000D167B" w:rsidRDefault="000D167B" w:rsidP="00B92B8C">
            <w:pPr>
              <w:spacing w:before="20" w:after="0"/>
            </w:pPr>
            <w:r>
              <w:rPr>
                <w:rFonts w:ascii="Calibri" w:hAnsi="Calibri"/>
                <w:sz w:val="20"/>
              </w:rPr>
              <w:t xml:space="preserve">    di cui Alzheimer e altre demenze (art. 69, c. 3)</w:t>
            </w:r>
          </w:p>
        </w:tc>
        <w:tc>
          <w:tcPr>
            <w:tcW w:w="1228" w:type="dxa"/>
            <w:vAlign w:val="center"/>
          </w:tcPr>
          <w:p w14:paraId="1762755D" w14:textId="77777777" w:rsidR="000D167B" w:rsidRDefault="000D167B" w:rsidP="00B92B8C">
            <w:pPr>
              <w:spacing w:before="20" w:after="0"/>
              <w:jc w:val="right"/>
            </w:pPr>
            <w:r>
              <w:rPr>
                <w:rFonts w:ascii="Calibri" w:hAnsi="Calibri"/>
                <w:sz w:val="19"/>
              </w:rPr>
              <w:t>100</w:t>
            </w:r>
          </w:p>
        </w:tc>
        <w:tc>
          <w:tcPr>
            <w:tcW w:w="1229" w:type="dxa"/>
            <w:vAlign w:val="center"/>
          </w:tcPr>
          <w:p w14:paraId="373D1D5E" w14:textId="77777777" w:rsidR="000D167B" w:rsidRDefault="000D167B" w:rsidP="00B92B8C">
            <w:pPr>
              <w:spacing w:before="20" w:after="0"/>
              <w:jc w:val="right"/>
            </w:pPr>
            <w:r>
              <w:rPr>
                <w:rFonts w:ascii="Calibri" w:hAnsi="Calibri"/>
                <w:sz w:val="19"/>
              </w:rPr>
              <w:t>—</w:t>
            </w:r>
          </w:p>
        </w:tc>
        <w:tc>
          <w:tcPr>
            <w:tcW w:w="1229" w:type="dxa"/>
            <w:vAlign w:val="center"/>
          </w:tcPr>
          <w:p w14:paraId="3E9C7BE9" w14:textId="77777777" w:rsidR="000D167B" w:rsidRDefault="000D167B" w:rsidP="00B92B8C">
            <w:pPr>
              <w:spacing w:before="20" w:after="0"/>
              <w:jc w:val="right"/>
            </w:pPr>
            <w:r>
              <w:rPr>
                <w:rFonts w:ascii="Calibri" w:hAnsi="Calibri"/>
                <w:sz w:val="19"/>
              </w:rPr>
              <w:t>—</w:t>
            </w:r>
          </w:p>
        </w:tc>
      </w:tr>
      <w:tr w:rsidR="000D167B" w14:paraId="2302AEFA" w14:textId="77777777" w:rsidTr="00B92B8C">
        <w:trPr>
          <w:cantSplit/>
          <w:trHeight w:val="340"/>
          <w:jc w:val="center"/>
        </w:trPr>
        <w:tc>
          <w:tcPr>
            <w:tcW w:w="5807" w:type="dxa"/>
          </w:tcPr>
          <w:p w14:paraId="067F7642" w14:textId="73E300D1" w:rsidR="000D167B" w:rsidRDefault="000D167B" w:rsidP="00B92B8C">
            <w:pPr>
              <w:spacing w:before="20" w:after="0"/>
            </w:pPr>
            <w:r>
              <w:rPr>
                <w:rFonts w:ascii="Calibri" w:hAnsi="Calibri"/>
                <w:sz w:val="20"/>
              </w:rPr>
              <w:t xml:space="preserve">    di cui prestazioni aggiuntive (art. 69, c. 4)</w:t>
            </w:r>
          </w:p>
        </w:tc>
        <w:tc>
          <w:tcPr>
            <w:tcW w:w="1228" w:type="dxa"/>
            <w:vAlign w:val="center"/>
          </w:tcPr>
          <w:p w14:paraId="62E87873" w14:textId="77777777" w:rsidR="000D167B" w:rsidRDefault="000D167B" w:rsidP="00B92B8C">
            <w:pPr>
              <w:spacing w:before="20" w:after="0"/>
              <w:jc w:val="right"/>
            </w:pPr>
            <w:r>
              <w:rPr>
                <w:rFonts w:ascii="Calibri" w:hAnsi="Calibri"/>
                <w:sz w:val="19"/>
              </w:rPr>
              <w:t>300</w:t>
            </w:r>
          </w:p>
        </w:tc>
        <w:tc>
          <w:tcPr>
            <w:tcW w:w="1229" w:type="dxa"/>
            <w:vAlign w:val="center"/>
          </w:tcPr>
          <w:p w14:paraId="0B61AFA5" w14:textId="77777777" w:rsidR="000D167B" w:rsidRDefault="000D167B" w:rsidP="00B92B8C">
            <w:pPr>
              <w:spacing w:before="20" w:after="0"/>
              <w:jc w:val="right"/>
            </w:pPr>
            <w:r>
              <w:rPr>
                <w:rFonts w:ascii="Calibri" w:hAnsi="Calibri"/>
                <w:sz w:val="19"/>
              </w:rPr>
              <w:t>—</w:t>
            </w:r>
          </w:p>
        </w:tc>
        <w:tc>
          <w:tcPr>
            <w:tcW w:w="1229" w:type="dxa"/>
            <w:vAlign w:val="center"/>
          </w:tcPr>
          <w:p w14:paraId="3D9BF494" w14:textId="77777777" w:rsidR="000D167B" w:rsidRDefault="000D167B" w:rsidP="00B92B8C">
            <w:pPr>
              <w:spacing w:before="20" w:after="0"/>
              <w:jc w:val="right"/>
            </w:pPr>
            <w:r>
              <w:rPr>
                <w:rFonts w:ascii="Calibri" w:hAnsi="Calibri"/>
                <w:sz w:val="19"/>
              </w:rPr>
              <w:t>—</w:t>
            </w:r>
          </w:p>
        </w:tc>
      </w:tr>
      <w:tr w:rsidR="000D167B" w14:paraId="752E6A4A" w14:textId="77777777" w:rsidTr="00B92B8C">
        <w:trPr>
          <w:cantSplit/>
          <w:trHeight w:val="340"/>
          <w:jc w:val="center"/>
        </w:trPr>
        <w:tc>
          <w:tcPr>
            <w:tcW w:w="5807" w:type="dxa"/>
          </w:tcPr>
          <w:p w14:paraId="38FF8529" w14:textId="66A34217" w:rsidR="000D167B" w:rsidRDefault="000D167B" w:rsidP="00B92B8C">
            <w:pPr>
              <w:spacing w:before="20" w:after="0"/>
            </w:pPr>
            <w:r>
              <w:rPr>
                <w:rFonts w:ascii="Calibri" w:hAnsi="Calibri"/>
                <w:sz w:val="20"/>
              </w:rPr>
              <w:t xml:space="preserve">    di cui indennità di Pronto soccorso (art. 69, c. 6)</w:t>
            </w:r>
          </w:p>
        </w:tc>
        <w:tc>
          <w:tcPr>
            <w:tcW w:w="1228" w:type="dxa"/>
            <w:vAlign w:val="center"/>
          </w:tcPr>
          <w:p w14:paraId="3DA455A7" w14:textId="77777777" w:rsidR="000D167B" w:rsidRDefault="000D167B" w:rsidP="00B92B8C">
            <w:pPr>
              <w:spacing w:before="20" w:after="0"/>
              <w:jc w:val="right"/>
            </w:pPr>
            <w:r>
              <w:rPr>
                <w:rFonts w:ascii="Calibri" w:hAnsi="Calibri"/>
                <w:sz w:val="19"/>
              </w:rPr>
              <w:t>380</w:t>
            </w:r>
          </w:p>
        </w:tc>
        <w:tc>
          <w:tcPr>
            <w:tcW w:w="1229" w:type="dxa"/>
            <w:vAlign w:val="center"/>
          </w:tcPr>
          <w:p w14:paraId="6476C6C0" w14:textId="77777777" w:rsidR="000D167B" w:rsidRDefault="000D167B" w:rsidP="00B92B8C">
            <w:pPr>
              <w:spacing w:before="20" w:after="0"/>
              <w:jc w:val="right"/>
            </w:pPr>
            <w:r>
              <w:rPr>
                <w:rFonts w:ascii="Calibri" w:hAnsi="Calibri"/>
                <w:sz w:val="19"/>
              </w:rPr>
              <w:t>380</w:t>
            </w:r>
          </w:p>
        </w:tc>
        <w:tc>
          <w:tcPr>
            <w:tcW w:w="1229" w:type="dxa"/>
            <w:vAlign w:val="center"/>
          </w:tcPr>
          <w:p w14:paraId="3BB3A0D9" w14:textId="77777777" w:rsidR="000D167B" w:rsidRDefault="000D167B" w:rsidP="00B92B8C">
            <w:pPr>
              <w:spacing w:before="20" w:after="0"/>
              <w:jc w:val="right"/>
            </w:pPr>
            <w:r>
              <w:rPr>
                <w:rFonts w:ascii="Calibri" w:hAnsi="Calibri"/>
                <w:sz w:val="19"/>
              </w:rPr>
              <w:t>380</w:t>
            </w:r>
          </w:p>
        </w:tc>
      </w:tr>
      <w:tr w:rsidR="000D167B" w14:paraId="5D471417" w14:textId="77777777" w:rsidTr="00B92B8C">
        <w:trPr>
          <w:cantSplit/>
          <w:trHeight w:val="340"/>
          <w:jc w:val="center"/>
        </w:trPr>
        <w:tc>
          <w:tcPr>
            <w:tcW w:w="5807" w:type="dxa"/>
          </w:tcPr>
          <w:p w14:paraId="10B08156" w14:textId="202B696A" w:rsidR="000D167B" w:rsidRDefault="000D167B" w:rsidP="00B92B8C">
            <w:pPr>
              <w:spacing w:before="20" w:after="0"/>
            </w:pPr>
            <w:r>
              <w:rPr>
                <w:rFonts w:ascii="Calibri" w:hAnsi="Calibri"/>
                <w:sz w:val="20"/>
              </w:rPr>
              <w:t xml:space="preserve">    di cui onere aumento tetto farmaci (art. 71, c. 1)</w:t>
            </w:r>
          </w:p>
        </w:tc>
        <w:tc>
          <w:tcPr>
            <w:tcW w:w="1228" w:type="dxa"/>
            <w:vAlign w:val="center"/>
          </w:tcPr>
          <w:p w14:paraId="5E5E7BCF" w14:textId="77777777" w:rsidR="000D167B" w:rsidRDefault="000D167B" w:rsidP="00B92B8C">
            <w:pPr>
              <w:spacing w:before="20" w:after="0"/>
              <w:jc w:val="right"/>
            </w:pPr>
            <w:r>
              <w:rPr>
                <w:rFonts w:ascii="Calibri" w:hAnsi="Calibri"/>
                <w:sz w:val="19"/>
              </w:rPr>
              <w:t>—</w:t>
            </w:r>
          </w:p>
        </w:tc>
        <w:tc>
          <w:tcPr>
            <w:tcW w:w="1229" w:type="dxa"/>
            <w:vAlign w:val="center"/>
          </w:tcPr>
          <w:p w14:paraId="69C09D8C" w14:textId="77777777" w:rsidR="000D167B" w:rsidRDefault="000D167B" w:rsidP="00B92B8C">
            <w:pPr>
              <w:spacing w:before="20" w:after="0"/>
              <w:jc w:val="right"/>
            </w:pPr>
            <w:r>
              <w:rPr>
                <w:rFonts w:ascii="Calibri" w:hAnsi="Calibri"/>
                <w:sz w:val="19"/>
              </w:rPr>
              <w:t>≈292</w:t>
            </w:r>
          </w:p>
        </w:tc>
        <w:tc>
          <w:tcPr>
            <w:tcW w:w="1229" w:type="dxa"/>
            <w:vAlign w:val="center"/>
          </w:tcPr>
          <w:p w14:paraId="1D68EC89" w14:textId="77777777" w:rsidR="000D167B" w:rsidRDefault="000D167B" w:rsidP="00B92B8C">
            <w:pPr>
              <w:spacing w:before="20" w:after="0"/>
              <w:jc w:val="right"/>
            </w:pPr>
            <w:r>
              <w:rPr>
                <w:rFonts w:ascii="Calibri" w:hAnsi="Calibri"/>
                <w:sz w:val="19"/>
              </w:rPr>
              <w:t>≈292</w:t>
            </w:r>
          </w:p>
        </w:tc>
      </w:tr>
      <w:tr w:rsidR="000D167B" w14:paraId="433DD450" w14:textId="77777777" w:rsidTr="00B92B8C">
        <w:trPr>
          <w:cantSplit/>
          <w:trHeight w:val="340"/>
          <w:jc w:val="center"/>
        </w:trPr>
        <w:tc>
          <w:tcPr>
            <w:tcW w:w="5807" w:type="dxa"/>
          </w:tcPr>
          <w:p w14:paraId="0ADAABC6" w14:textId="3C77C10E" w:rsidR="000D167B" w:rsidRDefault="000D167B" w:rsidP="00B92B8C">
            <w:pPr>
              <w:spacing w:before="20" w:after="0"/>
            </w:pPr>
            <w:r>
              <w:rPr>
                <w:rFonts w:ascii="Calibri" w:hAnsi="Calibri"/>
                <w:sz w:val="20"/>
              </w:rPr>
              <w:t xml:space="preserve">    di cui onere tetto dispositivi al 4,7% (art. 73, c. 1)</w:t>
            </w:r>
          </w:p>
        </w:tc>
        <w:tc>
          <w:tcPr>
            <w:tcW w:w="1228" w:type="dxa"/>
            <w:vAlign w:val="center"/>
          </w:tcPr>
          <w:p w14:paraId="01FC7040" w14:textId="22847639" w:rsidR="000D167B" w:rsidRDefault="000D167B" w:rsidP="00B92B8C">
            <w:pPr>
              <w:spacing w:before="20" w:after="0"/>
              <w:jc w:val="right"/>
            </w:pPr>
            <w:r>
              <w:rPr>
                <w:rFonts w:ascii="Calibri" w:hAnsi="Calibri"/>
                <w:sz w:val="19"/>
              </w:rPr>
              <w:t>≈146</w:t>
            </w:r>
          </w:p>
        </w:tc>
        <w:tc>
          <w:tcPr>
            <w:tcW w:w="1229" w:type="dxa"/>
            <w:vAlign w:val="center"/>
          </w:tcPr>
          <w:p w14:paraId="4C6AE5E5" w14:textId="77777777" w:rsidR="000D167B" w:rsidRDefault="000D167B" w:rsidP="00B92B8C">
            <w:pPr>
              <w:spacing w:before="20" w:after="0"/>
              <w:jc w:val="right"/>
            </w:pPr>
            <w:r>
              <w:rPr>
                <w:rFonts w:ascii="Calibri" w:hAnsi="Calibri"/>
                <w:sz w:val="19"/>
              </w:rPr>
              <w:t>≈146</w:t>
            </w:r>
          </w:p>
        </w:tc>
        <w:tc>
          <w:tcPr>
            <w:tcW w:w="1229" w:type="dxa"/>
            <w:vAlign w:val="center"/>
          </w:tcPr>
          <w:p w14:paraId="3C026733" w14:textId="77777777" w:rsidR="000D167B" w:rsidRDefault="000D167B" w:rsidP="00B92B8C">
            <w:pPr>
              <w:spacing w:before="20" w:after="0"/>
              <w:jc w:val="right"/>
            </w:pPr>
            <w:r>
              <w:rPr>
                <w:rFonts w:ascii="Calibri" w:hAnsi="Calibri"/>
                <w:sz w:val="19"/>
              </w:rPr>
              <w:t>≈146</w:t>
            </w:r>
          </w:p>
        </w:tc>
      </w:tr>
      <w:tr w:rsidR="000D167B" w14:paraId="18B29852" w14:textId="77777777" w:rsidTr="00B92B8C">
        <w:trPr>
          <w:cantSplit/>
          <w:trHeight w:val="340"/>
          <w:jc w:val="center"/>
        </w:trPr>
        <w:tc>
          <w:tcPr>
            <w:tcW w:w="5807" w:type="dxa"/>
          </w:tcPr>
          <w:p w14:paraId="3606D129" w14:textId="41284BB9" w:rsidR="000D167B" w:rsidRDefault="000D167B" w:rsidP="00B92B8C">
            <w:pPr>
              <w:spacing w:before="20" w:after="0"/>
            </w:pPr>
            <w:r>
              <w:rPr>
                <w:rFonts w:ascii="Calibri" w:hAnsi="Calibri"/>
                <w:sz w:val="20"/>
              </w:rPr>
              <w:t xml:space="preserve">    di cui incremento servizi dipendenze fuori Regione (art. 75, c. 1)</w:t>
            </w:r>
          </w:p>
        </w:tc>
        <w:tc>
          <w:tcPr>
            <w:tcW w:w="1228" w:type="dxa"/>
            <w:vAlign w:val="center"/>
          </w:tcPr>
          <w:p w14:paraId="3E92F267" w14:textId="77777777" w:rsidR="000D167B" w:rsidRDefault="000D167B" w:rsidP="00B92B8C">
            <w:pPr>
              <w:spacing w:before="20" w:after="0"/>
              <w:jc w:val="right"/>
            </w:pPr>
            <w:r>
              <w:rPr>
                <w:rFonts w:ascii="Calibri" w:hAnsi="Calibri"/>
                <w:sz w:val="19"/>
              </w:rPr>
              <w:t>15</w:t>
            </w:r>
          </w:p>
        </w:tc>
        <w:tc>
          <w:tcPr>
            <w:tcW w:w="1229" w:type="dxa"/>
            <w:vAlign w:val="center"/>
          </w:tcPr>
          <w:p w14:paraId="266A3176" w14:textId="77777777" w:rsidR="000D167B" w:rsidRDefault="000D167B" w:rsidP="00B92B8C">
            <w:pPr>
              <w:spacing w:before="20" w:after="0"/>
              <w:jc w:val="right"/>
            </w:pPr>
            <w:r>
              <w:rPr>
                <w:rFonts w:ascii="Calibri" w:hAnsi="Calibri"/>
                <w:sz w:val="19"/>
              </w:rPr>
              <w:t>15</w:t>
            </w:r>
          </w:p>
        </w:tc>
        <w:tc>
          <w:tcPr>
            <w:tcW w:w="1229" w:type="dxa"/>
            <w:vAlign w:val="center"/>
          </w:tcPr>
          <w:p w14:paraId="52F83FC0" w14:textId="77777777" w:rsidR="000D167B" w:rsidRDefault="000D167B" w:rsidP="00B92B8C">
            <w:pPr>
              <w:spacing w:before="20" w:after="0"/>
              <w:jc w:val="right"/>
            </w:pPr>
            <w:r>
              <w:rPr>
                <w:rFonts w:ascii="Calibri" w:hAnsi="Calibri"/>
                <w:sz w:val="19"/>
              </w:rPr>
              <w:t>15</w:t>
            </w:r>
          </w:p>
        </w:tc>
      </w:tr>
      <w:tr w:rsidR="000D167B" w14:paraId="6FFF89AA" w14:textId="77777777" w:rsidTr="00B92B8C">
        <w:trPr>
          <w:cantSplit/>
          <w:trHeight w:val="340"/>
          <w:jc w:val="center"/>
        </w:trPr>
        <w:tc>
          <w:tcPr>
            <w:tcW w:w="5807" w:type="dxa"/>
          </w:tcPr>
          <w:p w14:paraId="168A4707" w14:textId="05F9F43C" w:rsidR="000D167B" w:rsidRDefault="000D167B" w:rsidP="00B92B8C">
            <w:pPr>
              <w:spacing w:before="20" w:after="0"/>
            </w:pPr>
            <w:r>
              <w:rPr>
                <w:rFonts w:ascii="Calibri" w:hAnsi="Calibri"/>
                <w:sz w:val="20"/>
              </w:rPr>
              <w:t>Quota di libera disponibilità per le Regioni (art. 69, c. 7)</w:t>
            </w:r>
          </w:p>
        </w:tc>
        <w:tc>
          <w:tcPr>
            <w:tcW w:w="1228" w:type="dxa"/>
            <w:vAlign w:val="center"/>
          </w:tcPr>
          <w:p w14:paraId="51D384B9" w14:textId="77777777" w:rsidR="000D167B" w:rsidRDefault="000D167B" w:rsidP="00B92B8C">
            <w:pPr>
              <w:spacing w:before="20" w:after="0"/>
              <w:jc w:val="right"/>
            </w:pPr>
            <w:r>
              <w:rPr>
                <w:rFonts w:ascii="Calibri" w:hAnsi="Calibri"/>
                <w:sz w:val="19"/>
              </w:rPr>
              <w:t>138</w:t>
            </w:r>
          </w:p>
        </w:tc>
        <w:tc>
          <w:tcPr>
            <w:tcW w:w="1229" w:type="dxa"/>
            <w:vAlign w:val="center"/>
          </w:tcPr>
          <w:p w14:paraId="3A979B5A" w14:textId="77777777" w:rsidR="000D167B" w:rsidRDefault="000D167B" w:rsidP="00B92B8C">
            <w:pPr>
              <w:spacing w:before="20" w:after="0"/>
              <w:jc w:val="right"/>
            </w:pPr>
            <w:r>
              <w:rPr>
                <w:rFonts w:ascii="Calibri" w:hAnsi="Calibri"/>
                <w:sz w:val="19"/>
              </w:rPr>
              <w:t>236</w:t>
            </w:r>
          </w:p>
        </w:tc>
        <w:tc>
          <w:tcPr>
            <w:tcW w:w="1229" w:type="dxa"/>
            <w:vAlign w:val="center"/>
          </w:tcPr>
          <w:p w14:paraId="652FA5FB" w14:textId="77777777" w:rsidR="000D167B" w:rsidRDefault="000D167B" w:rsidP="00B92B8C">
            <w:pPr>
              <w:spacing w:before="20" w:after="0"/>
              <w:jc w:val="right"/>
            </w:pPr>
            <w:r>
              <w:rPr>
                <w:rFonts w:ascii="Calibri" w:hAnsi="Calibri"/>
                <w:sz w:val="19"/>
              </w:rPr>
              <w:t>273</w:t>
            </w:r>
          </w:p>
        </w:tc>
      </w:tr>
      <w:tr w:rsidR="000D167B" w14:paraId="55F5137F" w14:textId="77777777" w:rsidTr="00B92B8C">
        <w:trPr>
          <w:cantSplit/>
          <w:trHeight w:val="397"/>
          <w:jc w:val="center"/>
        </w:trPr>
        <w:tc>
          <w:tcPr>
            <w:tcW w:w="5807" w:type="dxa"/>
            <w:shd w:val="clear" w:color="auto" w:fill="D9E5F2"/>
            <w:vAlign w:val="center"/>
          </w:tcPr>
          <w:p w14:paraId="395125C9" w14:textId="5339FD4C" w:rsidR="000D167B" w:rsidRDefault="00467E22" w:rsidP="00B92B8C">
            <w:pPr>
              <w:spacing w:before="20" w:after="0"/>
            </w:pPr>
            <w:r w:rsidRPr="00454B19">
              <w:rPr>
                <w:rFonts w:ascii="Calibri" w:hAnsi="Calibri"/>
                <w:b/>
                <w:color w:val="00457D"/>
                <w:sz w:val="20"/>
              </w:rPr>
              <w:t xml:space="preserve">B. </w:t>
            </w:r>
            <w:r>
              <w:rPr>
                <w:rFonts w:ascii="Calibri" w:hAnsi="Calibri"/>
                <w:b/>
                <w:color w:val="00457D"/>
                <w:sz w:val="20"/>
              </w:rPr>
              <w:t xml:space="preserve">MISURE </w:t>
            </w:r>
            <w:r w:rsidRPr="00A23FBA">
              <w:rPr>
                <w:rFonts w:ascii="Calibri" w:hAnsi="Calibri"/>
                <w:b/>
                <w:color w:val="00457D"/>
                <w:sz w:val="20"/>
              </w:rPr>
              <w:t>SU FONDI O AUTORIZZAZIONI</w:t>
            </w:r>
            <w:r>
              <w:rPr>
                <w:rFonts w:ascii="Calibri" w:hAnsi="Calibri"/>
                <w:b/>
                <w:color w:val="00457D"/>
                <w:sz w:val="20"/>
              </w:rPr>
              <w:t xml:space="preserve"> NON A VALERE SUL </w:t>
            </w:r>
            <w:r w:rsidRPr="00454B19">
              <w:rPr>
                <w:rFonts w:ascii="Calibri" w:hAnsi="Calibri"/>
                <w:b/>
                <w:color w:val="00457D"/>
                <w:sz w:val="20"/>
              </w:rPr>
              <w:t>FSN</w:t>
            </w:r>
          </w:p>
        </w:tc>
        <w:tc>
          <w:tcPr>
            <w:tcW w:w="1228" w:type="dxa"/>
            <w:shd w:val="clear" w:color="auto" w:fill="D9E5F2"/>
            <w:vAlign w:val="center"/>
          </w:tcPr>
          <w:p w14:paraId="79236090" w14:textId="77777777" w:rsidR="000D167B" w:rsidRDefault="000D167B" w:rsidP="00B92B8C">
            <w:pPr>
              <w:spacing w:before="20" w:after="0"/>
              <w:jc w:val="right"/>
            </w:pPr>
          </w:p>
        </w:tc>
        <w:tc>
          <w:tcPr>
            <w:tcW w:w="1229" w:type="dxa"/>
            <w:shd w:val="clear" w:color="auto" w:fill="D9E5F2"/>
            <w:vAlign w:val="center"/>
          </w:tcPr>
          <w:p w14:paraId="5D3C7EA1" w14:textId="77777777" w:rsidR="000D167B" w:rsidRDefault="000D167B" w:rsidP="00B92B8C">
            <w:pPr>
              <w:spacing w:before="20" w:after="0"/>
              <w:jc w:val="right"/>
            </w:pPr>
          </w:p>
        </w:tc>
        <w:tc>
          <w:tcPr>
            <w:tcW w:w="1229" w:type="dxa"/>
            <w:shd w:val="clear" w:color="auto" w:fill="D9E5F2"/>
            <w:vAlign w:val="center"/>
          </w:tcPr>
          <w:p w14:paraId="74D2CC50" w14:textId="77777777" w:rsidR="000D167B" w:rsidRDefault="000D167B" w:rsidP="00B92B8C">
            <w:pPr>
              <w:spacing w:before="20" w:after="0"/>
              <w:jc w:val="right"/>
            </w:pPr>
          </w:p>
        </w:tc>
      </w:tr>
      <w:tr w:rsidR="000D167B" w14:paraId="2689D7E7" w14:textId="77777777" w:rsidTr="00B92B8C">
        <w:trPr>
          <w:cantSplit/>
          <w:trHeight w:val="340"/>
          <w:jc w:val="center"/>
        </w:trPr>
        <w:tc>
          <w:tcPr>
            <w:tcW w:w="5807" w:type="dxa"/>
          </w:tcPr>
          <w:p w14:paraId="35F9C17C" w14:textId="611B59B1" w:rsidR="000D167B" w:rsidRDefault="000D167B" w:rsidP="00B92B8C">
            <w:pPr>
              <w:spacing w:before="20" w:after="0"/>
            </w:pPr>
            <w:r>
              <w:rPr>
                <w:rFonts w:ascii="Calibri" w:hAnsi="Calibri"/>
                <w:sz w:val="20"/>
              </w:rPr>
              <w:t>Carta per acquisti sanitari degli anziani (art. 53, cc. 1-2)</w:t>
            </w:r>
          </w:p>
        </w:tc>
        <w:tc>
          <w:tcPr>
            <w:tcW w:w="1228" w:type="dxa"/>
            <w:vAlign w:val="center"/>
          </w:tcPr>
          <w:p w14:paraId="49807D6D" w14:textId="77777777" w:rsidR="000D167B" w:rsidRDefault="000D167B" w:rsidP="00B92B8C">
            <w:pPr>
              <w:spacing w:before="20" w:after="0"/>
              <w:jc w:val="right"/>
            </w:pPr>
            <w:r>
              <w:rPr>
                <w:rFonts w:ascii="Calibri" w:hAnsi="Calibri"/>
                <w:sz w:val="19"/>
              </w:rPr>
              <w:t>1.645</w:t>
            </w:r>
          </w:p>
        </w:tc>
        <w:tc>
          <w:tcPr>
            <w:tcW w:w="1229" w:type="dxa"/>
            <w:vAlign w:val="center"/>
          </w:tcPr>
          <w:p w14:paraId="61588E18" w14:textId="77777777" w:rsidR="000D167B" w:rsidRDefault="000D167B" w:rsidP="00B92B8C">
            <w:pPr>
              <w:spacing w:before="20" w:after="0"/>
              <w:jc w:val="right"/>
            </w:pPr>
            <w:r>
              <w:rPr>
                <w:rFonts w:ascii="Calibri" w:hAnsi="Calibri"/>
                <w:sz w:val="19"/>
              </w:rPr>
              <w:t>—</w:t>
            </w:r>
          </w:p>
        </w:tc>
        <w:tc>
          <w:tcPr>
            <w:tcW w:w="1229" w:type="dxa"/>
            <w:vAlign w:val="center"/>
          </w:tcPr>
          <w:p w14:paraId="1D502435" w14:textId="77777777" w:rsidR="000D167B" w:rsidRDefault="000D167B" w:rsidP="00B92B8C">
            <w:pPr>
              <w:spacing w:before="20" w:after="0"/>
              <w:jc w:val="right"/>
            </w:pPr>
            <w:r>
              <w:rPr>
                <w:rFonts w:ascii="Calibri" w:hAnsi="Calibri"/>
                <w:sz w:val="19"/>
              </w:rPr>
              <w:t>—</w:t>
            </w:r>
          </w:p>
        </w:tc>
      </w:tr>
      <w:tr w:rsidR="000D167B" w14:paraId="5ECC0734" w14:textId="77777777" w:rsidTr="00B92B8C">
        <w:trPr>
          <w:cantSplit/>
          <w:trHeight w:val="340"/>
          <w:jc w:val="center"/>
        </w:trPr>
        <w:tc>
          <w:tcPr>
            <w:tcW w:w="5807" w:type="dxa"/>
          </w:tcPr>
          <w:p w14:paraId="112C79CF" w14:textId="714CC878" w:rsidR="000D167B" w:rsidRDefault="000D167B" w:rsidP="00B92B8C">
            <w:pPr>
              <w:spacing w:before="20" w:after="0"/>
            </w:pPr>
            <w:r>
              <w:rPr>
                <w:rFonts w:ascii="Calibri" w:hAnsi="Calibri"/>
                <w:sz w:val="20"/>
              </w:rPr>
              <w:t>Proroga prestazione universale anziani (art. 53, c. 3)</w:t>
            </w:r>
          </w:p>
        </w:tc>
        <w:tc>
          <w:tcPr>
            <w:tcW w:w="1228" w:type="dxa"/>
            <w:vAlign w:val="center"/>
          </w:tcPr>
          <w:p w14:paraId="7249B936" w14:textId="77777777" w:rsidR="000D167B" w:rsidRDefault="000D167B" w:rsidP="00B92B8C">
            <w:pPr>
              <w:spacing w:before="20" w:after="0"/>
              <w:jc w:val="right"/>
            </w:pPr>
            <w:r>
              <w:rPr>
                <w:rFonts w:ascii="Calibri" w:hAnsi="Calibri"/>
                <w:sz w:val="19"/>
              </w:rPr>
              <w:t>136</w:t>
            </w:r>
          </w:p>
        </w:tc>
        <w:tc>
          <w:tcPr>
            <w:tcW w:w="1229" w:type="dxa"/>
            <w:vAlign w:val="center"/>
          </w:tcPr>
          <w:p w14:paraId="1153439B" w14:textId="77777777" w:rsidR="000D167B" w:rsidRDefault="000D167B" w:rsidP="00B92B8C">
            <w:pPr>
              <w:spacing w:before="20" w:after="0"/>
              <w:jc w:val="right"/>
            </w:pPr>
            <w:r>
              <w:rPr>
                <w:rFonts w:ascii="Calibri" w:hAnsi="Calibri"/>
                <w:sz w:val="19"/>
              </w:rPr>
              <w:t>—</w:t>
            </w:r>
          </w:p>
        </w:tc>
        <w:tc>
          <w:tcPr>
            <w:tcW w:w="1229" w:type="dxa"/>
            <w:vAlign w:val="center"/>
          </w:tcPr>
          <w:p w14:paraId="425555DE" w14:textId="77777777" w:rsidR="000D167B" w:rsidRDefault="000D167B" w:rsidP="00B92B8C">
            <w:pPr>
              <w:spacing w:before="20" w:after="0"/>
              <w:jc w:val="right"/>
            </w:pPr>
            <w:r>
              <w:rPr>
                <w:rFonts w:ascii="Calibri" w:hAnsi="Calibri"/>
                <w:sz w:val="19"/>
              </w:rPr>
              <w:t>—</w:t>
            </w:r>
          </w:p>
        </w:tc>
      </w:tr>
      <w:tr w:rsidR="000D167B" w14:paraId="74F23316" w14:textId="77777777" w:rsidTr="00B92B8C">
        <w:trPr>
          <w:cantSplit/>
          <w:trHeight w:val="340"/>
          <w:jc w:val="center"/>
        </w:trPr>
        <w:tc>
          <w:tcPr>
            <w:tcW w:w="5807" w:type="dxa"/>
          </w:tcPr>
          <w:p w14:paraId="543D42C3" w14:textId="29B39663" w:rsidR="000D167B" w:rsidRDefault="000D167B" w:rsidP="00B92B8C">
            <w:pPr>
              <w:spacing w:before="20" w:after="0"/>
            </w:pPr>
            <w:r>
              <w:rPr>
                <w:rFonts w:ascii="Calibri" w:hAnsi="Calibri"/>
                <w:sz w:val="20"/>
              </w:rPr>
              <w:t>Contenzioso mensa e buoni pasto (art. 69, c. 5)</w:t>
            </w:r>
          </w:p>
        </w:tc>
        <w:tc>
          <w:tcPr>
            <w:tcW w:w="1228" w:type="dxa"/>
            <w:vAlign w:val="center"/>
          </w:tcPr>
          <w:p w14:paraId="4D3709C2" w14:textId="77777777" w:rsidR="000D167B" w:rsidRDefault="000D167B" w:rsidP="00B92B8C">
            <w:pPr>
              <w:spacing w:before="20" w:after="0"/>
              <w:jc w:val="right"/>
            </w:pPr>
            <w:r>
              <w:rPr>
                <w:rFonts w:ascii="Calibri" w:hAnsi="Calibri"/>
                <w:sz w:val="19"/>
              </w:rPr>
              <w:t>100</w:t>
            </w:r>
          </w:p>
        </w:tc>
        <w:tc>
          <w:tcPr>
            <w:tcW w:w="1229" w:type="dxa"/>
            <w:vAlign w:val="center"/>
          </w:tcPr>
          <w:p w14:paraId="537E25ED" w14:textId="77777777" w:rsidR="000D167B" w:rsidRDefault="000D167B" w:rsidP="00B92B8C">
            <w:pPr>
              <w:spacing w:before="20" w:after="0"/>
              <w:jc w:val="right"/>
            </w:pPr>
            <w:r>
              <w:rPr>
                <w:rFonts w:ascii="Calibri" w:hAnsi="Calibri"/>
                <w:sz w:val="19"/>
              </w:rPr>
              <w:t>—</w:t>
            </w:r>
          </w:p>
        </w:tc>
        <w:tc>
          <w:tcPr>
            <w:tcW w:w="1229" w:type="dxa"/>
            <w:vAlign w:val="center"/>
          </w:tcPr>
          <w:p w14:paraId="2981D5C2" w14:textId="77777777" w:rsidR="000D167B" w:rsidRDefault="000D167B" w:rsidP="00B92B8C">
            <w:pPr>
              <w:spacing w:before="20" w:after="0"/>
              <w:jc w:val="right"/>
            </w:pPr>
            <w:r>
              <w:rPr>
                <w:rFonts w:ascii="Calibri" w:hAnsi="Calibri"/>
                <w:sz w:val="19"/>
              </w:rPr>
              <w:t>—</w:t>
            </w:r>
          </w:p>
        </w:tc>
      </w:tr>
      <w:tr w:rsidR="000D167B" w14:paraId="34B38BD1" w14:textId="77777777" w:rsidTr="00B92B8C">
        <w:trPr>
          <w:cantSplit/>
          <w:trHeight w:val="340"/>
          <w:jc w:val="center"/>
        </w:trPr>
        <w:tc>
          <w:tcPr>
            <w:tcW w:w="5807" w:type="dxa"/>
          </w:tcPr>
          <w:p w14:paraId="0A9EDB5E" w14:textId="699D11EE" w:rsidR="000D167B" w:rsidRDefault="000D167B" w:rsidP="00B92B8C">
            <w:pPr>
              <w:spacing w:before="20" w:after="0"/>
            </w:pPr>
            <w:r>
              <w:rPr>
                <w:rFonts w:ascii="Calibri" w:hAnsi="Calibri"/>
                <w:sz w:val="20"/>
              </w:rPr>
              <w:t>Fondo compensazione ripiano farmaceutico (art. 71, c. 6)</w:t>
            </w:r>
          </w:p>
        </w:tc>
        <w:tc>
          <w:tcPr>
            <w:tcW w:w="1228" w:type="dxa"/>
            <w:vAlign w:val="center"/>
          </w:tcPr>
          <w:p w14:paraId="0B5248BE" w14:textId="77777777" w:rsidR="000D167B" w:rsidRDefault="000D167B" w:rsidP="00B92B8C">
            <w:pPr>
              <w:spacing w:before="20" w:after="0"/>
              <w:jc w:val="right"/>
            </w:pPr>
            <w:r>
              <w:rPr>
                <w:rFonts w:ascii="Calibri" w:hAnsi="Calibri"/>
                <w:sz w:val="19"/>
              </w:rPr>
              <w:t>160</w:t>
            </w:r>
          </w:p>
        </w:tc>
        <w:tc>
          <w:tcPr>
            <w:tcW w:w="1229" w:type="dxa"/>
            <w:vAlign w:val="center"/>
          </w:tcPr>
          <w:p w14:paraId="6EBD5F36" w14:textId="77777777" w:rsidR="000D167B" w:rsidRDefault="000D167B" w:rsidP="00B92B8C">
            <w:pPr>
              <w:spacing w:before="20" w:after="0"/>
              <w:jc w:val="right"/>
            </w:pPr>
            <w:r>
              <w:rPr>
                <w:rFonts w:ascii="Calibri" w:hAnsi="Calibri"/>
                <w:sz w:val="19"/>
              </w:rPr>
              <w:t>160</w:t>
            </w:r>
          </w:p>
        </w:tc>
        <w:tc>
          <w:tcPr>
            <w:tcW w:w="1229" w:type="dxa"/>
            <w:vAlign w:val="center"/>
          </w:tcPr>
          <w:p w14:paraId="71FA91AD" w14:textId="77777777" w:rsidR="000D167B" w:rsidRDefault="000D167B" w:rsidP="00B92B8C">
            <w:pPr>
              <w:spacing w:before="20" w:after="0"/>
              <w:jc w:val="right"/>
            </w:pPr>
            <w:r>
              <w:rPr>
                <w:rFonts w:ascii="Calibri" w:hAnsi="Calibri"/>
                <w:sz w:val="19"/>
              </w:rPr>
              <w:t>160</w:t>
            </w:r>
          </w:p>
        </w:tc>
      </w:tr>
      <w:tr w:rsidR="000D167B" w14:paraId="59544E2F" w14:textId="77777777" w:rsidTr="00B92B8C">
        <w:trPr>
          <w:cantSplit/>
          <w:trHeight w:val="340"/>
          <w:jc w:val="center"/>
        </w:trPr>
        <w:tc>
          <w:tcPr>
            <w:tcW w:w="5807" w:type="dxa"/>
          </w:tcPr>
          <w:p w14:paraId="67078F0A" w14:textId="70B77179" w:rsidR="000D167B" w:rsidRDefault="000D167B" w:rsidP="00B92B8C">
            <w:pPr>
              <w:spacing w:before="20" w:after="0"/>
            </w:pPr>
            <w:r>
              <w:rPr>
                <w:rFonts w:ascii="Calibri" w:hAnsi="Calibri"/>
                <w:sz w:val="20"/>
              </w:rPr>
              <w:t xml:space="preserve">Concorso </w:t>
            </w:r>
            <w:r w:rsidR="00E4132C">
              <w:rPr>
                <w:rFonts w:ascii="Calibri" w:hAnsi="Calibri"/>
                <w:sz w:val="20"/>
              </w:rPr>
              <w:t xml:space="preserve">dello Stato </w:t>
            </w:r>
            <w:r>
              <w:rPr>
                <w:rFonts w:ascii="Calibri" w:hAnsi="Calibri"/>
                <w:sz w:val="20"/>
              </w:rPr>
              <w:t>al ripiano dispositivi 2019-2023 (art. 73, c. 2)</w:t>
            </w:r>
          </w:p>
        </w:tc>
        <w:tc>
          <w:tcPr>
            <w:tcW w:w="1228" w:type="dxa"/>
            <w:vAlign w:val="center"/>
          </w:tcPr>
          <w:p w14:paraId="280762BA" w14:textId="77777777" w:rsidR="000D167B" w:rsidRDefault="000D167B" w:rsidP="00B92B8C">
            <w:pPr>
              <w:spacing w:before="20" w:after="0"/>
              <w:jc w:val="right"/>
            </w:pPr>
            <w:r>
              <w:rPr>
                <w:rFonts w:ascii="Calibri" w:hAnsi="Calibri"/>
                <w:sz w:val="19"/>
              </w:rPr>
              <w:t>—</w:t>
            </w:r>
          </w:p>
        </w:tc>
        <w:tc>
          <w:tcPr>
            <w:tcW w:w="1229" w:type="dxa"/>
            <w:vAlign w:val="center"/>
          </w:tcPr>
          <w:p w14:paraId="3E634938" w14:textId="77777777" w:rsidR="000D167B" w:rsidRDefault="000D167B" w:rsidP="00B92B8C">
            <w:pPr>
              <w:spacing w:before="20" w:after="0"/>
              <w:jc w:val="right"/>
            </w:pPr>
            <w:r>
              <w:rPr>
                <w:rFonts w:ascii="Calibri" w:hAnsi="Calibri"/>
                <w:sz w:val="19"/>
              </w:rPr>
              <w:t>350</w:t>
            </w:r>
          </w:p>
        </w:tc>
        <w:tc>
          <w:tcPr>
            <w:tcW w:w="1229" w:type="dxa"/>
            <w:vAlign w:val="center"/>
          </w:tcPr>
          <w:p w14:paraId="01FCC669" w14:textId="77777777" w:rsidR="000D167B" w:rsidRDefault="000D167B" w:rsidP="00B92B8C">
            <w:pPr>
              <w:spacing w:before="20" w:after="0"/>
              <w:jc w:val="right"/>
            </w:pPr>
            <w:r>
              <w:rPr>
                <w:rFonts w:ascii="Calibri" w:hAnsi="Calibri"/>
                <w:sz w:val="19"/>
              </w:rPr>
              <w:t>350</w:t>
            </w:r>
          </w:p>
        </w:tc>
      </w:tr>
      <w:tr w:rsidR="000D167B" w14:paraId="38869CAC" w14:textId="77777777" w:rsidTr="00B92B8C">
        <w:trPr>
          <w:cantSplit/>
          <w:trHeight w:val="340"/>
          <w:jc w:val="center"/>
        </w:trPr>
        <w:tc>
          <w:tcPr>
            <w:tcW w:w="5807" w:type="dxa"/>
          </w:tcPr>
          <w:p w14:paraId="12484915" w14:textId="416EBA4A" w:rsidR="000D167B" w:rsidRDefault="000D167B" w:rsidP="00B92B8C">
            <w:pPr>
              <w:spacing w:before="20" w:after="0"/>
            </w:pPr>
            <w:r>
              <w:rPr>
                <w:rFonts w:ascii="Calibri" w:hAnsi="Calibri"/>
                <w:sz w:val="20"/>
              </w:rPr>
              <w:t>Fondo nazionale di intervento per la lotta alla droga (art. 75, c. 2)</w:t>
            </w:r>
          </w:p>
        </w:tc>
        <w:tc>
          <w:tcPr>
            <w:tcW w:w="1228" w:type="dxa"/>
            <w:vAlign w:val="center"/>
          </w:tcPr>
          <w:p w14:paraId="7A28533D" w14:textId="77777777" w:rsidR="000D167B" w:rsidRDefault="000D167B" w:rsidP="00B92B8C">
            <w:pPr>
              <w:spacing w:before="20" w:after="0"/>
              <w:jc w:val="right"/>
            </w:pPr>
            <w:r>
              <w:rPr>
                <w:rFonts w:ascii="Calibri" w:hAnsi="Calibri"/>
                <w:sz w:val="19"/>
              </w:rPr>
              <w:t>5</w:t>
            </w:r>
          </w:p>
        </w:tc>
        <w:tc>
          <w:tcPr>
            <w:tcW w:w="1229" w:type="dxa"/>
            <w:vAlign w:val="center"/>
          </w:tcPr>
          <w:p w14:paraId="780E363B" w14:textId="77777777" w:rsidR="000D167B" w:rsidRDefault="000D167B" w:rsidP="00B92B8C">
            <w:pPr>
              <w:spacing w:before="20" w:after="0"/>
              <w:jc w:val="right"/>
            </w:pPr>
            <w:r>
              <w:rPr>
                <w:rFonts w:ascii="Calibri" w:hAnsi="Calibri"/>
                <w:sz w:val="19"/>
              </w:rPr>
              <w:t>5</w:t>
            </w:r>
          </w:p>
        </w:tc>
        <w:tc>
          <w:tcPr>
            <w:tcW w:w="1229" w:type="dxa"/>
            <w:vAlign w:val="center"/>
          </w:tcPr>
          <w:p w14:paraId="54436500" w14:textId="77777777" w:rsidR="000D167B" w:rsidRDefault="000D167B" w:rsidP="00B92B8C">
            <w:pPr>
              <w:spacing w:before="20" w:after="0"/>
              <w:jc w:val="right"/>
            </w:pPr>
            <w:r>
              <w:rPr>
                <w:rFonts w:ascii="Calibri" w:hAnsi="Calibri"/>
                <w:sz w:val="19"/>
              </w:rPr>
              <w:t>5</w:t>
            </w:r>
          </w:p>
        </w:tc>
      </w:tr>
      <w:tr w:rsidR="000D167B" w14:paraId="441495C8" w14:textId="77777777" w:rsidTr="00B92B8C">
        <w:trPr>
          <w:cantSplit/>
          <w:trHeight w:val="340"/>
          <w:jc w:val="center"/>
        </w:trPr>
        <w:tc>
          <w:tcPr>
            <w:tcW w:w="5807" w:type="dxa"/>
          </w:tcPr>
          <w:p w14:paraId="1F354D00" w14:textId="4FED8532" w:rsidR="000D167B" w:rsidRDefault="000D167B" w:rsidP="00B92B8C">
            <w:pPr>
              <w:spacing w:before="20" w:after="0"/>
            </w:pPr>
            <w:r>
              <w:rPr>
                <w:rFonts w:ascii="Calibri" w:hAnsi="Calibri"/>
                <w:sz w:val="20"/>
              </w:rPr>
              <w:t>Fondo detenzione domiciliare per recupero dipendenze (art. 75, c. 3)</w:t>
            </w:r>
          </w:p>
        </w:tc>
        <w:tc>
          <w:tcPr>
            <w:tcW w:w="1228" w:type="dxa"/>
            <w:vAlign w:val="center"/>
          </w:tcPr>
          <w:p w14:paraId="5AD7BCA9" w14:textId="3D828B5B" w:rsidR="000D167B" w:rsidRDefault="000D167B" w:rsidP="00B92B8C">
            <w:pPr>
              <w:spacing w:before="20" w:after="0"/>
              <w:jc w:val="right"/>
            </w:pPr>
            <w:r>
              <w:rPr>
                <w:rFonts w:ascii="Calibri" w:hAnsi="Calibri"/>
                <w:sz w:val="19"/>
              </w:rPr>
              <w:t>20,56</w:t>
            </w:r>
          </w:p>
        </w:tc>
        <w:tc>
          <w:tcPr>
            <w:tcW w:w="1229" w:type="dxa"/>
            <w:vAlign w:val="center"/>
          </w:tcPr>
          <w:p w14:paraId="216D7A0F" w14:textId="0185C94A" w:rsidR="000D167B" w:rsidRDefault="000D167B" w:rsidP="00B92B8C">
            <w:pPr>
              <w:spacing w:before="20" w:after="0"/>
              <w:jc w:val="right"/>
            </w:pPr>
            <w:r>
              <w:rPr>
                <w:rFonts w:ascii="Calibri" w:hAnsi="Calibri"/>
                <w:sz w:val="19"/>
              </w:rPr>
              <w:t>20,56</w:t>
            </w:r>
          </w:p>
        </w:tc>
        <w:tc>
          <w:tcPr>
            <w:tcW w:w="1229" w:type="dxa"/>
            <w:vAlign w:val="center"/>
          </w:tcPr>
          <w:p w14:paraId="7FF0630B" w14:textId="17C193C2" w:rsidR="000D167B" w:rsidRDefault="000D167B" w:rsidP="00B92B8C">
            <w:pPr>
              <w:spacing w:before="20" w:after="0"/>
              <w:jc w:val="right"/>
            </w:pPr>
            <w:r>
              <w:rPr>
                <w:rFonts w:ascii="Calibri" w:hAnsi="Calibri"/>
                <w:sz w:val="19"/>
              </w:rPr>
              <w:t>20,56</w:t>
            </w:r>
          </w:p>
        </w:tc>
      </w:tr>
      <w:tr w:rsidR="000D167B" w14:paraId="5401117B" w14:textId="77777777" w:rsidTr="00B92B8C">
        <w:trPr>
          <w:cantSplit/>
          <w:trHeight w:val="340"/>
          <w:jc w:val="center"/>
        </w:trPr>
        <w:tc>
          <w:tcPr>
            <w:tcW w:w="5807" w:type="dxa"/>
          </w:tcPr>
          <w:p w14:paraId="64C2EC00" w14:textId="661BA09C" w:rsidR="000D167B" w:rsidRDefault="000D167B" w:rsidP="00B92B8C">
            <w:pPr>
              <w:spacing w:before="20" w:after="0"/>
            </w:pPr>
            <w:r>
              <w:rPr>
                <w:rFonts w:ascii="Calibri" w:hAnsi="Calibri"/>
                <w:sz w:val="20"/>
              </w:rPr>
              <w:t xml:space="preserve">Efficienza energetica strutture sanitarie pubbliche (art. 80, c. 1, lett. a) </w:t>
            </w:r>
          </w:p>
        </w:tc>
        <w:tc>
          <w:tcPr>
            <w:tcW w:w="1228" w:type="dxa"/>
            <w:vAlign w:val="center"/>
          </w:tcPr>
          <w:p w14:paraId="24E4ADBE" w14:textId="77777777" w:rsidR="000D167B" w:rsidRDefault="000D167B" w:rsidP="00B92B8C">
            <w:pPr>
              <w:spacing w:before="20" w:after="0"/>
              <w:jc w:val="right"/>
            </w:pPr>
            <w:r>
              <w:rPr>
                <w:rFonts w:ascii="Calibri" w:hAnsi="Calibri"/>
                <w:sz w:val="19"/>
              </w:rPr>
              <w:t>—</w:t>
            </w:r>
          </w:p>
        </w:tc>
        <w:tc>
          <w:tcPr>
            <w:tcW w:w="1229" w:type="dxa"/>
            <w:vAlign w:val="center"/>
          </w:tcPr>
          <w:p w14:paraId="73EA2185" w14:textId="77777777" w:rsidR="000D167B" w:rsidRDefault="000D167B" w:rsidP="00B92B8C">
            <w:pPr>
              <w:spacing w:before="20" w:after="0"/>
              <w:jc w:val="right"/>
            </w:pPr>
            <w:r>
              <w:rPr>
                <w:rFonts w:ascii="Calibri" w:hAnsi="Calibri"/>
                <w:sz w:val="19"/>
              </w:rPr>
              <w:t>200</w:t>
            </w:r>
          </w:p>
        </w:tc>
        <w:tc>
          <w:tcPr>
            <w:tcW w:w="1229" w:type="dxa"/>
            <w:vAlign w:val="center"/>
          </w:tcPr>
          <w:p w14:paraId="7814E0CD" w14:textId="77777777" w:rsidR="000D167B" w:rsidRDefault="000D167B" w:rsidP="00B92B8C">
            <w:pPr>
              <w:spacing w:before="20" w:after="0"/>
              <w:jc w:val="right"/>
            </w:pPr>
            <w:r>
              <w:rPr>
                <w:rFonts w:ascii="Calibri" w:hAnsi="Calibri"/>
                <w:sz w:val="19"/>
              </w:rPr>
              <w:t>200</w:t>
            </w:r>
          </w:p>
        </w:tc>
      </w:tr>
      <w:tr w:rsidR="000D167B" w:rsidRPr="00467E22" w14:paraId="035C9985" w14:textId="77777777" w:rsidTr="00B92B8C">
        <w:trPr>
          <w:cantSplit/>
          <w:trHeight w:val="397"/>
          <w:jc w:val="center"/>
        </w:trPr>
        <w:tc>
          <w:tcPr>
            <w:tcW w:w="5807" w:type="dxa"/>
            <w:shd w:val="clear" w:color="auto" w:fill="D9E5F2"/>
            <w:vAlign w:val="center"/>
          </w:tcPr>
          <w:p w14:paraId="48088302" w14:textId="22CB6990" w:rsidR="000D167B" w:rsidRPr="00467E22" w:rsidRDefault="00467E22" w:rsidP="00B92B8C">
            <w:pPr>
              <w:spacing w:before="20" w:after="0"/>
              <w:rPr>
                <w:rFonts w:ascii="Calibri" w:hAnsi="Calibri"/>
                <w:b/>
                <w:color w:val="00457D"/>
                <w:sz w:val="20"/>
              </w:rPr>
            </w:pPr>
            <w:r w:rsidRPr="00467E22">
              <w:rPr>
                <w:b/>
                <w:color w:val="00457D"/>
                <w:sz w:val="20"/>
              </w:rPr>
              <w:t>C.</w:t>
            </w:r>
            <w:r>
              <w:rPr>
                <w:b/>
                <w:color w:val="00457D"/>
                <w:sz w:val="20"/>
              </w:rPr>
              <w:t xml:space="preserve"> </w:t>
            </w:r>
            <w:r w:rsidRPr="00467E22">
              <w:rPr>
                <w:b/>
                <w:color w:val="00457D"/>
                <w:sz w:val="20"/>
              </w:rPr>
              <w:t>MISURE FINANZIATE CON RISORSE GIÀ STANZIATE</w:t>
            </w:r>
          </w:p>
        </w:tc>
        <w:tc>
          <w:tcPr>
            <w:tcW w:w="1228" w:type="dxa"/>
            <w:shd w:val="clear" w:color="auto" w:fill="D9E5F2"/>
            <w:vAlign w:val="center"/>
          </w:tcPr>
          <w:p w14:paraId="0996D014" w14:textId="77777777" w:rsidR="000D167B" w:rsidRPr="00467E22" w:rsidRDefault="000D167B" w:rsidP="00B92B8C">
            <w:pPr>
              <w:spacing w:before="20" w:after="0"/>
              <w:jc w:val="right"/>
              <w:rPr>
                <w:rFonts w:ascii="Calibri" w:hAnsi="Calibri"/>
                <w:b/>
                <w:color w:val="00457D"/>
                <w:sz w:val="20"/>
              </w:rPr>
            </w:pPr>
          </w:p>
        </w:tc>
        <w:tc>
          <w:tcPr>
            <w:tcW w:w="1229" w:type="dxa"/>
            <w:shd w:val="clear" w:color="auto" w:fill="D9E5F2"/>
            <w:vAlign w:val="center"/>
          </w:tcPr>
          <w:p w14:paraId="79B93567" w14:textId="77777777" w:rsidR="000D167B" w:rsidRPr="00467E22" w:rsidRDefault="000D167B" w:rsidP="00B92B8C">
            <w:pPr>
              <w:spacing w:before="20" w:after="0"/>
              <w:jc w:val="right"/>
              <w:rPr>
                <w:rFonts w:ascii="Calibri" w:hAnsi="Calibri"/>
                <w:b/>
                <w:color w:val="00457D"/>
                <w:sz w:val="20"/>
              </w:rPr>
            </w:pPr>
          </w:p>
        </w:tc>
        <w:tc>
          <w:tcPr>
            <w:tcW w:w="1229" w:type="dxa"/>
            <w:shd w:val="clear" w:color="auto" w:fill="D9E5F2"/>
            <w:vAlign w:val="center"/>
          </w:tcPr>
          <w:p w14:paraId="51429BB7" w14:textId="77777777" w:rsidR="000D167B" w:rsidRPr="00467E22" w:rsidRDefault="000D167B" w:rsidP="00B92B8C">
            <w:pPr>
              <w:spacing w:before="20" w:after="0"/>
              <w:jc w:val="right"/>
              <w:rPr>
                <w:rFonts w:ascii="Calibri" w:hAnsi="Calibri"/>
                <w:b/>
                <w:color w:val="00457D"/>
                <w:sz w:val="20"/>
              </w:rPr>
            </w:pPr>
          </w:p>
        </w:tc>
      </w:tr>
      <w:tr w:rsidR="000D167B" w14:paraId="1DD50CAF" w14:textId="77777777" w:rsidTr="00B92B8C">
        <w:trPr>
          <w:cantSplit/>
          <w:trHeight w:val="340"/>
          <w:jc w:val="center"/>
        </w:trPr>
        <w:tc>
          <w:tcPr>
            <w:tcW w:w="5807" w:type="dxa"/>
          </w:tcPr>
          <w:p w14:paraId="127A3539" w14:textId="4CED6B85" w:rsidR="000D167B" w:rsidRDefault="000D167B" w:rsidP="00E90A2D">
            <w:pPr>
              <w:spacing w:before="20" w:after="40"/>
            </w:pPr>
            <w:r>
              <w:rPr>
                <w:rFonts w:ascii="Calibri" w:hAnsi="Calibri"/>
                <w:sz w:val="20"/>
              </w:rPr>
              <w:t>Accesso precoce ai farmaci (art. 72, c. 1)</w:t>
            </w:r>
          </w:p>
        </w:tc>
        <w:tc>
          <w:tcPr>
            <w:tcW w:w="1228" w:type="dxa"/>
            <w:vAlign w:val="center"/>
          </w:tcPr>
          <w:p w14:paraId="75587E21" w14:textId="77777777" w:rsidR="000D167B" w:rsidRDefault="000D167B" w:rsidP="00B92B8C">
            <w:pPr>
              <w:spacing w:before="20" w:after="40"/>
              <w:jc w:val="right"/>
            </w:pPr>
            <w:r>
              <w:rPr>
                <w:rFonts w:ascii="Calibri" w:hAnsi="Calibri"/>
                <w:sz w:val="19"/>
              </w:rPr>
              <w:t>fino a 70</w:t>
            </w:r>
          </w:p>
        </w:tc>
        <w:tc>
          <w:tcPr>
            <w:tcW w:w="1229" w:type="dxa"/>
            <w:vAlign w:val="center"/>
          </w:tcPr>
          <w:p w14:paraId="5EEBC18E" w14:textId="77777777" w:rsidR="000D167B" w:rsidRDefault="000D167B" w:rsidP="00B92B8C">
            <w:pPr>
              <w:spacing w:before="20" w:after="40"/>
              <w:jc w:val="right"/>
            </w:pPr>
            <w:r>
              <w:rPr>
                <w:rFonts w:ascii="Calibri" w:hAnsi="Calibri"/>
                <w:sz w:val="19"/>
              </w:rPr>
              <w:t>fino a 70</w:t>
            </w:r>
          </w:p>
        </w:tc>
        <w:tc>
          <w:tcPr>
            <w:tcW w:w="1229" w:type="dxa"/>
            <w:vAlign w:val="center"/>
          </w:tcPr>
          <w:p w14:paraId="156D514F" w14:textId="77777777" w:rsidR="000D167B" w:rsidRDefault="000D167B" w:rsidP="00B92B8C">
            <w:pPr>
              <w:spacing w:before="20" w:after="40"/>
              <w:jc w:val="right"/>
            </w:pPr>
            <w:r>
              <w:rPr>
                <w:rFonts w:ascii="Calibri" w:hAnsi="Calibri"/>
                <w:sz w:val="19"/>
              </w:rPr>
              <w:t>fino a 70</w:t>
            </w:r>
          </w:p>
        </w:tc>
      </w:tr>
      <w:tr w:rsidR="000D167B" w14:paraId="7944D7CF" w14:textId="77777777" w:rsidTr="00B92B8C">
        <w:trPr>
          <w:cantSplit/>
          <w:trHeight w:val="340"/>
          <w:jc w:val="center"/>
        </w:trPr>
        <w:tc>
          <w:tcPr>
            <w:tcW w:w="5807" w:type="dxa"/>
          </w:tcPr>
          <w:p w14:paraId="115445E8" w14:textId="4B42A7E8" w:rsidR="000D167B" w:rsidRDefault="000D167B" w:rsidP="00E90A2D">
            <w:pPr>
              <w:spacing w:before="20" w:after="40"/>
            </w:pPr>
            <w:r>
              <w:rPr>
                <w:rFonts w:ascii="Calibri" w:hAnsi="Calibri"/>
                <w:sz w:val="20"/>
              </w:rPr>
              <w:t>Effetti tariffari sul privato accreditato (art. 74)</w:t>
            </w:r>
          </w:p>
        </w:tc>
        <w:tc>
          <w:tcPr>
            <w:tcW w:w="1228" w:type="dxa"/>
            <w:vAlign w:val="center"/>
          </w:tcPr>
          <w:p w14:paraId="690A8ED3" w14:textId="77777777" w:rsidR="000D167B" w:rsidRDefault="000D167B" w:rsidP="00B92B8C">
            <w:pPr>
              <w:spacing w:before="20" w:after="40"/>
              <w:jc w:val="right"/>
            </w:pPr>
            <w:r>
              <w:rPr>
                <w:rFonts w:ascii="Calibri" w:hAnsi="Calibri"/>
                <w:sz w:val="19"/>
              </w:rPr>
              <w:t>365</w:t>
            </w:r>
          </w:p>
        </w:tc>
        <w:tc>
          <w:tcPr>
            <w:tcW w:w="1229" w:type="dxa"/>
            <w:vAlign w:val="center"/>
          </w:tcPr>
          <w:p w14:paraId="551621AC" w14:textId="77777777" w:rsidR="000D167B" w:rsidRDefault="000D167B" w:rsidP="00B92B8C">
            <w:pPr>
              <w:spacing w:before="20" w:after="40"/>
              <w:jc w:val="right"/>
            </w:pPr>
            <w:r>
              <w:rPr>
                <w:rFonts w:ascii="Calibri" w:hAnsi="Calibri"/>
                <w:sz w:val="19"/>
              </w:rPr>
              <w:t>365</w:t>
            </w:r>
          </w:p>
        </w:tc>
        <w:tc>
          <w:tcPr>
            <w:tcW w:w="1229" w:type="dxa"/>
            <w:vAlign w:val="center"/>
          </w:tcPr>
          <w:p w14:paraId="4D16A856" w14:textId="77777777" w:rsidR="000D167B" w:rsidRDefault="000D167B" w:rsidP="00B92B8C">
            <w:pPr>
              <w:spacing w:before="20" w:after="40"/>
              <w:jc w:val="right"/>
            </w:pPr>
            <w:r>
              <w:rPr>
                <w:rFonts w:ascii="Calibri" w:hAnsi="Calibri"/>
                <w:sz w:val="19"/>
              </w:rPr>
              <w:t>365</w:t>
            </w:r>
          </w:p>
        </w:tc>
      </w:tr>
      <w:tr w:rsidR="000D167B" w14:paraId="1FEAEBCD" w14:textId="77777777" w:rsidTr="00B92B8C">
        <w:trPr>
          <w:cantSplit/>
          <w:trHeight w:val="397"/>
          <w:jc w:val="center"/>
        </w:trPr>
        <w:tc>
          <w:tcPr>
            <w:tcW w:w="5807" w:type="dxa"/>
            <w:shd w:val="clear" w:color="auto" w:fill="D9E5F2"/>
            <w:vAlign w:val="center"/>
          </w:tcPr>
          <w:p w14:paraId="611827F8" w14:textId="3DCC1060" w:rsidR="000D167B" w:rsidRDefault="00467E22" w:rsidP="00B92B8C">
            <w:pPr>
              <w:spacing w:before="20" w:after="0"/>
            </w:pPr>
            <w:r w:rsidRPr="00454B19">
              <w:rPr>
                <w:rFonts w:ascii="Calibri" w:hAnsi="Calibri"/>
                <w:b/>
                <w:color w:val="00457D"/>
                <w:sz w:val="20"/>
              </w:rPr>
              <w:t>D. ULTERIORI MISURE</w:t>
            </w:r>
          </w:p>
        </w:tc>
        <w:tc>
          <w:tcPr>
            <w:tcW w:w="1228" w:type="dxa"/>
            <w:shd w:val="clear" w:color="auto" w:fill="D9E5F2"/>
            <w:vAlign w:val="center"/>
          </w:tcPr>
          <w:p w14:paraId="76C23406" w14:textId="77777777" w:rsidR="000D167B" w:rsidRDefault="000D167B" w:rsidP="00B92B8C">
            <w:pPr>
              <w:spacing w:before="20" w:after="0"/>
              <w:jc w:val="right"/>
            </w:pPr>
          </w:p>
        </w:tc>
        <w:tc>
          <w:tcPr>
            <w:tcW w:w="1229" w:type="dxa"/>
            <w:shd w:val="clear" w:color="auto" w:fill="D9E5F2"/>
            <w:vAlign w:val="center"/>
          </w:tcPr>
          <w:p w14:paraId="1352CFB4" w14:textId="77777777" w:rsidR="000D167B" w:rsidRDefault="000D167B" w:rsidP="00B92B8C">
            <w:pPr>
              <w:spacing w:before="20" w:after="0"/>
              <w:jc w:val="right"/>
            </w:pPr>
          </w:p>
        </w:tc>
        <w:tc>
          <w:tcPr>
            <w:tcW w:w="1229" w:type="dxa"/>
            <w:shd w:val="clear" w:color="auto" w:fill="D9E5F2"/>
            <w:vAlign w:val="center"/>
          </w:tcPr>
          <w:p w14:paraId="6AF6FA3D" w14:textId="77777777" w:rsidR="000D167B" w:rsidRDefault="000D167B" w:rsidP="00B92B8C">
            <w:pPr>
              <w:spacing w:before="20" w:after="0"/>
              <w:jc w:val="right"/>
            </w:pPr>
          </w:p>
        </w:tc>
      </w:tr>
      <w:tr w:rsidR="000D167B" w14:paraId="33F32A08" w14:textId="77777777" w:rsidTr="00B92B8C">
        <w:trPr>
          <w:cantSplit/>
          <w:trHeight w:val="340"/>
          <w:jc w:val="center"/>
        </w:trPr>
        <w:tc>
          <w:tcPr>
            <w:tcW w:w="5807" w:type="dxa"/>
          </w:tcPr>
          <w:p w14:paraId="1264D1D8" w14:textId="5E5B47B7" w:rsidR="000D167B" w:rsidRDefault="000D167B" w:rsidP="00B92B8C">
            <w:pPr>
              <w:spacing w:before="20" w:after="0"/>
            </w:pPr>
            <w:r>
              <w:rPr>
                <w:rFonts w:ascii="Calibri" w:hAnsi="Calibri"/>
                <w:sz w:val="20"/>
              </w:rPr>
              <w:t>Autoveicoli per trasporto disabilità motoria (</w:t>
            </w:r>
            <w:r w:rsidR="00BC6EDF">
              <w:rPr>
                <w:rFonts w:ascii="Calibri" w:hAnsi="Calibri"/>
                <w:sz w:val="20"/>
              </w:rPr>
              <w:t xml:space="preserve">art. </w:t>
            </w:r>
            <w:r>
              <w:rPr>
                <w:rFonts w:ascii="Calibri" w:hAnsi="Calibri"/>
                <w:sz w:val="20"/>
              </w:rPr>
              <w:t>63, c. 1)</w:t>
            </w:r>
          </w:p>
        </w:tc>
        <w:tc>
          <w:tcPr>
            <w:tcW w:w="1228" w:type="dxa"/>
            <w:vAlign w:val="center"/>
          </w:tcPr>
          <w:p w14:paraId="40D3120D" w14:textId="77777777" w:rsidR="000D167B" w:rsidRDefault="000D167B" w:rsidP="00B92B8C">
            <w:pPr>
              <w:spacing w:before="20" w:after="0"/>
              <w:jc w:val="right"/>
            </w:pPr>
            <w:r>
              <w:rPr>
                <w:rFonts w:ascii="Calibri" w:hAnsi="Calibri"/>
                <w:sz w:val="19"/>
              </w:rPr>
              <w:t>4,59</w:t>
            </w:r>
          </w:p>
        </w:tc>
        <w:tc>
          <w:tcPr>
            <w:tcW w:w="1229" w:type="dxa"/>
            <w:vAlign w:val="center"/>
          </w:tcPr>
          <w:p w14:paraId="7C685A9B" w14:textId="77777777" w:rsidR="000D167B" w:rsidRDefault="000D167B" w:rsidP="00B92B8C">
            <w:pPr>
              <w:spacing w:before="20" w:after="0"/>
              <w:jc w:val="right"/>
            </w:pPr>
            <w:r>
              <w:rPr>
                <w:rFonts w:ascii="Calibri" w:hAnsi="Calibri"/>
                <w:sz w:val="19"/>
              </w:rPr>
              <w:t>9</w:t>
            </w:r>
          </w:p>
        </w:tc>
        <w:tc>
          <w:tcPr>
            <w:tcW w:w="1229" w:type="dxa"/>
            <w:vAlign w:val="center"/>
          </w:tcPr>
          <w:p w14:paraId="4A68DD00" w14:textId="77777777" w:rsidR="000D167B" w:rsidRDefault="000D167B" w:rsidP="00B92B8C">
            <w:pPr>
              <w:spacing w:before="20" w:after="0"/>
              <w:jc w:val="right"/>
            </w:pPr>
            <w:r>
              <w:rPr>
                <w:rFonts w:ascii="Calibri" w:hAnsi="Calibri"/>
                <w:sz w:val="19"/>
              </w:rPr>
              <w:t>9</w:t>
            </w:r>
          </w:p>
        </w:tc>
      </w:tr>
      <w:tr w:rsidR="000D167B" w14:paraId="6E843110" w14:textId="77777777" w:rsidTr="00B92B8C">
        <w:trPr>
          <w:cantSplit/>
          <w:trHeight w:val="340"/>
          <w:jc w:val="center"/>
        </w:trPr>
        <w:tc>
          <w:tcPr>
            <w:tcW w:w="5807" w:type="dxa"/>
          </w:tcPr>
          <w:p w14:paraId="12A0575D" w14:textId="0005E700" w:rsidR="000D167B" w:rsidRDefault="000D167B" w:rsidP="00B92B8C">
            <w:pPr>
              <w:spacing w:before="20" w:after="0"/>
            </w:pPr>
            <w:r>
              <w:rPr>
                <w:rFonts w:ascii="Calibri" w:hAnsi="Calibri"/>
                <w:sz w:val="20"/>
              </w:rPr>
              <w:t>Sport e disabilità intellettiva e relazionale (</w:t>
            </w:r>
            <w:r w:rsidR="00BC6EDF">
              <w:rPr>
                <w:rFonts w:ascii="Calibri" w:hAnsi="Calibri"/>
                <w:sz w:val="20"/>
              </w:rPr>
              <w:t xml:space="preserve">art. </w:t>
            </w:r>
            <w:r>
              <w:rPr>
                <w:rFonts w:ascii="Calibri" w:hAnsi="Calibri"/>
                <w:sz w:val="20"/>
              </w:rPr>
              <w:t>64, c. 1)</w:t>
            </w:r>
          </w:p>
        </w:tc>
        <w:tc>
          <w:tcPr>
            <w:tcW w:w="1228" w:type="dxa"/>
            <w:vAlign w:val="center"/>
          </w:tcPr>
          <w:p w14:paraId="2C445830" w14:textId="77777777" w:rsidR="000D167B" w:rsidRDefault="000D167B" w:rsidP="00B92B8C">
            <w:pPr>
              <w:spacing w:before="20" w:after="0"/>
              <w:jc w:val="right"/>
            </w:pPr>
            <w:r>
              <w:rPr>
                <w:rFonts w:ascii="Calibri" w:hAnsi="Calibri"/>
                <w:sz w:val="19"/>
              </w:rPr>
              <w:t>0,7</w:t>
            </w:r>
          </w:p>
        </w:tc>
        <w:tc>
          <w:tcPr>
            <w:tcW w:w="1229" w:type="dxa"/>
            <w:vAlign w:val="center"/>
          </w:tcPr>
          <w:p w14:paraId="54F7F544" w14:textId="77777777" w:rsidR="000D167B" w:rsidRDefault="000D167B" w:rsidP="00B92B8C">
            <w:pPr>
              <w:spacing w:before="20" w:after="0"/>
              <w:jc w:val="right"/>
            </w:pPr>
            <w:r>
              <w:rPr>
                <w:rFonts w:ascii="Calibri" w:hAnsi="Calibri"/>
                <w:sz w:val="19"/>
              </w:rPr>
              <w:t>0,7</w:t>
            </w:r>
          </w:p>
        </w:tc>
        <w:tc>
          <w:tcPr>
            <w:tcW w:w="1229" w:type="dxa"/>
            <w:vAlign w:val="center"/>
          </w:tcPr>
          <w:p w14:paraId="478904A6" w14:textId="77777777" w:rsidR="000D167B" w:rsidRDefault="000D167B" w:rsidP="00B92B8C">
            <w:pPr>
              <w:spacing w:before="20" w:after="0"/>
              <w:jc w:val="right"/>
            </w:pPr>
            <w:r>
              <w:rPr>
                <w:rFonts w:ascii="Calibri" w:hAnsi="Calibri"/>
                <w:sz w:val="19"/>
              </w:rPr>
              <w:t>0,7</w:t>
            </w:r>
          </w:p>
        </w:tc>
      </w:tr>
      <w:tr w:rsidR="000D167B" w14:paraId="0CA45AD1" w14:textId="77777777" w:rsidTr="00B92B8C">
        <w:trPr>
          <w:cantSplit/>
          <w:trHeight w:val="340"/>
          <w:jc w:val="center"/>
        </w:trPr>
        <w:tc>
          <w:tcPr>
            <w:tcW w:w="5807" w:type="dxa"/>
          </w:tcPr>
          <w:p w14:paraId="605B2E11" w14:textId="7C9A26F4" w:rsidR="000D167B" w:rsidRDefault="000D167B" w:rsidP="00B92B8C">
            <w:pPr>
              <w:spacing w:before="20" w:after="0"/>
            </w:pPr>
            <w:r>
              <w:rPr>
                <w:rFonts w:ascii="Calibri" w:hAnsi="Calibri"/>
                <w:sz w:val="20"/>
              </w:rPr>
              <w:t>Funzionamento I</w:t>
            </w:r>
            <w:r w:rsidR="00454B19">
              <w:rPr>
                <w:rFonts w:ascii="Calibri" w:hAnsi="Calibri"/>
                <w:sz w:val="20"/>
              </w:rPr>
              <w:t xml:space="preserve">stituto </w:t>
            </w:r>
            <w:r>
              <w:rPr>
                <w:rFonts w:ascii="Calibri" w:hAnsi="Calibri"/>
                <w:sz w:val="20"/>
              </w:rPr>
              <w:t>S</w:t>
            </w:r>
            <w:r w:rsidR="00454B19">
              <w:rPr>
                <w:rFonts w:ascii="Calibri" w:hAnsi="Calibri"/>
                <w:sz w:val="20"/>
              </w:rPr>
              <w:t xml:space="preserve">uperiore di </w:t>
            </w:r>
            <w:r>
              <w:rPr>
                <w:rFonts w:ascii="Calibri" w:hAnsi="Calibri"/>
                <w:sz w:val="20"/>
              </w:rPr>
              <w:t>S</w:t>
            </w:r>
            <w:r w:rsidR="00454B19">
              <w:rPr>
                <w:rFonts w:ascii="Calibri" w:hAnsi="Calibri"/>
                <w:sz w:val="20"/>
              </w:rPr>
              <w:t>anità</w:t>
            </w:r>
            <w:r>
              <w:rPr>
                <w:vertAlign w:val="superscript"/>
              </w:rPr>
              <w:t>2</w:t>
            </w:r>
          </w:p>
        </w:tc>
        <w:tc>
          <w:tcPr>
            <w:tcW w:w="1228" w:type="dxa"/>
            <w:vAlign w:val="center"/>
          </w:tcPr>
          <w:p w14:paraId="25033ABD" w14:textId="77777777" w:rsidR="000D167B" w:rsidRDefault="000D167B" w:rsidP="00B92B8C">
            <w:pPr>
              <w:spacing w:before="20" w:after="0"/>
              <w:jc w:val="right"/>
            </w:pPr>
            <w:r>
              <w:rPr>
                <w:rFonts w:ascii="Calibri" w:hAnsi="Calibri"/>
                <w:sz w:val="19"/>
              </w:rPr>
              <w:t>10</w:t>
            </w:r>
          </w:p>
        </w:tc>
        <w:tc>
          <w:tcPr>
            <w:tcW w:w="1229" w:type="dxa"/>
            <w:vAlign w:val="center"/>
          </w:tcPr>
          <w:p w14:paraId="07F1221B" w14:textId="77777777" w:rsidR="000D167B" w:rsidRDefault="000D167B" w:rsidP="00B92B8C">
            <w:pPr>
              <w:spacing w:before="20" w:after="0"/>
              <w:jc w:val="right"/>
            </w:pPr>
            <w:r>
              <w:rPr>
                <w:rFonts w:ascii="Calibri" w:hAnsi="Calibri"/>
                <w:sz w:val="19"/>
              </w:rPr>
              <w:t>10</w:t>
            </w:r>
          </w:p>
        </w:tc>
        <w:tc>
          <w:tcPr>
            <w:tcW w:w="1229" w:type="dxa"/>
            <w:vAlign w:val="center"/>
          </w:tcPr>
          <w:p w14:paraId="48B61730" w14:textId="77777777" w:rsidR="000D167B" w:rsidRDefault="000D167B" w:rsidP="00B92B8C">
            <w:pPr>
              <w:spacing w:before="20" w:after="0"/>
              <w:jc w:val="right"/>
            </w:pPr>
            <w:r>
              <w:rPr>
                <w:rFonts w:ascii="Calibri" w:hAnsi="Calibri"/>
                <w:sz w:val="19"/>
              </w:rPr>
              <w:t>—</w:t>
            </w:r>
          </w:p>
        </w:tc>
      </w:tr>
      <w:tr w:rsidR="00D55ECF" w14:paraId="3E1F05D3" w14:textId="77777777" w:rsidTr="00E96CD1">
        <w:trPr>
          <w:cantSplit/>
          <w:trHeight w:val="1012"/>
          <w:jc w:val="center"/>
        </w:trPr>
        <w:tc>
          <w:tcPr>
            <w:tcW w:w="9493" w:type="dxa"/>
            <w:gridSpan w:val="4"/>
          </w:tcPr>
          <w:p w14:paraId="2E88AEE0" w14:textId="65EA766B" w:rsidR="00E96CD1" w:rsidRPr="00E96CD1" w:rsidRDefault="00E96CD1" w:rsidP="00E96CD1">
            <w:pPr>
              <w:spacing w:after="40" w:line="240" w:lineRule="auto"/>
              <w:rPr>
                <w:sz w:val="18"/>
                <w:szCs w:val="18"/>
              </w:rPr>
            </w:pPr>
            <w:r>
              <w:rPr>
                <w:sz w:val="18"/>
                <w:szCs w:val="18"/>
                <w:vertAlign w:val="superscript"/>
              </w:rPr>
              <w:t>1</w:t>
            </w:r>
            <w:r>
              <w:rPr>
                <w:sz w:val="18"/>
                <w:szCs w:val="18"/>
              </w:rPr>
              <w:t xml:space="preserve"> Le singole voci riportate nel blocco A rappresentano le quote dell’incremento del FSN espressamente vincolate a specifiche finalità e non esauriscono l’intero incremento disposto dall’art. 69, comma 1.</w:t>
            </w:r>
          </w:p>
          <w:p w14:paraId="23B6FD45" w14:textId="6ECDC354" w:rsidR="00D55ECF" w:rsidRPr="00E96CD1" w:rsidRDefault="00E96CD1" w:rsidP="00244D7A">
            <w:pPr>
              <w:spacing w:after="40" w:line="240" w:lineRule="auto"/>
              <w:rPr>
                <w:sz w:val="18"/>
                <w:szCs w:val="18"/>
              </w:rPr>
            </w:pPr>
            <w:r>
              <w:rPr>
                <w:sz w:val="18"/>
                <w:szCs w:val="18"/>
                <w:vertAlign w:val="superscript"/>
              </w:rPr>
              <w:t>2</w:t>
            </w:r>
            <w:r>
              <w:rPr>
                <w:sz w:val="18"/>
                <w:szCs w:val="18"/>
              </w:rPr>
              <w:t xml:space="preserve"> Disposto nella Sezione II del DdL Bilancio.</w:t>
            </w:r>
          </w:p>
        </w:tc>
      </w:tr>
      <w:tr w:rsidR="00E96CD1" w14:paraId="0515215B" w14:textId="77777777" w:rsidTr="00B92B8C">
        <w:trPr>
          <w:cantSplit/>
          <w:trHeight w:val="1166"/>
          <w:jc w:val="center"/>
        </w:trPr>
        <w:tc>
          <w:tcPr>
            <w:tcW w:w="9493" w:type="dxa"/>
            <w:gridSpan w:val="4"/>
          </w:tcPr>
          <w:p w14:paraId="37A889F7" w14:textId="77777777" w:rsidR="00E96CD1" w:rsidRPr="00E96CD1" w:rsidRDefault="00E96CD1" w:rsidP="00E96CD1">
            <w:pPr>
              <w:spacing w:after="40" w:line="240" w:lineRule="auto"/>
              <w:rPr>
                <w:rFonts w:ascii="Calibri" w:hAnsi="Calibri"/>
                <w:sz w:val="18"/>
                <w:szCs w:val="18"/>
              </w:rPr>
            </w:pPr>
            <w:r w:rsidRPr="00E96CD1">
              <w:rPr>
                <w:sz w:val="18"/>
                <w:szCs w:val="18"/>
              </w:rPr>
              <w:t>Importi in milioni di euro</w:t>
            </w:r>
          </w:p>
          <w:p w14:paraId="57C19D40" w14:textId="77777777" w:rsidR="00E96CD1" w:rsidRPr="00E96CD1" w:rsidRDefault="00E96CD1" w:rsidP="00E96CD1">
            <w:pPr>
              <w:spacing w:after="40" w:line="240" w:lineRule="auto"/>
              <w:rPr>
                <w:sz w:val="18"/>
                <w:szCs w:val="18"/>
              </w:rPr>
            </w:pPr>
            <w:r w:rsidRPr="00E96CD1">
              <w:rPr>
                <w:sz w:val="18"/>
                <w:szCs w:val="18"/>
              </w:rPr>
              <w:t>Il trattino indica assenza di un nuovo stanziamento della misura in quell’anno</w:t>
            </w:r>
          </w:p>
          <w:p w14:paraId="39BA75E5" w14:textId="77777777" w:rsidR="00E96CD1" w:rsidRPr="00E96CD1" w:rsidRDefault="00E96CD1" w:rsidP="00E96CD1">
            <w:pPr>
              <w:spacing w:after="40" w:line="240" w:lineRule="auto"/>
              <w:rPr>
                <w:sz w:val="18"/>
                <w:szCs w:val="18"/>
              </w:rPr>
            </w:pPr>
            <w:r w:rsidRPr="00E96CD1">
              <w:rPr>
                <w:sz w:val="18"/>
                <w:szCs w:val="18"/>
              </w:rPr>
              <w:t>≈ indica una stima arrotondata della relazione tecnica</w:t>
            </w:r>
          </w:p>
          <w:p w14:paraId="6D482DE2" w14:textId="41499D45" w:rsidR="00E96CD1" w:rsidRPr="00E96CD1" w:rsidRDefault="00E96CD1" w:rsidP="00E96CD1">
            <w:pPr>
              <w:spacing w:after="40" w:line="240" w:lineRule="auto"/>
              <w:rPr>
                <w:rFonts w:ascii="Calibri" w:hAnsi="Calibri"/>
                <w:sz w:val="18"/>
                <w:szCs w:val="18"/>
              </w:rPr>
            </w:pPr>
            <w:r w:rsidRPr="00E96CD1">
              <w:rPr>
                <w:sz w:val="18"/>
                <w:szCs w:val="18"/>
              </w:rPr>
              <w:t>I blocchi non possono essere sommati in un totale unico</w:t>
            </w:r>
          </w:p>
        </w:tc>
      </w:tr>
    </w:tbl>
    <w:p w14:paraId="6AC73ACF" w14:textId="77777777" w:rsidR="000D167B" w:rsidRDefault="000D167B" w:rsidP="000D167B">
      <w:pPr>
        <w:spacing w:after="80"/>
        <w:rPr>
          <w:rFonts w:ascii="Calibri" w:hAnsi="Calibri"/>
          <w:sz w:val="18"/>
        </w:rPr>
      </w:pPr>
    </w:p>
    <w:p w14:paraId="03859C4A" w14:textId="0C00CFCD" w:rsidR="000D167B" w:rsidRDefault="000D167B" w:rsidP="000D167B">
      <w:pPr>
        <w:spacing w:after="0"/>
        <w:rPr>
          <w:rFonts w:ascii="Calibri" w:hAnsi="Calibri"/>
          <w:sz w:val="18"/>
        </w:rPr>
      </w:pPr>
    </w:p>
    <w:p w14:paraId="16309F1A" w14:textId="77777777" w:rsidR="000D167B" w:rsidRPr="00CA2619" w:rsidRDefault="000D167B" w:rsidP="000D167B">
      <w:pPr>
        <w:spacing w:after="0"/>
        <w:rPr>
          <w:rFonts w:eastAsia="Calibri" w:cstheme="minorHAnsi"/>
          <w:b/>
          <w:bCs/>
          <w:color w:val="00457D"/>
          <w:sz w:val="16"/>
          <w:szCs w:val="16"/>
        </w:rPr>
      </w:pPr>
    </w:p>
    <w:sectPr w:rsidR="000D167B" w:rsidRPr="00CA2619" w:rsidSect="001574B2">
      <w:headerReference w:type="default" r:id="rId2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60368" w14:textId="77777777" w:rsidR="00CE4584" w:rsidRDefault="00CE4584" w:rsidP="00ED0CFD">
      <w:pPr>
        <w:spacing w:after="0" w:line="240" w:lineRule="auto"/>
      </w:pPr>
      <w:r>
        <w:separator/>
      </w:r>
    </w:p>
  </w:endnote>
  <w:endnote w:type="continuationSeparator" w:id="0">
    <w:p w14:paraId="68A39D0F" w14:textId="77777777" w:rsidR="00CE4584" w:rsidRDefault="00CE4584" w:rsidP="00ED0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52D6B" w14:textId="77777777" w:rsidR="00CE4584" w:rsidRDefault="00CE4584" w:rsidP="00ED0CFD">
      <w:pPr>
        <w:spacing w:after="0" w:line="240" w:lineRule="auto"/>
      </w:pPr>
      <w:r>
        <w:separator/>
      </w:r>
    </w:p>
  </w:footnote>
  <w:footnote w:type="continuationSeparator" w:id="0">
    <w:p w14:paraId="5AD3A5C5" w14:textId="77777777" w:rsidR="00CE4584" w:rsidRDefault="00CE4584" w:rsidP="00ED0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88EF" w14:textId="760AE5E8" w:rsidR="00B25161" w:rsidRPr="00A02FC4" w:rsidRDefault="00B25161" w:rsidP="00A02FC4">
    <w:pPr>
      <w:pStyle w:val="Intestazione"/>
      <w:jc w:val="center"/>
      <w:rPr>
        <w:b/>
        <w:bCs/>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55965"/>
    <w:multiLevelType w:val="hybridMultilevel"/>
    <w:tmpl w:val="76DEAA9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B7F6CA6"/>
    <w:multiLevelType w:val="hybridMultilevel"/>
    <w:tmpl w:val="9692D81C"/>
    <w:lvl w:ilvl="0" w:tplc="A0B4AE20">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C197917"/>
    <w:multiLevelType w:val="hybridMultilevel"/>
    <w:tmpl w:val="5402501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31507624"/>
    <w:multiLevelType w:val="multilevel"/>
    <w:tmpl w:val="1CEC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001E2E"/>
    <w:multiLevelType w:val="hybridMultilevel"/>
    <w:tmpl w:val="422E5DB0"/>
    <w:lvl w:ilvl="0" w:tplc="04100015">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53EB2495"/>
    <w:multiLevelType w:val="hybridMultilevel"/>
    <w:tmpl w:val="FB3A920A"/>
    <w:lvl w:ilvl="0" w:tplc="FE0EE162">
      <w:start w:val="14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4260651"/>
    <w:multiLevelType w:val="hybridMultilevel"/>
    <w:tmpl w:val="F0D82C66"/>
    <w:lvl w:ilvl="0" w:tplc="CC5A3334">
      <w:start w:val="1"/>
      <w:numFmt w:val="decimal"/>
      <w:lvlText w:val="%1."/>
      <w:lvlJc w:val="left"/>
      <w:pPr>
        <w:ind w:left="1020" w:hanging="360"/>
      </w:pPr>
    </w:lvl>
    <w:lvl w:ilvl="1" w:tplc="B4DAA42E">
      <w:start w:val="1"/>
      <w:numFmt w:val="decimal"/>
      <w:lvlText w:val="%2."/>
      <w:lvlJc w:val="left"/>
      <w:pPr>
        <w:ind w:left="1020" w:hanging="360"/>
      </w:pPr>
    </w:lvl>
    <w:lvl w:ilvl="2" w:tplc="00620770">
      <w:start w:val="1"/>
      <w:numFmt w:val="decimal"/>
      <w:lvlText w:val="%3."/>
      <w:lvlJc w:val="left"/>
      <w:pPr>
        <w:ind w:left="1020" w:hanging="360"/>
      </w:pPr>
    </w:lvl>
    <w:lvl w:ilvl="3" w:tplc="C25002F8">
      <w:start w:val="1"/>
      <w:numFmt w:val="decimal"/>
      <w:lvlText w:val="%4."/>
      <w:lvlJc w:val="left"/>
      <w:pPr>
        <w:ind w:left="1020" w:hanging="360"/>
      </w:pPr>
    </w:lvl>
    <w:lvl w:ilvl="4" w:tplc="6034423A">
      <w:start w:val="1"/>
      <w:numFmt w:val="decimal"/>
      <w:lvlText w:val="%5."/>
      <w:lvlJc w:val="left"/>
      <w:pPr>
        <w:ind w:left="1020" w:hanging="360"/>
      </w:pPr>
    </w:lvl>
    <w:lvl w:ilvl="5" w:tplc="005AFD1A">
      <w:start w:val="1"/>
      <w:numFmt w:val="decimal"/>
      <w:lvlText w:val="%6."/>
      <w:lvlJc w:val="left"/>
      <w:pPr>
        <w:ind w:left="1020" w:hanging="360"/>
      </w:pPr>
    </w:lvl>
    <w:lvl w:ilvl="6" w:tplc="5F2EF97C">
      <w:start w:val="1"/>
      <w:numFmt w:val="decimal"/>
      <w:lvlText w:val="%7."/>
      <w:lvlJc w:val="left"/>
      <w:pPr>
        <w:ind w:left="1020" w:hanging="360"/>
      </w:pPr>
    </w:lvl>
    <w:lvl w:ilvl="7" w:tplc="A1CA38B8">
      <w:start w:val="1"/>
      <w:numFmt w:val="decimal"/>
      <w:lvlText w:val="%8."/>
      <w:lvlJc w:val="left"/>
      <w:pPr>
        <w:ind w:left="1020" w:hanging="360"/>
      </w:pPr>
    </w:lvl>
    <w:lvl w:ilvl="8" w:tplc="4B66E660">
      <w:start w:val="1"/>
      <w:numFmt w:val="decimal"/>
      <w:lvlText w:val="%9."/>
      <w:lvlJc w:val="left"/>
      <w:pPr>
        <w:ind w:left="1020" w:hanging="360"/>
      </w:pPr>
    </w:lvl>
  </w:abstractNum>
  <w:abstractNum w:abstractNumId="7" w15:restartNumberingAfterBreak="0">
    <w:nsid w:val="60A43387"/>
    <w:multiLevelType w:val="multilevel"/>
    <w:tmpl w:val="FB1296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4FE1DC6"/>
    <w:multiLevelType w:val="multilevel"/>
    <w:tmpl w:val="DB26C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F86414"/>
    <w:multiLevelType w:val="hybridMultilevel"/>
    <w:tmpl w:val="3056D7F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9"/>
  </w:num>
  <w:num w:numId="8">
    <w:abstractNumId w:val="1"/>
  </w:num>
  <w:num w:numId="9">
    <w:abstractNumId w:val="2"/>
  </w:num>
  <w:num w:numId="10">
    <w:abstractNumId w:val="4"/>
  </w:num>
  <w:num w:numId="11">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B91"/>
    <w:rsid w:val="000007FC"/>
    <w:rsid w:val="0000149C"/>
    <w:rsid w:val="00002AAC"/>
    <w:rsid w:val="00002C1B"/>
    <w:rsid w:val="00002EC3"/>
    <w:rsid w:val="00003615"/>
    <w:rsid w:val="00003744"/>
    <w:rsid w:val="000037F3"/>
    <w:rsid w:val="00003F78"/>
    <w:rsid w:val="000042B2"/>
    <w:rsid w:val="00004B0A"/>
    <w:rsid w:val="00005664"/>
    <w:rsid w:val="00005B25"/>
    <w:rsid w:val="000064FE"/>
    <w:rsid w:val="00006555"/>
    <w:rsid w:val="000068CF"/>
    <w:rsid w:val="0000695A"/>
    <w:rsid w:val="00010498"/>
    <w:rsid w:val="00010F3C"/>
    <w:rsid w:val="000123C4"/>
    <w:rsid w:val="0001384A"/>
    <w:rsid w:val="00013DFA"/>
    <w:rsid w:val="0001439D"/>
    <w:rsid w:val="000146FF"/>
    <w:rsid w:val="00015D8E"/>
    <w:rsid w:val="000170A0"/>
    <w:rsid w:val="000176AA"/>
    <w:rsid w:val="00017968"/>
    <w:rsid w:val="00017FB4"/>
    <w:rsid w:val="00020006"/>
    <w:rsid w:val="00021B81"/>
    <w:rsid w:val="00021D7F"/>
    <w:rsid w:val="000239FE"/>
    <w:rsid w:val="00023D8A"/>
    <w:rsid w:val="00024F8A"/>
    <w:rsid w:val="000252D2"/>
    <w:rsid w:val="00025ADB"/>
    <w:rsid w:val="0002774F"/>
    <w:rsid w:val="00027F90"/>
    <w:rsid w:val="0003112C"/>
    <w:rsid w:val="00034188"/>
    <w:rsid w:val="000342C3"/>
    <w:rsid w:val="00034337"/>
    <w:rsid w:val="00034345"/>
    <w:rsid w:val="000346D7"/>
    <w:rsid w:val="00034D73"/>
    <w:rsid w:val="00035404"/>
    <w:rsid w:val="00035C29"/>
    <w:rsid w:val="00036089"/>
    <w:rsid w:val="00036788"/>
    <w:rsid w:val="000411ED"/>
    <w:rsid w:val="000412D7"/>
    <w:rsid w:val="000416F7"/>
    <w:rsid w:val="00043D1A"/>
    <w:rsid w:val="00043D1F"/>
    <w:rsid w:val="0004410A"/>
    <w:rsid w:val="00045598"/>
    <w:rsid w:val="00045693"/>
    <w:rsid w:val="00046B2C"/>
    <w:rsid w:val="0004703D"/>
    <w:rsid w:val="00051F7A"/>
    <w:rsid w:val="000520CC"/>
    <w:rsid w:val="00053C8D"/>
    <w:rsid w:val="00053EBE"/>
    <w:rsid w:val="0005402C"/>
    <w:rsid w:val="00054250"/>
    <w:rsid w:val="00055180"/>
    <w:rsid w:val="000554AC"/>
    <w:rsid w:val="00055AB9"/>
    <w:rsid w:val="00055AE9"/>
    <w:rsid w:val="00055D27"/>
    <w:rsid w:val="0005693E"/>
    <w:rsid w:val="000602AA"/>
    <w:rsid w:val="00061F0B"/>
    <w:rsid w:val="00063027"/>
    <w:rsid w:val="00063E0B"/>
    <w:rsid w:val="0006440E"/>
    <w:rsid w:val="0006471B"/>
    <w:rsid w:val="00064B9B"/>
    <w:rsid w:val="000657A8"/>
    <w:rsid w:val="000662E3"/>
    <w:rsid w:val="00067ACA"/>
    <w:rsid w:val="00067B8F"/>
    <w:rsid w:val="000707B3"/>
    <w:rsid w:val="000715A9"/>
    <w:rsid w:val="00071F0A"/>
    <w:rsid w:val="00073870"/>
    <w:rsid w:val="00074788"/>
    <w:rsid w:val="00076A48"/>
    <w:rsid w:val="000771A4"/>
    <w:rsid w:val="00077876"/>
    <w:rsid w:val="0008045C"/>
    <w:rsid w:val="00080695"/>
    <w:rsid w:val="0008103B"/>
    <w:rsid w:val="000815B7"/>
    <w:rsid w:val="000826DD"/>
    <w:rsid w:val="00082AC6"/>
    <w:rsid w:val="00082D7D"/>
    <w:rsid w:val="00082DC7"/>
    <w:rsid w:val="00083028"/>
    <w:rsid w:val="0008578E"/>
    <w:rsid w:val="000862DC"/>
    <w:rsid w:val="000863FA"/>
    <w:rsid w:val="00090941"/>
    <w:rsid w:val="00090A39"/>
    <w:rsid w:val="00090B7E"/>
    <w:rsid w:val="00090CF8"/>
    <w:rsid w:val="000924AD"/>
    <w:rsid w:val="000927C7"/>
    <w:rsid w:val="0009291A"/>
    <w:rsid w:val="000935F1"/>
    <w:rsid w:val="00094560"/>
    <w:rsid w:val="000947C4"/>
    <w:rsid w:val="00095589"/>
    <w:rsid w:val="00095BA9"/>
    <w:rsid w:val="00097C59"/>
    <w:rsid w:val="00097CF1"/>
    <w:rsid w:val="000A0FC3"/>
    <w:rsid w:val="000A1367"/>
    <w:rsid w:val="000A2084"/>
    <w:rsid w:val="000A226B"/>
    <w:rsid w:val="000A3932"/>
    <w:rsid w:val="000A471C"/>
    <w:rsid w:val="000A4C27"/>
    <w:rsid w:val="000A58EB"/>
    <w:rsid w:val="000A62A9"/>
    <w:rsid w:val="000A6EB6"/>
    <w:rsid w:val="000A77E2"/>
    <w:rsid w:val="000A7B66"/>
    <w:rsid w:val="000B0095"/>
    <w:rsid w:val="000B07B0"/>
    <w:rsid w:val="000B12EB"/>
    <w:rsid w:val="000B185F"/>
    <w:rsid w:val="000B1C52"/>
    <w:rsid w:val="000B2168"/>
    <w:rsid w:val="000B23D8"/>
    <w:rsid w:val="000B2A85"/>
    <w:rsid w:val="000B3A46"/>
    <w:rsid w:val="000B40CB"/>
    <w:rsid w:val="000B50CD"/>
    <w:rsid w:val="000B6DD0"/>
    <w:rsid w:val="000B710C"/>
    <w:rsid w:val="000B7985"/>
    <w:rsid w:val="000B7E0B"/>
    <w:rsid w:val="000C098C"/>
    <w:rsid w:val="000C0B04"/>
    <w:rsid w:val="000C1D8E"/>
    <w:rsid w:val="000C25C3"/>
    <w:rsid w:val="000C344B"/>
    <w:rsid w:val="000C544C"/>
    <w:rsid w:val="000C6130"/>
    <w:rsid w:val="000C72F9"/>
    <w:rsid w:val="000C7EF3"/>
    <w:rsid w:val="000D02E4"/>
    <w:rsid w:val="000D1377"/>
    <w:rsid w:val="000D14BB"/>
    <w:rsid w:val="000D167B"/>
    <w:rsid w:val="000D17FB"/>
    <w:rsid w:val="000D2546"/>
    <w:rsid w:val="000D25AC"/>
    <w:rsid w:val="000D2AE0"/>
    <w:rsid w:val="000D3C58"/>
    <w:rsid w:val="000D44D4"/>
    <w:rsid w:val="000D5771"/>
    <w:rsid w:val="000D5893"/>
    <w:rsid w:val="000D6150"/>
    <w:rsid w:val="000D7252"/>
    <w:rsid w:val="000D7A72"/>
    <w:rsid w:val="000D7F45"/>
    <w:rsid w:val="000E0391"/>
    <w:rsid w:val="000E0D27"/>
    <w:rsid w:val="000E17F7"/>
    <w:rsid w:val="000E2872"/>
    <w:rsid w:val="000E2CC8"/>
    <w:rsid w:val="000E2E4F"/>
    <w:rsid w:val="000E6B01"/>
    <w:rsid w:val="000E7CC2"/>
    <w:rsid w:val="000F0B1B"/>
    <w:rsid w:val="000F0BBD"/>
    <w:rsid w:val="000F0CDE"/>
    <w:rsid w:val="000F10F8"/>
    <w:rsid w:val="000F2FF8"/>
    <w:rsid w:val="000F39EF"/>
    <w:rsid w:val="000F5C0F"/>
    <w:rsid w:val="000F60B0"/>
    <w:rsid w:val="000F7332"/>
    <w:rsid w:val="0010059E"/>
    <w:rsid w:val="00101E16"/>
    <w:rsid w:val="001020FC"/>
    <w:rsid w:val="00102CE3"/>
    <w:rsid w:val="00103720"/>
    <w:rsid w:val="001043DB"/>
    <w:rsid w:val="0010593B"/>
    <w:rsid w:val="0010685E"/>
    <w:rsid w:val="00107096"/>
    <w:rsid w:val="0010719F"/>
    <w:rsid w:val="00107984"/>
    <w:rsid w:val="0011070B"/>
    <w:rsid w:val="0011205F"/>
    <w:rsid w:val="001139A6"/>
    <w:rsid w:val="00113D4A"/>
    <w:rsid w:val="00113F3C"/>
    <w:rsid w:val="00116541"/>
    <w:rsid w:val="001167D9"/>
    <w:rsid w:val="0011796A"/>
    <w:rsid w:val="00117F68"/>
    <w:rsid w:val="00117F98"/>
    <w:rsid w:val="00120465"/>
    <w:rsid w:val="0012322D"/>
    <w:rsid w:val="00123473"/>
    <w:rsid w:val="0012576D"/>
    <w:rsid w:val="00125838"/>
    <w:rsid w:val="00125C6A"/>
    <w:rsid w:val="001262A5"/>
    <w:rsid w:val="00127AEF"/>
    <w:rsid w:val="00130907"/>
    <w:rsid w:val="001317CF"/>
    <w:rsid w:val="00132082"/>
    <w:rsid w:val="00132DB9"/>
    <w:rsid w:val="00134A6D"/>
    <w:rsid w:val="00134C8C"/>
    <w:rsid w:val="00135D93"/>
    <w:rsid w:val="0013620E"/>
    <w:rsid w:val="001364B0"/>
    <w:rsid w:val="00137A73"/>
    <w:rsid w:val="00142460"/>
    <w:rsid w:val="00143689"/>
    <w:rsid w:val="00143F81"/>
    <w:rsid w:val="00144377"/>
    <w:rsid w:val="00144B49"/>
    <w:rsid w:val="00144F94"/>
    <w:rsid w:val="001458FE"/>
    <w:rsid w:val="001465C6"/>
    <w:rsid w:val="001471AF"/>
    <w:rsid w:val="001504F4"/>
    <w:rsid w:val="00150EF3"/>
    <w:rsid w:val="00151E5F"/>
    <w:rsid w:val="0015229D"/>
    <w:rsid w:val="001522A1"/>
    <w:rsid w:val="00154086"/>
    <w:rsid w:val="0015409C"/>
    <w:rsid w:val="00154C78"/>
    <w:rsid w:val="00155161"/>
    <w:rsid w:val="00155751"/>
    <w:rsid w:val="00155767"/>
    <w:rsid w:val="001560D3"/>
    <w:rsid w:val="001574B2"/>
    <w:rsid w:val="001617D2"/>
    <w:rsid w:val="00162D42"/>
    <w:rsid w:val="00162FBC"/>
    <w:rsid w:val="0016375C"/>
    <w:rsid w:val="001637AE"/>
    <w:rsid w:val="00163D48"/>
    <w:rsid w:val="00164B7F"/>
    <w:rsid w:val="001654A5"/>
    <w:rsid w:val="00165E45"/>
    <w:rsid w:val="00170760"/>
    <w:rsid w:val="00170B46"/>
    <w:rsid w:val="00171767"/>
    <w:rsid w:val="00173764"/>
    <w:rsid w:val="00173FB4"/>
    <w:rsid w:val="0017405D"/>
    <w:rsid w:val="001748BA"/>
    <w:rsid w:val="00182F55"/>
    <w:rsid w:val="0018554D"/>
    <w:rsid w:val="00185694"/>
    <w:rsid w:val="00185966"/>
    <w:rsid w:val="00186FCE"/>
    <w:rsid w:val="00187163"/>
    <w:rsid w:val="00192DAD"/>
    <w:rsid w:val="00192F75"/>
    <w:rsid w:val="00193F19"/>
    <w:rsid w:val="00194C03"/>
    <w:rsid w:val="00195886"/>
    <w:rsid w:val="00196A04"/>
    <w:rsid w:val="00196C2D"/>
    <w:rsid w:val="001A038D"/>
    <w:rsid w:val="001A2B0C"/>
    <w:rsid w:val="001A3E0D"/>
    <w:rsid w:val="001A3E96"/>
    <w:rsid w:val="001A5B33"/>
    <w:rsid w:val="001A6181"/>
    <w:rsid w:val="001B171D"/>
    <w:rsid w:val="001B1CE6"/>
    <w:rsid w:val="001B463F"/>
    <w:rsid w:val="001B59E3"/>
    <w:rsid w:val="001B63D8"/>
    <w:rsid w:val="001B6AC9"/>
    <w:rsid w:val="001B7A15"/>
    <w:rsid w:val="001C09A7"/>
    <w:rsid w:val="001C367A"/>
    <w:rsid w:val="001C51E2"/>
    <w:rsid w:val="001C6507"/>
    <w:rsid w:val="001C6B8F"/>
    <w:rsid w:val="001C71B6"/>
    <w:rsid w:val="001C7324"/>
    <w:rsid w:val="001C7821"/>
    <w:rsid w:val="001D0E41"/>
    <w:rsid w:val="001D153D"/>
    <w:rsid w:val="001D19F1"/>
    <w:rsid w:val="001D2337"/>
    <w:rsid w:val="001D240E"/>
    <w:rsid w:val="001D38B9"/>
    <w:rsid w:val="001D4CE8"/>
    <w:rsid w:val="001D4EAE"/>
    <w:rsid w:val="001E0031"/>
    <w:rsid w:val="001E1854"/>
    <w:rsid w:val="001E1E52"/>
    <w:rsid w:val="001E2052"/>
    <w:rsid w:val="001E42B9"/>
    <w:rsid w:val="001E526C"/>
    <w:rsid w:val="001E53AB"/>
    <w:rsid w:val="001E6156"/>
    <w:rsid w:val="001E6902"/>
    <w:rsid w:val="001F0746"/>
    <w:rsid w:val="001F1C35"/>
    <w:rsid w:val="001F20B8"/>
    <w:rsid w:val="001F22DB"/>
    <w:rsid w:val="001F597D"/>
    <w:rsid w:val="001F7A47"/>
    <w:rsid w:val="002020DB"/>
    <w:rsid w:val="00202A01"/>
    <w:rsid w:val="00203D3A"/>
    <w:rsid w:val="0020435A"/>
    <w:rsid w:val="00205A3C"/>
    <w:rsid w:val="00206047"/>
    <w:rsid w:val="00206A88"/>
    <w:rsid w:val="00207301"/>
    <w:rsid w:val="002073BD"/>
    <w:rsid w:val="00207B90"/>
    <w:rsid w:val="00210158"/>
    <w:rsid w:val="0021155E"/>
    <w:rsid w:val="00211D1A"/>
    <w:rsid w:val="00212397"/>
    <w:rsid w:val="00213264"/>
    <w:rsid w:val="00214838"/>
    <w:rsid w:val="00216226"/>
    <w:rsid w:val="00216F04"/>
    <w:rsid w:val="00220747"/>
    <w:rsid w:val="00222D40"/>
    <w:rsid w:val="0022389A"/>
    <w:rsid w:val="00223F01"/>
    <w:rsid w:val="00224B94"/>
    <w:rsid w:val="00224E88"/>
    <w:rsid w:val="00224EF1"/>
    <w:rsid w:val="0022798D"/>
    <w:rsid w:val="00227E91"/>
    <w:rsid w:val="002304E3"/>
    <w:rsid w:val="0023195E"/>
    <w:rsid w:val="002322B6"/>
    <w:rsid w:val="002328C6"/>
    <w:rsid w:val="00233EF5"/>
    <w:rsid w:val="002349C3"/>
    <w:rsid w:val="00235FC2"/>
    <w:rsid w:val="00236116"/>
    <w:rsid w:val="00236239"/>
    <w:rsid w:val="0023633F"/>
    <w:rsid w:val="002365E6"/>
    <w:rsid w:val="0023771D"/>
    <w:rsid w:val="00237CAD"/>
    <w:rsid w:val="00241AD5"/>
    <w:rsid w:val="00241E9C"/>
    <w:rsid w:val="00242077"/>
    <w:rsid w:val="00243B76"/>
    <w:rsid w:val="00243F05"/>
    <w:rsid w:val="00244D7A"/>
    <w:rsid w:val="00245612"/>
    <w:rsid w:val="00246187"/>
    <w:rsid w:val="0025100A"/>
    <w:rsid w:val="00251386"/>
    <w:rsid w:val="00251822"/>
    <w:rsid w:val="00251AC2"/>
    <w:rsid w:val="00251D02"/>
    <w:rsid w:val="002534BD"/>
    <w:rsid w:val="002551A1"/>
    <w:rsid w:val="0025636B"/>
    <w:rsid w:val="002571A3"/>
    <w:rsid w:val="00260A01"/>
    <w:rsid w:val="00260CFD"/>
    <w:rsid w:val="00261479"/>
    <w:rsid w:val="00262274"/>
    <w:rsid w:val="00265450"/>
    <w:rsid w:val="00265B05"/>
    <w:rsid w:val="00265F6C"/>
    <w:rsid w:val="00265FC5"/>
    <w:rsid w:val="00266561"/>
    <w:rsid w:val="00266E0C"/>
    <w:rsid w:val="00266E1A"/>
    <w:rsid w:val="00267342"/>
    <w:rsid w:val="0026736F"/>
    <w:rsid w:val="002675E0"/>
    <w:rsid w:val="00270A49"/>
    <w:rsid w:val="002723FC"/>
    <w:rsid w:val="0027468B"/>
    <w:rsid w:val="002762A4"/>
    <w:rsid w:val="00276DC8"/>
    <w:rsid w:val="00280CDD"/>
    <w:rsid w:val="00281794"/>
    <w:rsid w:val="00282655"/>
    <w:rsid w:val="00282DAE"/>
    <w:rsid w:val="0028369A"/>
    <w:rsid w:val="00284792"/>
    <w:rsid w:val="00285433"/>
    <w:rsid w:val="00287105"/>
    <w:rsid w:val="0028721D"/>
    <w:rsid w:val="00287452"/>
    <w:rsid w:val="00290375"/>
    <w:rsid w:val="00291602"/>
    <w:rsid w:val="00291DFC"/>
    <w:rsid w:val="00291E15"/>
    <w:rsid w:val="00293854"/>
    <w:rsid w:val="0029392F"/>
    <w:rsid w:val="00294781"/>
    <w:rsid w:val="00295416"/>
    <w:rsid w:val="00296CFC"/>
    <w:rsid w:val="00297583"/>
    <w:rsid w:val="002A0718"/>
    <w:rsid w:val="002A16D0"/>
    <w:rsid w:val="002A1ECA"/>
    <w:rsid w:val="002A2034"/>
    <w:rsid w:val="002A3232"/>
    <w:rsid w:val="002A44A6"/>
    <w:rsid w:val="002A4E75"/>
    <w:rsid w:val="002A538A"/>
    <w:rsid w:val="002A5A93"/>
    <w:rsid w:val="002A5B18"/>
    <w:rsid w:val="002A6F12"/>
    <w:rsid w:val="002A74A6"/>
    <w:rsid w:val="002B12E6"/>
    <w:rsid w:val="002B1329"/>
    <w:rsid w:val="002B27C7"/>
    <w:rsid w:val="002B2CE2"/>
    <w:rsid w:val="002B552D"/>
    <w:rsid w:val="002B7295"/>
    <w:rsid w:val="002B7A7A"/>
    <w:rsid w:val="002B7C26"/>
    <w:rsid w:val="002B7C95"/>
    <w:rsid w:val="002B7F03"/>
    <w:rsid w:val="002C0936"/>
    <w:rsid w:val="002C0B56"/>
    <w:rsid w:val="002C0B93"/>
    <w:rsid w:val="002C0BE4"/>
    <w:rsid w:val="002C0F1B"/>
    <w:rsid w:val="002C4190"/>
    <w:rsid w:val="002C42C1"/>
    <w:rsid w:val="002C433C"/>
    <w:rsid w:val="002C4460"/>
    <w:rsid w:val="002C4581"/>
    <w:rsid w:val="002C5187"/>
    <w:rsid w:val="002C5517"/>
    <w:rsid w:val="002C7967"/>
    <w:rsid w:val="002D02BA"/>
    <w:rsid w:val="002D1354"/>
    <w:rsid w:val="002D1A9D"/>
    <w:rsid w:val="002D1CBC"/>
    <w:rsid w:val="002D2C39"/>
    <w:rsid w:val="002D2E53"/>
    <w:rsid w:val="002D390F"/>
    <w:rsid w:val="002D48A6"/>
    <w:rsid w:val="002D4D2D"/>
    <w:rsid w:val="002D61E1"/>
    <w:rsid w:val="002D6AD0"/>
    <w:rsid w:val="002D7409"/>
    <w:rsid w:val="002D7A64"/>
    <w:rsid w:val="002E1B3F"/>
    <w:rsid w:val="002E26E1"/>
    <w:rsid w:val="002E2D66"/>
    <w:rsid w:val="002E33A2"/>
    <w:rsid w:val="002E3609"/>
    <w:rsid w:val="002E5382"/>
    <w:rsid w:val="002E5E3C"/>
    <w:rsid w:val="002E63AA"/>
    <w:rsid w:val="002F07F4"/>
    <w:rsid w:val="002F1433"/>
    <w:rsid w:val="002F2E6A"/>
    <w:rsid w:val="002F323D"/>
    <w:rsid w:val="002F33C2"/>
    <w:rsid w:val="002F412E"/>
    <w:rsid w:val="002F4170"/>
    <w:rsid w:val="002F43C6"/>
    <w:rsid w:val="002F4586"/>
    <w:rsid w:val="002F605D"/>
    <w:rsid w:val="00300EF7"/>
    <w:rsid w:val="00302EB1"/>
    <w:rsid w:val="00304372"/>
    <w:rsid w:val="00304FED"/>
    <w:rsid w:val="00305113"/>
    <w:rsid w:val="00306B44"/>
    <w:rsid w:val="00310511"/>
    <w:rsid w:val="00310654"/>
    <w:rsid w:val="00311603"/>
    <w:rsid w:val="00311E5C"/>
    <w:rsid w:val="003121F3"/>
    <w:rsid w:val="00312539"/>
    <w:rsid w:val="00313AD1"/>
    <w:rsid w:val="00313E84"/>
    <w:rsid w:val="003149A9"/>
    <w:rsid w:val="00314A83"/>
    <w:rsid w:val="00315177"/>
    <w:rsid w:val="00315407"/>
    <w:rsid w:val="00315734"/>
    <w:rsid w:val="00315A9D"/>
    <w:rsid w:val="0031648A"/>
    <w:rsid w:val="0031755E"/>
    <w:rsid w:val="0032033F"/>
    <w:rsid w:val="00321C3D"/>
    <w:rsid w:val="00323798"/>
    <w:rsid w:val="00323A55"/>
    <w:rsid w:val="00325E98"/>
    <w:rsid w:val="003268D1"/>
    <w:rsid w:val="00326DCF"/>
    <w:rsid w:val="00327AF0"/>
    <w:rsid w:val="00330694"/>
    <w:rsid w:val="00330A9B"/>
    <w:rsid w:val="00331237"/>
    <w:rsid w:val="00331B49"/>
    <w:rsid w:val="00331F29"/>
    <w:rsid w:val="00333A1D"/>
    <w:rsid w:val="0033460B"/>
    <w:rsid w:val="00334F92"/>
    <w:rsid w:val="00335358"/>
    <w:rsid w:val="0033579B"/>
    <w:rsid w:val="00335ED9"/>
    <w:rsid w:val="00336D93"/>
    <w:rsid w:val="0033752D"/>
    <w:rsid w:val="0034291E"/>
    <w:rsid w:val="00343723"/>
    <w:rsid w:val="003443B4"/>
    <w:rsid w:val="0034453E"/>
    <w:rsid w:val="00344689"/>
    <w:rsid w:val="003456F8"/>
    <w:rsid w:val="0034583A"/>
    <w:rsid w:val="003470A8"/>
    <w:rsid w:val="00347675"/>
    <w:rsid w:val="00347BD4"/>
    <w:rsid w:val="00347CD5"/>
    <w:rsid w:val="00350B80"/>
    <w:rsid w:val="00351462"/>
    <w:rsid w:val="00351B97"/>
    <w:rsid w:val="00353E36"/>
    <w:rsid w:val="003554E0"/>
    <w:rsid w:val="00355B64"/>
    <w:rsid w:val="00355C4B"/>
    <w:rsid w:val="00355DBF"/>
    <w:rsid w:val="00356991"/>
    <w:rsid w:val="003576FF"/>
    <w:rsid w:val="00357F80"/>
    <w:rsid w:val="0036003F"/>
    <w:rsid w:val="003622B7"/>
    <w:rsid w:val="00362E42"/>
    <w:rsid w:val="0036304D"/>
    <w:rsid w:val="003631B2"/>
    <w:rsid w:val="00363764"/>
    <w:rsid w:val="0036462F"/>
    <w:rsid w:val="00364BA1"/>
    <w:rsid w:val="00366B36"/>
    <w:rsid w:val="00367A4B"/>
    <w:rsid w:val="003711B9"/>
    <w:rsid w:val="00371F6B"/>
    <w:rsid w:val="00372887"/>
    <w:rsid w:val="00373EDC"/>
    <w:rsid w:val="00374404"/>
    <w:rsid w:val="003752A0"/>
    <w:rsid w:val="00375C4D"/>
    <w:rsid w:val="0037629E"/>
    <w:rsid w:val="00380A73"/>
    <w:rsid w:val="00380DD7"/>
    <w:rsid w:val="0038279B"/>
    <w:rsid w:val="00382F29"/>
    <w:rsid w:val="00384AF1"/>
    <w:rsid w:val="00385A79"/>
    <w:rsid w:val="00386385"/>
    <w:rsid w:val="00386798"/>
    <w:rsid w:val="00387555"/>
    <w:rsid w:val="0039006E"/>
    <w:rsid w:val="00391AD2"/>
    <w:rsid w:val="0039248C"/>
    <w:rsid w:val="003928A8"/>
    <w:rsid w:val="0039343C"/>
    <w:rsid w:val="00393527"/>
    <w:rsid w:val="00393B9D"/>
    <w:rsid w:val="00394823"/>
    <w:rsid w:val="003955A0"/>
    <w:rsid w:val="00395CA3"/>
    <w:rsid w:val="00396475"/>
    <w:rsid w:val="0039730F"/>
    <w:rsid w:val="0039786B"/>
    <w:rsid w:val="003978DA"/>
    <w:rsid w:val="003A13B4"/>
    <w:rsid w:val="003A47A3"/>
    <w:rsid w:val="003A716E"/>
    <w:rsid w:val="003A72AE"/>
    <w:rsid w:val="003B04B0"/>
    <w:rsid w:val="003B1262"/>
    <w:rsid w:val="003B2F0B"/>
    <w:rsid w:val="003B3769"/>
    <w:rsid w:val="003B436C"/>
    <w:rsid w:val="003B437E"/>
    <w:rsid w:val="003B4A8D"/>
    <w:rsid w:val="003B4EFB"/>
    <w:rsid w:val="003B5D7A"/>
    <w:rsid w:val="003B72C4"/>
    <w:rsid w:val="003C276B"/>
    <w:rsid w:val="003C3908"/>
    <w:rsid w:val="003C48B6"/>
    <w:rsid w:val="003C4D0F"/>
    <w:rsid w:val="003C6764"/>
    <w:rsid w:val="003C6B6D"/>
    <w:rsid w:val="003C6E53"/>
    <w:rsid w:val="003C7C89"/>
    <w:rsid w:val="003D06AF"/>
    <w:rsid w:val="003D4318"/>
    <w:rsid w:val="003D5434"/>
    <w:rsid w:val="003D58EA"/>
    <w:rsid w:val="003D5F92"/>
    <w:rsid w:val="003D6200"/>
    <w:rsid w:val="003D66C8"/>
    <w:rsid w:val="003D6B2B"/>
    <w:rsid w:val="003E0375"/>
    <w:rsid w:val="003E2B21"/>
    <w:rsid w:val="003E4422"/>
    <w:rsid w:val="003E4FF7"/>
    <w:rsid w:val="003E5D9E"/>
    <w:rsid w:val="003E7EEF"/>
    <w:rsid w:val="003F0358"/>
    <w:rsid w:val="003F1AAC"/>
    <w:rsid w:val="003F35EF"/>
    <w:rsid w:val="003F3B35"/>
    <w:rsid w:val="003F470F"/>
    <w:rsid w:val="003F4D39"/>
    <w:rsid w:val="003F5B78"/>
    <w:rsid w:val="003F5E34"/>
    <w:rsid w:val="004011FF"/>
    <w:rsid w:val="00402689"/>
    <w:rsid w:val="00403141"/>
    <w:rsid w:val="00403B2B"/>
    <w:rsid w:val="00404750"/>
    <w:rsid w:val="00404BE7"/>
    <w:rsid w:val="00404E71"/>
    <w:rsid w:val="004052B2"/>
    <w:rsid w:val="00405B21"/>
    <w:rsid w:val="00405C0C"/>
    <w:rsid w:val="00405FC1"/>
    <w:rsid w:val="00405FFB"/>
    <w:rsid w:val="004068E9"/>
    <w:rsid w:val="00406F4B"/>
    <w:rsid w:val="00410B6F"/>
    <w:rsid w:val="004115E0"/>
    <w:rsid w:val="00412253"/>
    <w:rsid w:val="0041320C"/>
    <w:rsid w:val="004146E8"/>
    <w:rsid w:val="00414C1C"/>
    <w:rsid w:val="00415770"/>
    <w:rsid w:val="00415FC6"/>
    <w:rsid w:val="004173A2"/>
    <w:rsid w:val="004179EB"/>
    <w:rsid w:val="00420AC8"/>
    <w:rsid w:val="004232B9"/>
    <w:rsid w:val="004235B1"/>
    <w:rsid w:val="00423722"/>
    <w:rsid w:val="00423CAE"/>
    <w:rsid w:val="00424784"/>
    <w:rsid w:val="00425BA5"/>
    <w:rsid w:val="00425CC1"/>
    <w:rsid w:val="00426711"/>
    <w:rsid w:val="00427102"/>
    <w:rsid w:val="00430270"/>
    <w:rsid w:val="00430387"/>
    <w:rsid w:val="004303BA"/>
    <w:rsid w:val="00433F53"/>
    <w:rsid w:val="00434044"/>
    <w:rsid w:val="00434060"/>
    <w:rsid w:val="00435354"/>
    <w:rsid w:val="00436E44"/>
    <w:rsid w:val="00437173"/>
    <w:rsid w:val="0043755D"/>
    <w:rsid w:val="0044012A"/>
    <w:rsid w:val="00441D52"/>
    <w:rsid w:val="00442312"/>
    <w:rsid w:val="00442FD1"/>
    <w:rsid w:val="004432F6"/>
    <w:rsid w:val="004437E9"/>
    <w:rsid w:val="004441F8"/>
    <w:rsid w:val="004442B9"/>
    <w:rsid w:val="004443BE"/>
    <w:rsid w:val="004446C5"/>
    <w:rsid w:val="00444C0E"/>
    <w:rsid w:val="00446775"/>
    <w:rsid w:val="004469F9"/>
    <w:rsid w:val="00446D56"/>
    <w:rsid w:val="00446F85"/>
    <w:rsid w:val="004522B4"/>
    <w:rsid w:val="00452714"/>
    <w:rsid w:val="00452891"/>
    <w:rsid w:val="00452900"/>
    <w:rsid w:val="00452A5B"/>
    <w:rsid w:val="00452CED"/>
    <w:rsid w:val="00453189"/>
    <w:rsid w:val="0045385A"/>
    <w:rsid w:val="00454813"/>
    <w:rsid w:val="00454B19"/>
    <w:rsid w:val="00456AC9"/>
    <w:rsid w:val="0046020B"/>
    <w:rsid w:val="004619D4"/>
    <w:rsid w:val="00461BFF"/>
    <w:rsid w:val="0046257E"/>
    <w:rsid w:val="00463764"/>
    <w:rsid w:val="004642C0"/>
    <w:rsid w:val="0046775E"/>
    <w:rsid w:val="00467E22"/>
    <w:rsid w:val="0047009B"/>
    <w:rsid w:val="00470A8F"/>
    <w:rsid w:val="00470D92"/>
    <w:rsid w:val="00472CFC"/>
    <w:rsid w:val="00473A5E"/>
    <w:rsid w:val="00474D14"/>
    <w:rsid w:val="00475510"/>
    <w:rsid w:val="0047586E"/>
    <w:rsid w:val="00475B1C"/>
    <w:rsid w:val="00475C36"/>
    <w:rsid w:val="00475D67"/>
    <w:rsid w:val="004808F8"/>
    <w:rsid w:val="00480E9D"/>
    <w:rsid w:val="004813BB"/>
    <w:rsid w:val="00482865"/>
    <w:rsid w:val="00484A36"/>
    <w:rsid w:val="00485168"/>
    <w:rsid w:val="004851ED"/>
    <w:rsid w:val="0048588A"/>
    <w:rsid w:val="00487C49"/>
    <w:rsid w:val="00487D31"/>
    <w:rsid w:val="00490397"/>
    <w:rsid w:val="00490692"/>
    <w:rsid w:val="00490AE2"/>
    <w:rsid w:val="00494711"/>
    <w:rsid w:val="00494AD0"/>
    <w:rsid w:val="004952D7"/>
    <w:rsid w:val="0049581D"/>
    <w:rsid w:val="00495C7D"/>
    <w:rsid w:val="00496108"/>
    <w:rsid w:val="00496192"/>
    <w:rsid w:val="00497373"/>
    <w:rsid w:val="0049748A"/>
    <w:rsid w:val="00497823"/>
    <w:rsid w:val="00497E27"/>
    <w:rsid w:val="004A0830"/>
    <w:rsid w:val="004A0E05"/>
    <w:rsid w:val="004A11C7"/>
    <w:rsid w:val="004A18D7"/>
    <w:rsid w:val="004A1B26"/>
    <w:rsid w:val="004A2E50"/>
    <w:rsid w:val="004A37F0"/>
    <w:rsid w:val="004A49DD"/>
    <w:rsid w:val="004A4A80"/>
    <w:rsid w:val="004A5489"/>
    <w:rsid w:val="004A5BA9"/>
    <w:rsid w:val="004B0C50"/>
    <w:rsid w:val="004B4B2F"/>
    <w:rsid w:val="004B54A3"/>
    <w:rsid w:val="004B589E"/>
    <w:rsid w:val="004B5C0F"/>
    <w:rsid w:val="004B6BDF"/>
    <w:rsid w:val="004B7AD5"/>
    <w:rsid w:val="004C17CB"/>
    <w:rsid w:val="004C20EC"/>
    <w:rsid w:val="004C420E"/>
    <w:rsid w:val="004C432A"/>
    <w:rsid w:val="004C6C35"/>
    <w:rsid w:val="004C7929"/>
    <w:rsid w:val="004C7B3B"/>
    <w:rsid w:val="004D0248"/>
    <w:rsid w:val="004D0BDF"/>
    <w:rsid w:val="004D217A"/>
    <w:rsid w:val="004D270A"/>
    <w:rsid w:val="004D3A0B"/>
    <w:rsid w:val="004D3E98"/>
    <w:rsid w:val="004D469E"/>
    <w:rsid w:val="004D4B67"/>
    <w:rsid w:val="004D4F66"/>
    <w:rsid w:val="004D6092"/>
    <w:rsid w:val="004D6DAE"/>
    <w:rsid w:val="004D7D30"/>
    <w:rsid w:val="004E149A"/>
    <w:rsid w:val="004E1CD8"/>
    <w:rsid w:val="004E203A"/>
    <w:rsid w:val="004E27A9"/>
    <w:rsid w:val="004E3A57"/>
    <w:rsid w:val="004E4009"/>
    <w:rsid w:val="004E4113"/>
    <w:rsid w:val="004E472B"/>
    <w:rsid w:val="004E4BBD"/>
    <w:rsid w:val="004E5018"/>
    <w:rsid w:val="004E5200"/>
    <w:rsid w:val="004E551F"/>
    <w:rsid w:val="004E5EFE"/>
    <w:rsid w:val="004E61AA"/>
    <w:rsid w:val="004E66AC"/>
    <w:rsid w:val="004E6B7B"/>
    <w:rsid w:val="004E6DDA"/>
    <w:rsid w:val="004E70AD"/>
    <w:rsid w:val="004E7D7F"/>
    <w:rsid w:val="004E7F6A"/>
    <w:rsid w:val="004F064A"/>
    <w:rsid w:val="004F0FD3"/>
    <w:rsid w:val="004F1D5B"/>
    <w:rsid w:val="004F3ABE"/>
    <w:rsid w:val="004F3FEB"/>
    <w:rsid w:val="004F5454"/>
    <w:rsid w:val="004F5B37"/>
    <w:rsid w:val="004F6AEC"/>
    <w:rsid w:val="005014CD"/>
    <w:rsid w:val="00501793"/>
    <w:rsid w:val="005026C1"/>
    <w:rsid w:val="00504694"/>
    <w:rsid w:val="005048C3"/>
    <w:rsid w:val="00505BFD"/>
    <w:rsid w:val="0050663F"/>
    <w:rsid w:val="005074D5"/>
    <w:rsid w:val="00510AA1"/>
    <w:rsid w:val="00511788"/>
    <w:rsid w:val="00511E6F"/>
    <w:rsid w:val="005127CE"/>
    <w:rsid w:val="00512879"/>
    <w:rsid w:val="00512D17"/>
    <w:rsid w:val="00513265"/>
    <w:rsid w:val="00513282"/>
    <w:rsid w:val="005151BE"/>
    <w:rsid w:val="00515B8F"/>
    <w:rsid w:val="005204CB"/>
    <w:rsid w:val="00520F5C"/>
    <w:rsid w:val="00521F6E"/>
    <w:rsid w:val="0052211A"/>
    <w:rsid w:val="00522208"/>
    <w:rsid w:val="005240BD"/>
    <w:rsid w:val="00524404"/>
    <w:rsid w:val="00524BCF"/>
    <w:rsid w:val="00524F37"/>
    <w:rsid w:val="00525AEA"/>
    <w:rsid w:val="00525FA8"/>
    <w:rsid w:val="005272D8"/>
    <w:rsid w:val="005300D5"/>
    <w:rsid w:val="00530B7D"/>
    <w:rsid w:val="005310E8"/>
    <w:rsid w:val="00531D89"/>
    <w:rsid w:val="00531EA2"/>
    <w:rsid w:val="00532D90"/>
    <w:rsid w:val="00532F66"/>
    <w:rsid w:val="00533BCA"/>
    <w:rsid w:val="00533D48"/>
    <w:rsid w:val="00535A6B"/>
    <w:rsid w:val="005371B9"/>
    <w:rsid w:val="00537869"/>
    <w:rsid w:val="005419E9"/>
    <w:rsid w:val="00541DC9"/>
    <w:rsid w:val="00542475"/>
    <w:rsid w:val="005440CF"/>
    <w:rsid w:val="0054498A"/>
    <w:rsid w:val="0054516B"/>
    <w:rsid w:val="005458FE"/>
    <w:rsid w:val="00545910"/>
    <w:rsid w:val="00545ACE"/>
    <w:rsid w:val="00546397"/>
    <w:rsid w:val="00550757"/>
    <w:rsid w:val="00550C1B"/>
    <w:rsid w:val="00550C9C"/>
    <w:rsid w:val="00551444"/>
    <w:rsid w:val="005516A8"/>
    <w:rsid w:val="005522A7"/>
    <w:rsid w:val="005526EA"/>
    <w:rsid w:val="005533C4"/>
    <w:rsid w:val="00554741"/>
    <w:rsid w:val="0055482E"/>
    <w:rsid w:val="0055504C"/>
    <w:rsid w:val="005602F8"/>
    <w:rsid w:val="00560786"/>
    <w:rsid w:val="00560B81"/>
    <w:rsid w:val="0056154E"/>
    <w:rsid w:val="005621C6"/>
    <w:rsid w:val="0056264C"/>
    <w:rsid w:val="0056268F"/>
    <w:rsid w:val="00564802"/>
    <w:rsid w:val="005653D8"/>
    <w:rsid w:val="00565C3C"/>
    <w:rsid w:val="005661CB"/>
    <w:rsid w:val="00566974"/>
    <w:rsid w:val="00567623"/>
    <w:rsid w:val="00570417"/>
    <w:rsid w:val="0057085B"/>
    <w:rsid w:val="00570C6B"/>
    <w:rsid w:val="0057169A"/>
    <w:rsid w:val="00571AA7"/>
    <w:rsid w:val="00572DF6"/>
    <w:rsid w:val="0057305E"/>
    <w:rsid w:val="00573388"/>
    <w:rsid w:val="00573AB6"/>
    <w:rsid w:val="00577D77"/>
    <w:rsid w:val="00580725"/>
    <w:rsid w:val="005807CD"/>
    <w:rsid w:val="005811B9"/>
    <w:rsid w:val="00581CAA"/>
    <w:rsid w:val="0058245E"/>
    <w:rsid w:val="00583C1D"/>
    <w:rsid w:val="0058608A"/>
    <w:rsid w:val="00586657"/>
    <w:rsid w:val="0058695B"/>
    <w:rsid w:val="00586FDE"/>
    <w:rsid w:val="00587B6A"/>
    <w:rsid w:val="00587C9B"/>
    <w:rsid w:val="00587F5D"/>
    <w:rsid w:val="00590B17"/>
    <w:rsid w:val="00590E5A"/>
    <w:rsid w:val="005940D1"/>
    <w:rsid w:val="00594E34"/>
    <w:rsid w:val="00595456"/>
    <w:rsid w:val="00595908"/>
    <w:rsid w:val="00596B3D"/>
    <w:rsid w:val="005975D0"/>
    <w:rsid w:val="005A0477"/>
    <w:rsid w:val="005A07E1"/>
    <w:rsid w:val="005A153A"/>
    <w:rsid w:val="005A2279"/>
    <w:rsid w:val="005A2BB7"/>
    <w:rsid w:val="005A2D5D"/>
    <w:rsid w:val="005A33A7"/>
    <w:rsid w:val="005A3A8D"/>
    <w:rsid w:val="005A407A"/>
    <w:rsid w:val="005A4ADA"/>
    <w:rsid w:val="005A621F"/>
    <w:rsid w:val="005A6F2F"/>
    <w:rsid w:val="005A7757"/>
    <w:rsid w:val="005A7B3E"/>
    <w:rsid w:val="005B1B21"/>
    <w:rsid w:val="005B283E"/>
    <w:rsid w:val="005B2D6F"/>
    <w:rsid w:val="005B3A18"/>
    <w:rsid w:val="005B3E88"/>
    <w:rsid w:val="005B41AA"/>
    <w:rsid w:val="005B4F61"/>
    <w:rsid w:val="005B5196"/>
    <w:rsid w:val="005B57EF"/>
    <w:rsid w:val="005B6905"/>
    <w:rsid w:val="005B724E"/>
    <w:rsid w:val="005C0B5C"/>
    <w:rsid w:val="005C1BDD"/>
    <w:rsid w:val="005C5968"/>
    <w:rsid w:val="005C7707"/>
    <w:rsid w:val="005D0FDB"/>
    <w:rsid w:val="005D133C"/>
    <w:rsid w:val="005D18F5"/>
    <w:rsid w:val="005D1B9A"/>
    <w:rsid w:val="005D27B7"/>
    <w:rsid w:val="005D33D4"/>
    <w:rsid w:val="005D5637"/>
    <w:rsid w:val="005D5CF2"/>
    <w:rsid w:val="005D5E76"/>
    <w:rsid w:val="005D72FB"/>
    <w:rsid w:val="005D780C"/>
    <w:rsid w:val="005D7836"/>
    <w:rsid w:val="005D7FCA"/>
    <w:rsid w:val="005E1232"/>
    <w:rsid w:val="005E28ED"/>
    <w:rsid w:val="005E2EE9"/>
    <w:rsid w:val="005E2F7A"/>
    <w:rsid w:val="005E37DA"/>
    <w:rsid w:val="005E4206"/>
    <w:rsid w:val="005E4217"/>
    <w:rsid w:val="005E485F"/>
    <w:rsid w:val="005F023A"/>
    <w:rsid w:val="005F2729"/>
    <w:rsid w:val="005F2A98"/>
    <w:rsid w:val="005F3758"/>
    <w:rsid w:val="005F71F9"/>
    <w:rsid w:val="006002AA"/>
    <w:rsid w:val="00602B35"/>
    <w:rsid w:val="006031F5"/>
    <w:rsid w:val="006033AD"/>
    <w:rsid w:val="006041DA"/>
    <w:rsid w:val="00605503"/>
    <w:rsid w:val="0060698B"/>
    <w:rsid w:val="00611C67"/>
    <w:rsid w:val="00612D84"/>
    <w:rsid w:val="00613C6D"/>
    <w:rsid w:val="00614076"/>
    <w:rsid w:val="00614E5A"/>
    <w:rsid w:val="00616235"/>
    <w:rsid w:val="00617492"/>
    <w:rsid w:val="00620244"/>
    <w:rsid w:val="00620B8A"/>
    <w:rsid w:val="00620CAC"/>
    <w:rsid w:val="00621BB1"/>
    <w:rsid w:val="00621BC9"/>
    <w:rsid w:val="0062275E"/>
    <w:rsid w:val="00624351"/>
    <w:rsid w:val="006247DF"/>
    <w:rsid w:val="0062554E"/>
    <w:rsid w:val="00630230"/>
    <w:rsid w:val="0063072A"/>
    <w:rsid w:val="00630BEB"/>
    <w:rsid w:val="00631233"/>
    <w:rsid w:val="006316F4"/>
    <w:rsid w:val="0063197E"/>
    <w:rsid w:val="00633689"/>
    <w:rsid w:val="00634739"/>
    <w:rsid w:val="0063685E"/>
    <w:rsid w:val="00636EB6"/>
    <w:rsid w:val="006409FD"/>
    <w:rsid w:val="00640B8B"/>
    <w:rsid w:val="00640FE7"/>
    <w:rsid w:val="00640FEF"/>
    <w:rsid w:val="00642C5C"/>
    <w:rsid w:val="00642E98"/>
    <w:rsid w:val="00643AB4"/>
    <w:rsid w:val="00643E28"/>
    <w:rsid w:val="00644CF4"/>
    <w:rsid w:val="00645153"/>
    <w:rsid w:val="006455B7"/>
    <w:rsid w:val="006455B8"/>
    <w:rsid w:val="00645EF2"/>
    <w:rsid w:val="00646223"/>
    <w:rsid w:val="006467F4"/>
    <w:rsid w:val="00646949"/>
    <w:rsid w:val="00646C2F"/>
    <w:rsid w:val="0064732B"/>
    <w:rsid w:val="00647993"/>
    <w:rsid w:val="00650304"/>
    <w:rsid w:val="006511EF"/>
    <w:rsid w:val="00652816"/>
    <w:rsid w:val="006529FA"/>
    <w:rsid w:val="006535F8"/>
    <w:rsid w:val="006536E0"/>
    <w:rsid w:val="00653B45"/>
    <w:rsid w:val="00653BDE"/>
    <w:rsid w:val="0065485F"/>
    <w:rsid w:val="006548B7"/>
    <w:rsid w:val="00654AF0"/>
    <w:rsid w:val="00656745"/>
    <w:rsid w:val="00657376"/>
    <w:rsid w:val="00657A30"/>
    <w:rsid w:val="00657D67"/>
    <w:rsid w:val="00657F6A"/>
    <w:rsid w:val="00660EA6"/>
    <w:rsid w:val="00661FE9"/>
    <w:rsid w:val="00663B7B"/>
    <w:rsid w:val="006640FF"/>
    <w:rsid w:val="00664D3E"/>
    <w:rsid w:val="00664E77"/>
    <w:rsid w:val="00665127"/>
    <w:rsid w:val="006651FB"/>
    <w:rsid w:val="00667145"/>
    <w:rsid w:val="006673BB"/>
    <w:rsid w:val="006707F5"/>
    <w:rsid w:val="00670AD9"/>
    <w:rsid w:val="006712D9"/>
    <w:rsid w:val="006713C2"/>
    <w:rsid w:val="00671713"/>
    <w:rsid w:val="00672EDC"/>
    <w:rsid w:val="00673AE4"/>
    <w:rsid w:val="00673B51"/>
    <w:rsid w:val="0067402D"/>
    <w:rsid w:val="00674190"/>
    <w:rsid w:val="00675CCA"/>
    <w:rsid w:val="00675D78"/>
    <w:rsid w:val="00675E56"/>
    <w:rsid w:val="0067632C"/>
    <w:rsid w:val="00676332"/>
    <w:rsid w:val="00677740"/>
    <w:rsid w:val="00677934"/>
    <w:rsid w:val="00677A85"/>
    <w:rsid w:val="006805A5"/>
    <w:rsid w:val="006809F1"/>
    <w:rsid w:val="00680B51"/>
    <w:rsid w:val="00681C76"/>
    <w:rsid w:val="00682018"/>
    <w:rsid w:val="006821E3"/>
    <w:rsid w:val="00684686"/>
    <w:rsid w:val="00685B14"/>
    <w:rsid w:val="00685DB6"/>
    <w:rsid w:val="006868BA"/>
    <w:rsid w:val="006905CA"/>
    <w:rsid w:val="0069192E"/>
    <w:rsid w:val="0069299B"/>
    <w:rsid w:val="00692A2F"/>
    <w:rsid w:val="00693518"/>
    <w:rsid w:val="006941A0"/>
    <w:rsid w:val="00694C51"/>
    <w:rsid w:val="006955E7"/>
    <w:rsid w:val="00695FCF"/>
    <w:rsid w:val="00696965"/>
    <w:rsid w:val="00696DDA"/>
    <w:rsid w:val="006970D5"/>
    <w:rsid w:val="006A013E"/>
    <w:rsid w:val="006A135C"/>
    <w:rsid w:val="006A4A18"/>
    <w:rsid w:val="006A4CFB"/>
    <w:rsid w:val="006A65B1"/>
    <w:rsid w:val="006A704A"/>
    <w:rsid w:val="006A71A2"/>
    <w:rsid w:val="006B0322"/>
    <w:rsid w:val="006B0DD2"/>
    <w:rsid w:val="006B2505"/>
    <w:rsid w:val="006B4075"/>
    <w:rsid w:val="006B4598"/>
    <w:rsid w:val="006B55BE"/>
    <w:rsid w:val="006B57A0"/>
    <w:rsid w:val="006B5E7A"/>
    <w:rsid w:val="006B62B7"/>
    <w:rsid w:val="006B6956"/>
    <w:rsid w:val="006C07D0"/>
    <w:rsid w:val="006C087D"/>
    <w:rsid w:val="006C09E3"/>
    <w:rsid w:val="006C0A34"/>
    <w:rsid w:val="006C1668"/>
    <w:rsid w:val="006C166D"/>
    <w:rsid w:val="006C2E4C"/>
    <w:rsid w:val="006C3647"/>
    <w:rsid w:val="006C3B4B"/>
    <w:rsid w:val="006C41FF"/>
    <w:rsid w:val="006C4A20"/>
    <w:rsid w:val="006C4E62"/>
    <w:rsid w:val="006C6AAB"/>
    <w:rsid w:val="006C7C8E"/>
    <w:rsid w:val="006D1D72"/>
    <w:rsid w:val="006D27F0"/>
    <w:rsid w:val="006D2EBE"/>
    <w:rsid w:val="006D30E8"/>
    <w:rsid w:val="006D3A53"/>
    <w:rsid w:val="006D502F"/>
    <w:rsid w:val="006D5067"/>
    <w:rsid w:val="006D5713"/>
    <w:rsid w:val="006D6198"/>
    <w:rsid w:val="006D6623"/>
    <w:rsid w:val="006D7743"/>
    <w:rsid w:val="006E1EA3"/>
    <w:rsid w:val="006E265E"/>
    <w:rsid w:val="006E27FD"/>
    <w:rsid w:val="006E2AFF"/>
    <w:rsid w:val="006E338E"/>
    <w:rsid w:val="006E4DAD"/>
    <w:rsid w:val="006E5584"/>
    <w:rsid w:val="006E6CC2"/>
    <w:rsid w:val="006E721E"/>
    <w:rsid w:val="006E7A62"/>
    <w:rsid w:val="006F09F2"/>
    <w:rsid w:val="006F16C8"/>
    <w:rsid w:val="006F5C05"/>
    <w:rsid w:val="006F5E1D"/>
    <w:rsid w:val="006F6ADA"/>
    <w:rsid w:val="006F707F"/>
    <w:rsid w:val="006F70DE"/>
    <w:rsid w:val="00700204"/>
    <w:rsid w:val="00701DCC"/>
    <w:rsid w:val="0070382E"/>
    <w:rsid w:val="0070459E"/>
    <w:rsid w:val="007055D8"/>
    <w:rsid w:val="0070621C"/>
    <w:rsid w:val="00706682"/>
    <w:rsid w:val="00706EDE"/>
    <w:rsid w:val="00707993"/>
    <w:rsid w:val="0071123A"/>
    <w:rsid w:val="00711E25"/>
    <w:rsid w:val="00712AC4"/>
    <w:rsid w:val="00712FB7"/>
    <w:rsid w:val="007138CC"/>
    <w:rsid w:val="00713EAC"/>
    <w:rsid w:val="0071439B"/>
    <w:rsid w:val="00714EA4"/>
    <w:rsid w:val="00715755"/>
    <w:rsid w:val="00715A96"/>
    <w:rsid w:val="00720199"/>
    <w:rsid w:val="0072122E"/>
    <w:rsid w:val="007232BF"/>
    <w:rsid w:val="00723B85"/>
    <w:rsid w:val="007250D3"/>
    <w:rsid w:val="007257B8"/>
    <w:rsid w:val="00727A83"/>
    <w:rsid w:val="00727EF4"/>
    <w:rsid w:val="00730A03"/>
    <w:rsid w:val="0073174A"/>
    <w:rsid w:val="007318EF"/>
    <w:rsid w:val="00732468"/>
    <w:rsid w:val="00732503"/>
    <w:rsid w:val="007333BE"/>
    <w:rsid w:val="007335A8"/>
    <w:rsid w:val="00734E23"/>
    <w:rsid w:val="00735079"/>
    <w:rsid w:val="0073593C"/>
    <w:rsid w:val="00736815"/>
    <w:rsid w:val="0073697C"/>
    <w:rsid w:val="00736A14"/>
    <w:rsid w:val="00737013"/>
    <w:rsid w:val="0073764E"/>
    <w:rsid w:val="00737992"/>
    <w:rsid w:val="00737DDD"/>
    <w:rsid w:val="00741006"/>
    <w:rsid w:val="00743AC6"/>
    <w:rsid w:val="00744072"/>
    <w:rsid w:val="00747D3C"/>
    <w:rsid w:val="0075099D"/>
    <w:rsid w:val="00750E1A"/>
    <w:rsid w:val="00752052"/>
    <w:rsid w:val="007528DF"/>
    <w:rsid w:val="00754335"/>
    <w:rsid w:val="00754D59"/>
    <w:rsid w:val="00754EA3"/>
    <w:rsid w:val="00756B84"/>
    <w:rsid w:val="00757A75"/>
    <w:rsid w:val="00757B7B"/>
    <w:rsid w:val="00760136"/>
    <w:rsid w:val="00760496"/>
    <w:rsid w:val="0076053B"/>
    <w:rsid w:val="00760808"/>
    <w:rsid w:val="007622E3"/>
    <w:rsid w:val="00762681"/>
    <w:rsid w:val="00762B0D"/>
    <w:rsid w:val="00763FB0"/>
    <w:rsid w:val="007644E5"/>
    <w:rsid w:val="00765150"/>
    <w:rsid w:val="00766DD2"/>
    <w:rsid w:val="007675EB"/>
    <w:rsid w:val="00770D2D"/>
    <w:rsid w:val="00770D5D"/>
    <w:rsid w:val="00771FBC"/>
    <w:rsid w:val="00772C0B"/>
    <w:rsid w:val="00772E3A"/>
    <w:rsid w:val="007738D0"/>
    <w:rsid w:val="00773EC0"/>
    <w:rsid w:val="00774DA4"/>
    <w:rsid w:val="00774E33"/>
    <w:rsid w:val="00774F7B"/>
    <w:rsid w:val="0077567A"/>
    <w:rsid w:val="00775DA1"/>
    <w:rsid w:val="00775F4F"/>
    <w:rsid w:val="00777690"/>
    <w:rsid w:val="00777C0A"/>
    <w:rsid w:val="00780533"/>
    <w:rsid w:val="0078229B"/>
    <w:rsid w:val="00783A0B"/>
    <w:rsid w:val="00784DD0"/>
    <w:rsid w:val="00785AAE"/>
    <w:rsid w:val="00785B9B"/>
    <w:rsid w:val="0078737D"/>
    <w:rsid w:val="00787F94"/>
    <w:rsid w:val="00790464"/>
    <w:rsid w:val="0079112A"/>
    <w:rsid w:val="00791D81"/>
    <w:rsid w:val="0079362D"/>
    <w:rsid w:val="007939B6"/>
    <w:rsid w:val="00794997"/>
    <w:rsid w:val="0079622D"/>
    <w:rsid w:val="007964C7"/>
    <w:rsid w:val="007A1600"/>
    <w:rsid w:val="007A1B16"/>
    <w:rsid w:val="007A35B4"/>
    <w:rsid w:val="007A4846"/>
    <w:rsid w:val="007A4969"/>
    <w:rsid w:val="007A5746"/>
    <w:rsid w:val="007A66DF"/>
    <w:rsid w:val="007A6D9A"/>
    <w:rsid w:val="007A6FD9"/>
    <w:rsid w:val="007A763A"/>
    <w:rsid w:val="007A7C15"/>
    <w:rsid w:val="007B01D2"/>
    <w:rsid w:val="007B05F7"/>
    <w:rsid w:val="007B0717"/>
    <w:rsid w:val="007B0EF5"/>
    <w:rsid w:val="007B14C5"/>
    <w:rsid w:val="007B1924"/>
    <w:rsid w:val="007B199A"/>
    <w:rsid w:val="007B1B70"/>
    <w:rsid w:val="007B1BA6"/>
    <w:rsid w:val="007B1EBA"/>
    <w:rsid w:val="007B22ED"/>
    <w:rsid w:val="007B2669"/>
    <w:rsid w:val="007B42D6"/>
    <w:rsid w:val="007B48F8"/>
    <w:rsid w:val="007B51E6"/>
    <w:rsid w:val="007B53A9"/>
    <w:rsid w:val="007B55B5"/>
    <w:rsid w:val="007B5624"/>
    <w:rsid w:val="007B6CC9"/>
    <w:rsid w:val="007B7338"/>
    <w:rsid w:val="007C249E"/>
    <w:rsid w:val="007C322E"/>
    <w:rsid w:val="007C3D92"/>
    <w:rsid w:val="007C5420"/>
    <w:rsid w:val="007C6133"/>
    <w:rsid w:val="007D00C2"/>
    <w:rsid w:val="007D06C0"/>
    <w:rsid w:val="007D076E"/>
    <w:rsid w:val="007D1008"/>
    <w:rsid w:val="007D1B67"/>
    <w:rsid w:val="007D241A"/>
    <w:rsid w:val="007D2672"/>
    <w:rsid w:val="007D382E"/>
    <w:rsid w:val="007D4B6B"/>
    <w:rsid w:val="007D4CFB"/>
    <w:rsid w:val="007D62DC"/>
    <w:rsid w:val="007D6B1D"/>
    <w:rsid w:val="007D7930"/>
    <w:rsid w:val="007D7CCF"/>
    <w:rsid w:val="007E0965"/>
    <w:rsid w:val="007E23DA"/>
    <w:rsid w:val="007E4CA5"/>
    <w:rsid w:val="007E58BF"/>
    <w:rsid w:val="007E6ADD"/>
    <w:rsid w:val="007E728E"/>
    <w:rsid w:val="007E784C"/>
    <w:rsid w:val="007F0756"/>
    <w:rsid w:val="007F130A"/>
    <w:rsid w:val="007F1C0D"/>
    <w:rsid w:val="007F1E22"/>
    <w:rsid w:val="007F3D4F"/>
    <w:rsid w:val="007F46C8"/>
    <w:rsid w:val="007F52BD"/>
    <w:rsid w:val="007F5D18"/>
    <w:rsid w:val="007F6F87"/>
    <w:rsid w:val="007F7F83"/>
    <w:rsid w:val="00801420"/>
    <w:rsid w:val="00802069"/>
    <w:rsid w:val="008025DC"/>
    <w:rsid w:val="00802652"/>
    <w:rsid w:val="00802D8D"/>
    <w:rsid w:val="00803C62"/>
    <w:rsid w:val="00806DED"/>
    <w:rsid w:val="00806EB6"/>
    <w:rsid w:val="00806EC8"/>
    <w:rsid w:val="00807EEF"/>
    <w:rsid w:val="008135C7"/>
    <w:rsid w:val="00813D95"/>
    <w:rsid w:val="00814CE9"/>
    <w:rsid w:val="00815D4F"/>
    <w:rsid w:val="00815D73"/>
    <w:rsid w:val="00816DAA"/>
    <w:rsid w:val="008176D9"/>
    <w:rsid w:val="00817D1E"/>
    <w:rsid w:val="00817DDD"/>
    <w:rsid w:val="00820BE1"/>
    <w:rsid w:val="008226B5"/>
    <w:rsid w:val="008228B2"/>
    <w:rsid w:val="00822F55"/>
    <w:rsid w:val="008247D3"/>
    <w:rsid w:val="00825AEA"/>
    <w:rsid w:val="00825BCB"/>
    <w:rsid w:val="0082609D"/>
    <w:rsid w:val="008270A6"/>
    <w:rsid w:val="008277E5"/>
    <w:rsid w:val="00827BB7"/>
    <w:rsid w:val="00831988"/>
    <w:rsid w:val="00831DA7"/>
    <w:rsid w:val="00832233"/>
    <w:rsid w:val="00832428"/>
    <w:rsid w:val="00832BDC"/>
    <w:rsid w:val="008335D7"/>
    <w:rsid w:val="0083364D"/>
    <w:rsid w:val="00833E10"/>
    <w:rsid w:val="008340F1"/>
    <w:rsid w:val="00834A4A"/>
    <w:rsid w:val="0083539A"/>
    <w:rsid w:val="0083564F"/>
    <w:rsid w:val="008356C6"/>
    <w:rsid w:val="008357C4"/>
    <w:rsid w:val="0083673F"/>
    <w:rsid w:val="008379ED"/>
    <w:rsid w:val="00837B9C"/>
    <w:rsid w:val="00837DD9"/>
    <w:rsid w:val="008400AF"/>
    <w:rsid w:val="008409F8"/>
    <w:rsid w:val="00841E0B"/>
    <w:rsid w:val="008421FA"/>
    <w:rsid w:val="00844028"/>
    <w:rsid w:val="0084493B"/>
    <w:rsid w:val="00844B59"/>
    <w:rsid w:val="00844F82"/>
    <w:rsid w:val="00845D51"/>
    <w:rsid w:val="0084638C"/>
    <w:rsid w:val="008469EE"/>
    <w:rsid w:val="00851085"/>
    <w:rsid w:val="008513F9"/>
    <w:rsid w:val="008521CA"/>
    <w:rsid w:val="00852852"/>
    <w:rsid w:val="008532B7"/>
    <w:rsid w:val="008566B3"/>
    <w:rsid w:val="00856765"/>
    <w:rsid w:val="0085760A"/>
    <w:rsid w:val="00861CE9"/>
    <w:rsid w:val="00862746"/>
    <w:rsid w:val="008638C5"/>
    <w:rsid w:val="00864335"/>
    <w:rsid w:val="00865296"/>
    <w:rsid w:val="008660A5"/>
    <w:rsid w:val="00866EBB"/>
    <w:rsid w:val="00867247"/>
    <w:rsid w:val="00867980"/>
    <w:rsid w:val="00867AEB"/>
    <w:rsid w:val="008727DE"/>
    <w:rsid w:val="008737DB"/>
    <w:rsid w:val="0087608D"/>
    <w:rsid w:val="008775A4"/>
    <w:rsid w:val="0088010B"/>
    <w:rsid w:val="008809B6"/>
    <w:rsid w:val="00881122"/>
    <w:rsid w:val="00881AF4"/>
    <w:rsid w:val="008826A3"/>
    <w:rsid w:val="00882FFB"/>
    <w:rsid w:val="008834FE"/>
    <w:rsid w:val="00883BC1"/>
    <w:rsid w:val="00883ED7"/>
    <w:rsid w:val="00884AE7"/>
    <w:rsid w:val="008851DF"/>
    <w:rsid w:val="0088568F"/>
    <w:rsid w:val="00886263"/>
    <w:rsid w:val="00886365"/>
    <w:rsid w:val="00886EC5"/>
    <w:rsid w:val="00887321"/>
    <w:rsid w:val="00890070"/>
    <w:rsid w:val="00890405"/>
    <w:rsid w:val="00891ECF"/>
    <w:rsid w:val="008920DC"/>
    <w:rsid w:val="008927EE"/>
    <w:rsid w:val="00892C6D"/>
    <w:rsid w:val="00895562"/>
    <w:rsid w:val="008956D1"/>
    <w:rsid w:val="008957EF"/>
    <w:rsid w:val="00895BB6"/>
    <w:rsid w:val="008963E8"/>
    <w:rsid w:val="008972B2"/>
    <w:rsid w:val="008976A1"/>
    <w:rsid w:val="00897928"/>
    <w:rsid w:val="00897CA1"/>
    <w:rsid w:val="008A0BDA"/>
    <w:rsid w:val="008A0E25"/>
    <w:rsid w:val="008A1766"/>
    <w:rsid w:val="008A1D53"/>
    <w:rsid w:val="008A2949"/>
    <w:rsid w:val="008A443D"/>
    <w:rsid w:val="008A5013"/>
    <w:rsid w:val="008A6231"/>
    <w:rsid w:val="008B04F8"/>
    <w:rsid w:val="008B0CEC"/>
    <w:rsid w:val="008B2BA7"/>
    <w:rsid w:val="008B3494"/>
    <w:rsid w:val="008B3612"/>
    <w:rsid w:val="008B3ACD"/>
    <w:rsid w:val="008B4318"/>
    <w:rsid w:val="008B453A"/>
    <w:rsid w:val="008B4960"/>
    <w:rsid w:val="008B5FC3"/>
    <w:rsid w:val="008B6370"/>
    <w:rsid w:val="008B7022"/>
    <w:rsid w:val="008B743F"/>
    <w:rsid w:val="008C0A82"/>
    <w:rsid w:val="008C4980"/>
    <w:rsid w:val="008C55C7"/>
    <w:rsid w:val="008C5798"/>
    <w:rsid w:val="008D0FDD"/>
    <w:rsid w:val="008D1B70"/>
    <w:rsid w:val="008D1DFA"/>
    <w:rsid w:val="008D2BDD"/>
    <w:rsid w:val="008D2FFE"/>
    <w:rsid w:val="008D33F8"/>
    <w:rsid w:val="008D39AA"/>
    <w:rsid w:val="008D3BD3"/>
    <w:rsid w:val="008D4BC6"/>
    <w:rsid w:val="008D5631"/>
    <w:rsid w:val="008E190A"/>
    <w:rsid w:val="008E1E5D"/>
    <w:rsid w:val="008E2453"/>
    <w:rsid w:val="008E4AD4"/>
    <w:rsid w:val="008E4D62"/>
    <w:rsid w:val="008E5479"/>
    <w:rsid w:val="008E5A77"/>
    <w:rsid w:val="008E5DAE"/>
    <w:rsid w:val="008E62DE"/>
    <w:rsid w:val="008E78E9"/>
    <w:rsid w:val="008F1521"/>
    <w:rsid w:val="008F1906"/>
    <w:rsid w:val="008F1F12"/>
    <w:rsid w:val="008F2550"/>
    <w:rsid w:val="008F2BFA"/>
    <w:rsid w:val="008F2E54"/>
    <w:rsid w:val="008F3B5D"/>
    <w:rsid w:val="008F43E5"/>
    <w:rsid w:val="008F5A3B"/>
    <w:rsid w:val="008F6975"/>
    <w:rsid w:val="008F6A13"/>
    <w:rsid w:val="008F72C4"/>
    <w:rsid w:val="00900A5F"/>
    <w:rsid w:val="009011F3"/>
    <w:rsid w:val="00901837"/>
    <w:rsid w:val="00902108"/>
    <w:rsid w:val="00902865"/>
    <w:rsid w:val="009030D3"/>
    <w:rsid w:val="00903342"/>
    <w:rsid w:val="00904FBD"/>
    <w:rsid w:val="00906DD1"/>
    <w:rsid w:val="009117A8"/>
    <w:rsid w:val="0091536E"/>
    <w:rsid w:val="009168AE"/>
    <w:rsid w:val="00916E8D"/>
    <w:rsid w:val="009171F5"/>
    <w:rsid w:val="00917BA0"/>
    <w:rsid w:val="00917CF0"/>
    <w:rsid w:val="00917D94"/>
    <w:rsid w:val="00920290"/>
    <w:rsid w:val="00920E58"/>
    <w:rsid w:val="00921057"/>
    <w:rsid w:val="0092162F"/>
    <w:rsid w:val="00921E42"/>
    <w:rsid w:val="009221E2"/>
    <w:rsid w:val="0092244B"/>
    <w:rsid w:val="00924122"/>
    <w:rsid w:val="009241E0"/>
    <w:rsid w:val="009259E1"/>
    <w:rsid w:val="00927505"/>
    <w:rsid w:val="009277A7"/>
    <w:rsid w:val="00927D6F"/>
    <w:rsid w:val="009306D5"/>
    <w:rsid w:val="00930CCE"/>
    <w:rsid w:val="00931A17"/>
    <w:rsid w:val="009353AC"/>
    <w:rsid w:val="009360C0"/>
    <w:rsid w:val="0093653B"/>
    <w:rsid w:val="00936FF7"/>
    <w:rsid w:val="00937550"/>
    <w:rsid w:val="00937B56"/>
    <w:rsid w:val="00937F6B"/>
    <w:rsid w:val="0094028A"/>
    <w:rsid w:val="0094183B"/>
    <w:rsid w:val="00947084"/>
    <w:rsid w:val="00947A7B"/>
    <w:rsid w:val="00947FBD"/>
    <w:rsid w:val="00951A4B"/>
    <w:rsid w:val="0095482F"/>
    <w:rsid w:val="00955403"/>
    <w:rsid w:val="009557E9"/>
    <w:rsid w:val="00957526"/>
    <w:rsid w:val="00957C85"/>
    <w:rsid w:val="00957D24"/>
    <w:rsid w:val="00960DBD"/>
    <w:rsid w:val="009630B4"/>
    <w:rsid w:val="0096330A"/>
    <w:rsid w:val="00963735"/>
    <w:rsid w:val="00963DCE"/>
    <w:rsid w:val="009650B3"/>
    <w:rsid w:val="00965964"/>
    <w:rsid w:val="009715CE"/>
    <w:rsid w:val="0097162D"/>
    <w:rsid w:val="009721C4"/>
    <w:rsid w:val="009722DB"/>
    <w:rsid w:val="0097272E"/>
    <w:rsid w:val="00973B94"/>
    <w:rsid w:val="00974433"/>
    <w:rsid w:val="009745D8"/>
    <w:rsid w:val="00974683"/>
    <w:rsid w:val="00975D21"/>
    <w:rsid w:val="00976F80"/>
    <w:rsid w:val="009805F2"/>
    <w:rsid w:val="009824AB"/>
    <w:rsid w:val="00984C33"/>
    <w:rsid w:val="00984CCF"/>
    <w:rsid w:val="00986052"/>
    <w:rsid w:val="00987C74"/>
    <w:rsid w:val="00990E7B"/>
    <w:rsid w:val="009916CE"/>
    <w:rsid w:val="00991B11"/>
    <w:rsid w:val="00991C84"/>
    <w:rsid w:val="00993224"/>
    <w:rsid w:val="00994D71"/>
    <w:rsid w:val="00996C28"/>
    <w:rsid w:val="00996FA7"/>
    <w:rsid w:val="0099708E"/>
    <w:rsid w:val="009A2DA3"/>
    <w:rsid w:val="009A37EB"/>
    <w:rsid w:val="009A388E"/>
    <w:rsid w:val="009A3ADF"/>
    <w:rsid w:val="009A5C59"/>
    <w:rsid w:val="009A662A"/>
    <w:rsid w:val="009A6C03"/>
    <w:rsid w:val="009A7840"/>
    <w:rsid w:val="009A7F2E"/>
    <w:rsid w:val="009B0C1D"/>
    <w:rsid w:val="009B139B"/>
    <w:rsid w:val="009B1B7D"/>
    <w:rsid w:val="009B2E68"/>
    <w:rsid w:val="009B45ED"/>
    <w:rsid w:val="009B4C84"/>
    <w:rsid w:val="009B67E9"/>
    <w:rsid w:val="009C1A22"/>
    <w:rsid w:val="009C2C3C"/>
    <w:rsid w:val="009C60D3"/>
    <w:rsid w:val="009C6AFA"/>
    <w:rsid w:val="009C7037"/>
    <w:rsid w:val="009C727F"/>
    <w:rsid w:val="009C7943"/>
    <w:rsid w:val="009D1A5C"/>
    <w:rsid w:val="009D217B"/>
    <w:rsid w:val="009D219B"/>
    <w:rsid w:val="009D2EAC"/>
    <w:rsid w:val="009D476C"/>
    <w:rsid w:val="009D4F4F"/>
    <w:rsid w:val="009D6E1C"/>
    <w:rsid w:val="009D7945"/>
    <w:rsid w:val="009E2561"/>
    <w:rsid w:val="009E30A5"/>
    <w:rsid w:val="009E3125"/>
    <w:rsid w:val="009E3CEE"/>
    <w:rsid w:val="009E3EAC"/>
    <w:rsid w:val="009E3F63"/>
    <w:rsid w:val="009E4342"/>
    <w:rsid w:val="009E496A"/>
    <w:rsid w:val="009E61C4"/>
    <w:rsid w:val="009F03B6"/>
    <w:rsid w:val="009F0432"/>
    <w:rsid w:val="009F109B"/>
    <w:rsid w:val="009F2842"/>
    <w:rsid w:val="009F2CAA"/>
    <w:rsid w:val="009F3AB0"/>
    <w:rsid w:val="009F3CB2"/>
    <w:rsid w:val="009F482B"/>
    <w:rsid w:val="009F68F5"/>
    <w:rsid w:val="009F691A"/>
    <w:rsid w:val="00A004B0"/>
    <w:rsid w:val="00A02FC4"/>
    <w:rsid w:val="00A044DA"/>
    <w:rsid w:val="00A0487E"/>
    <w:rsid w:val="00A04E54"/>
    <w:rsid w:val="00A0554B"/>
    <w:rsid w:val="00A05A20"/>
    <w:rsid w:val="00A061EB"/>
    <w:rsid w:val="00A0698F"/>
    <w:rsid w:val="00A06D43"/>
    <w:rsid w:val="00A11849"/>
    <w:rsid w:val="00A12E53"/>
    <w:rsid w:val="00A13CF1"/>
    <w:rsid w:val="00A13DFC"/>
    <w:rsid w:val="00A14F7E"/>
    <w:rsid w:val="00A16B16"/>
    <w:rsid w:val="00A170FF"/>
    <w:rsid w:val="00A17436"/>
    <w:rsid w:val="00A203F4"/>
    <w:rsid w:val="00A20966"/>
    <w:rsid w:val="00A20ACC"/>
    <w:rsid w:val="00A23E03"/>
    <w:rsid w:val="00A23FBA"/>
    <w:rsid w:val="00A25176"/>
    <w:rsid w:val="00A269CF"/>
    <w:rsid w:val="00A32B94"/>
    <w:rsid w:val="00A32DED"/>
    <w:rsid w:val="00A33251"/>
    <w:rsid w:val="00A3541E"/>
    <w:rsid w:val="00A3627D"/>
    <w:rsid w:val="00A364A1"/>
    <w:rsid w:val="00A36649"/>
    <w:rsid w:val="00A36D32"/>
    <w:rsid w:val="00A36E5F"/>
    <w:rsid w:val="00A401BC"/>
    <w:rsid w:val="00A401BE"/>
    <w:rsid w:val="00A40F25"/>
    <w:rsid w:val="00A4115D"/>
    <w:rsid w:val="00A423A7"/>
    <w:rsid w:val="00A44263"/>
    <w:rsid w:val="00A44F7D"/>
    <w:rsid w:val="00A45DE2"/>
    <w:rsid w:val="00A47365"/>
    <w:rsid w:val="00A52E45"/>
    <w:rsid w:val="00A55D49"/>
    <w:rsid w:val="00A56A17"/>
    <w:rsid w:val="00A60FC8"/>
    <w:rsid w:val="00A61825"/>
    <w:rsid w:val="00A61A79"/>
    <w:rsid w:val="00A6235C"/>
    <w:rsid w:val="00A63606"/>
    <w:rsid w:val="00A64D76"/>
    <w:rsid w:val="00A650B3"/>
    <w:rsid w:val="00A65B8E"/>
    <w:rsid w:val="00A65B9D"/>
    <w:rsid w:val="00A66062"/>
    <w:rsid w:val="00A66317"/>
    <w:rsid w:val="00A66E9E"/>
    <w:rsid w:val="00A7006C"/>
    <w:rsid w:val="00A70103"/>
    <w:rsid w:val="00A70C5A"/>
    <w:rsid w:val="00A710F1"/>
    <w:rsid w:val="00A71D3F"/>
    <w:rsid w:val="00A71FF1"/>
    <w:rsid w:val="00A7213D"/>
    <w:rsid w:val="00A7339D"/>
    <w:rsid w:val="00A74BBA"/>
    <w:rsid w:val="00A74C3A"/>
    <w:rsid w:val="00A75000"/>
    <w:rsid w:val="00A76386"/>
    <w:rsid w:val="00A76D46"/>
    <w:rsid w:val="00A7781C"/>
    <w:rsid w:val="00A812B5"/>
    <w:rsid w:val="00A842C1"/>
    <w:rsid w:val="00A84F3D"/>
    <w:rsid w:val="00A86DA7"/>
    <w:rsid w:val="00A901AA"/>
    <w:rsid w:val="00A90870"/>
    <w:rsid w:val="00A91DC0"/>
    <w:rsid w:val="00A91E49"/>
    <w:rsid w:val="00A9205A"/>
    <w:rsid w:val="00AA0FE4"/>
    <w:rsid w:val="00AA10CE"/>
    <w:rsid w:val="00AA2A57"/>
    <w:rsid w:val="00AA3E9B"/>
    <w:rsid w:val="00AA5738"/>
    <w:rsid w:val="00AA6191"/>
    <w:rsid w:val="00AA632B"/>
    <w:rsid w:val="00AA6486"/>
    <w:rsid w:val="00AA65EF"/>
    <w:rsid w:val="00AB09A7"/>
    <w:rsid w:val="00AB0EF6"/>
    <w:rsid w:val="00AB0FBF"/>
    <w:rsid w:val="00AB1853"/>
    <w:rsid w:val="00AB2912"/>
    <w:rsid w:val="00AB2F5D"/>
    <w:rsid w:val="00AB2FF1"/>
    <w:rsid w:val="00AB508A"/>
    <w:rsid w:val="00AB55FE"/>
    <w:rsid w:val="00AB5A9E"/>
    <w:rsid w:val="00AB5B65"/>
    <w:rsid w:val="00AB6850"/>
    <w:rsid w:val="00AC0C82"/>
    <w:rsid w:val="00AC1513"/>
    <w:rsid w:val="00AC18D7"/>
    <w:rsid w:val="00AC2611"/>
    <w:rsid w:val="00AC2635"/>
    <w:rsid w:val="00AC2BF4"/>
    <w:rsid w:val="00AC2E6A"/>
    <w:rsid w:val="00AC339A"/>
    <w:rsid w:val="00AC3E12"/>
    <w:rsid w:val="00AC4AFB"/>
    <w:rsid w:val="00AC727B"/>
    <w:rsid w:val="00AC7DFA"/>
    <w:rsid w:val="00AD01B1"/>
    <w:rsid w:val="00AD05A6"/>
    <w:rsid w:val="00AD1F5E"/>
    <w:rsid w:val="00AD3252"/>
    <w:rsid w:val="00AD4116"/>
    <w:rsid w:val="00AD436F"/>
    <w:rsid w:val="00AD476B"/>
    <w:rsid w:val="00AD50D3"/>
    <w:rsid w:val="00AD5368"/>
    <w:rsid w:val="00AD6A31"/>
    <w:rsid w:val="00AE0B43"/>
    <w:rsid w:val="00AE0C7A"/>
    <w:rsid w:val="00AE0F77"/>
    <w:rsid w:val="00AE1EFF"/>
    <w:rsid w:val="00AE2657"/>
    <w:rsid w:val="00AE2F6B"/>
    <w:rsid w:val="00AE4385"/>
    <w:rsid w:val="00AE4758"/>
    <w:rsid w:val="00AE4C5E"/>
    <w:rsid w:val="00AE52B8"/>
    <w:rsid w:val="00AE66E2"/>
    <w:rsid w:val="00AE7125"/>
    <w:rsid w:val="00AE7BCB"/>
    <w:rsid w:val="00AE7C72"/>
    <w:rsid w:val="00AF0726"/>
    <w:rsid w:val="00AF0CAF"/>
    <w:rsid w:val="00AF24B2"/>
    <w:rsid w:val="00AF359E"/>
    <w:rsid w:val="00AF529C"/>
    <w:rsid w:val="00AF5345"/>
    <w:rsid w:val="00AF5B03"/>
    <w:rsid w:val="00AF5EB2"/>
    <w:rsid w:val="00AF60B7"/>
    <w:rsid w:val="00B00247"/>
    <w:rsid w:val="00B00F06"/>
    <w:rsid w:val="00B0144E"/>
    <w:rsid w:val="00B01528"/>
    <w:rsid w:val="00B01F41"/>
    <w:rsid w:val="00B03791"/>
    <w:rsid w:val="00B047F1"/>
    <w:rsid w:val="00B051CC"/>
    <w:rsid w:val="00B072C8"/>
    <w:rsid w:val="00B07419"/>
    <w:rsid w:val="00B07443"/>
    <w:rsid w:val="00B07E1B"/>
    <w:rsid w:val="00B104E2"/>
    <w:rsid w:val="00B10566"/>
    <w:rsid w:val="00B10C9A"/>
    <w:rsid w:val="00B125BD"/>
    <w:rsid w:val="00B129F4"/>
    <w:rsid w:val="00B13092"/>
    <w:rsid w:val="00B13461"/>
    <w:rsid w:val="00B14A4A"/>
    <w:rsid w:val="00B15E45"/>
    <w:rsid w:val="00B166A5"/>
    <w:rsid w:val="00B17FF8"/>
    <w:rsid w:val="00B20DA5"/>
    <w:rsid w:val="00B21DE7"/>
    <w:rsid w:val="00B227E7"/>
    <w:rsid w:val="00B22D3D"/>
    <w:rsid w:val="00B22D55"/>
    <w:rsid w:val="00B235F7"/>
    <w:rsid w:val="00B23DC8"/>
    <w:rsid w:val="00B240D0"/>
    <w:rsid w:val="00B242B8"/>
    <w:rsid w:val="00B244A4"/>
    <w:rsid w:val="00B24831"/>
    <w:rsid w:val="00B25161"/>
    <w:rsid w:val="00B2522A"/>
    <w:rsid w:val="00B254D8"/>
    <w:rsid w:val="00B265A5"/>
    <w:rsid w:val="00B278F0"/>
    <w:rsid w:val="00B27D06"/>
    <w:rsid w:val="00B30840"/>
    <w:rsid w:val="00B30A72"/>
    <w:rsid w:val="00B30CF7"/>
    <w:rsid w:val="00B30F3E"/>
    <w:rsid w:val="00B315A2"/>
    <w:rsid w:val="00B3280B"/>
    <w:rsid w:val="00B3280D"/>
    <w:rsid w:val="00B33A63"/>
    <w:rsid w:val="00B33CA8"/>
    <w:rsid w:val="00B344AB"/>
    <w:rsid w:val="00B34570"/>
    <w:rsid w:val="00B3482E"/>
    <w:rsid w:val="00B35203"/>
    <w:rsid w:val="00B35471"/>
    <w:rsid w:val="00B35F22"/>
    <w:rsid w:val="00B365C9"/>
    <w:rsid w:val="00B36D6F"/>
    <w:rsid w:val="00B40113"/>
    <w:rsid w:val="00B4098B"/>
    <w:rsid w:val="00B40C28"/>
    <w:rsid w:val="00B412E1"/>
    <w:rsid w:val="00B43090"/>
    <w:rsid w:val="00B43BAA"/>
    <w:rsid w:val="00B444F7"/>
    <w:rsid w:val="00B46F5D"/>
    <w:rsid w:val="00B474D4"/>
    <w:rsid w:val="00B510D1"/>
    <w:rsid w:val="00B516F4"/>
    <w:rsid w:val="00B52014"/>
    <w:rsid w:val="00B521B2"/>
    <w:rsid w:val="00B527C6"/>
    <w:rsid w:val="00B53695"/>
    <w:rsid w:val="00B5371C"/>
    <w:rsid w:val="00B55B2A"/>
    <w:rsid w:val="00B56122"/>
    <w:rsid w:val="00B6021A"/>
    <w:rsid w:val="00B60672"/>
    <w:rsid w:val="00B61CD8"/>
    <w:rsid w:val="00B61DDE"/>
    <w:rsid w:val="00B62892"/>
    <w:rsid w:val="00B63267"/>
    <w:rsid w:val="00B63F07"/>
    <w:rsid w:val="00B64FD7"/>
    <w:rsid w:val="00B650D8"/>
    <w:rsid w:val="00B65F7E"/>
    <w:rsid w:val="00B65FD9"/>
    <w:rsid w:val="00B6634F"/>
    <w:rsid w:val="00B67CFA"/>
    <w:rsid w:val="00B67FDC"/>
    <w:rsid w:val="00B708CF"/>
    <w:rsid w:val="00B71697"/>
    <w:rsid w:val="00B71781"/>
    <w:rsid w:val="00B72045"/>
    <w:rsid w:val="00B7222E"/>
    <w:rsid w:val="00B72317"/>
    <w:rsid w:val="00B7336C"/>
    <w:rsid w:val="00B734C2"/>
    <w:rsid w:val="00B7548C"/>
    <w:rsid w:val="00B75C22"/>
    <w:rsid w:val="00B76A41"/>
    <w:rsid w:val="00B76B88"/>
    <w:rsid w:val="00B76C6A"/>
    <w:rsid w:val="00B77794"/>
    <w:rsid w:val="00B80677"/>
    <w:rsid w:val="00B81ABF"/>
    <w:rsid w:val="00B81F11"/>
    <w:rsid w:val="00B82437"/>
    <w:rsid w:val="00B829A8"/>
    <w:rsid w:val="00B829B3"/>
    <w:rsid w:val="00B83749"/>
    <w:rsid w:val="00B8560B"/>
    <w:rsid w:val="00B860F7"/>
    <w:rsid w:val="00B86579"/>
    <w:rsid w:val="00B87617"/>
    <w:rsid w:val="00B912EC"/>
    <w:rsid w:val="00B9203C"/>
    <w:rsid w:val="00B925FF"/>
    <w:rsid w:val="00B92684"/>
    <w:rsid w:val="00B92B8C"/>
    <w:rsid w:val="00B93167"/>
    <w:rsid w:val="00B935E2"/>
    <w:rsid w:val="00B94198"/>
    <w:rsid w:val="00B95065"/>
    <w:rsid w:val="00B96704"/>
    <w:rsid w:val="00B96E93"/>
    <w:rsid w:val="00B971AE"/>
    <w:rsid w:val="00B97AE8"/>
    <w:rsid w:val="00BA0BDC"/>
    <w:rsid w:val="00BA15B3"/>
    <w:rsid w:val="00BA2289"/>
    <w:rsid w:val="00BA3745"/>
    <w:rsid w:val="00BA424D"/>
    <w:rsid w:val="00BA4E36"/>
    <w:rsid w:val="00BA54BC"/>
    <w:rsid w:val="00BA7F6E"/>
    <w:rsid w:val="00BB01C4"/>
    <w:rsid w:val="00BB1DDF"/>
    <w:rsid w:val="00BB1F05"/>
    <w:rsid w:val="00BB3981"/>
    <w:rsid w:val="00BB4665"/>
    <w:rsid w:val="00BB4718"/>
    <w:rsid w:val="00BB4A4E"/>
    <w:rsid w:val="00BC1CC8"/>
    <w:rsid w:val="00BC2CE3"/>
    <w:rsid w:val="00BC2D7C"/>
    <w:rsid w:val="00BC2F8D"/>
    <w:rsid w:val="00BC47BA"/>
    <w:rsid w:val="00BC5ABC"/>
    <w:rsid w:val="00BC6124"/>
    <w:rsid w:val="00BC6EDF"/>
    <w:rsid w:val="00BC76D0"/>
    <w:rsid w:val="00BC7AB0"/>
    <w:rsid w:val="00BD15DC"/>
    <w:rsid w:val="00BD2737"/>
    <w:rsid w:val="00BD3529"/>
    <w:rsid w:val="00BD3EE5"/>
    <w:rsid w:val="00BD5207"/>
    <w:rsid w:val="00BD6AE2"/>
    <w:rsid w:val="00BD7095"/>
    <w:rsid w:val="00BD7476"/>
    <w:rsid w:val="00BE134F"/>
    <w:rsid w:val="00BE1890"/>
    <w:rsid w:val="00BE20FD"/>
    <w:rsid w:val="00BE3538"/>
    <w:rsid w:val="00BE4EA8"/>
    <w:rsid w:val="00BE56ED"/>
    <w:rsid w:val="00BE67E4"/>
    <w:rsid w:val="00BE6806"/>
    <w:rsid w:val="00BE77A5"/>
    <w:rsid w:val="00BF158F"/>
    <w:rsid w:val="00BF1A98"/>
    <w:rsid w:val="00BF2576"/>
    <w:rsid w:val="00BF279A"/>
    <w:rsid w:val="00BF4913"/>
    <w:rsid w:val="00BF4D19"/>
    <w:rsid w:val="00BF5106"/>
    <w:rsid w:val="00BF56BC"/>
    <w:rsid w:val="00BF583E"/>
    <w:rsid w:val="00BF5D19"/>
    <w:rsid w:val="00BF5DF9"/>
    <w:rsid w:val="00BF65B9"/>
    <w:rsid w:val="00BF73FF"/>
    <w:rsid w:val="00C0043D"/>
    <w:rsid w:val="00C02D13"/>
    <w:rsid w:val="00C032E9"/>
    <w:rsid w:val="00C03950"/>
    <w:rsid w:val="00C04AEB"/>
    <w:rsid w:val="00C04E50"/>
    <w:rsid w:val="00C053AA"/>
    <w:rsid w:val="00C05572"/>
    <w:rsid w:val="00C10CA2"/>
    <w:rsid w:val="00C1154C"/>
    <w:rsid w:val="00C11B59"/>
    <w:rsid w:val="00C11CA8"/>
    <w:rsid w:val="00C1301B"/>
    <w:rsid w:val="00C14AED"/>
    <w:rsid w:val="00C1521B"/>
    <w:rsid w:val="00C1561D"/>
    <w:rsid w:val="00C1565F"/>
    <w:rsid w:val="00C1638D"/>
    <w:rsid w:val="00C17B97"/>
    <w:rsid w:val="00C20338"/>
    <w:rsid w:val="00C20F02"/>
    <w:rsid w:val="00C2114D"/>
    <w:rsid w:val="00C21D67"/>
    <w:rsid w:val="00C231F2"/>
    <w:rsid w:val="00C2442E"/>
    <w:rsid w:val="00C24B34"/>
    <w:rsid w:val="00C26ABE"/>
    <w:rsid w:val="00C276B1"/>
    <w:rsid w:val="00C32C1F"/>
    <w:rsid w:val="00C343BD"/>
    <w:rsid w:val="00C3561A"/>
    <w:rsid w:val="00C36730"/>
    <w:rsid w:val="00C370EE"/>
    <w:rsid w:val="00C374D4"/>
    <w:rsid w:val="00C401B2"/>
    <w:rsid w:val="00C4141D"/>
    <w:rsid w:val="00C432E7"/>
    <w:rsid w:val="00C436CE"/>
    <w:rsid w:val="00C437B1"/>
    <w:rsid w:val="00C455E2"/>
    <w:rsid w:val="00C45AAA"/>
    <w:rsid w:val="00C4609B"/>
    <w:rsid w:val="00C46721"/>
    <w:rsid w:val="00C46EC8"/>
    <w:rsid w:val="00C505B3"/>
    <w:rsid w:val="00C529FD"/>
    <w:rsid w:val="00C52FF7"/>
    <w:rsid w:val="00C536FD"/>
    <w:rsid w:val="00C5413F"/>
    <w:rsid w:val="00C54450"/>
    <w:rsid w:val="00C546FF"/>
    <w:rsid w:val="00C54B84"/>
    <w:rsid w:val="00C54C86"/>
    <w:rsid w:val="00C5543F"/>
    <w:rsid w:val="00C56178"/>
    <w:rsid w:val="00C56687"/>
    <w:rsid w:val="00C56F97"/>
    <w:rsid w:val="00C57124"/>
    <w:rsid w:val="00C577A9"/>
    <w:rsid w:val="00C604D6"/>
    <w:rsid w:val="00C62367"/>
    <w:rsid w:val="00C64814"/>
    <w:rsid w:val="00C6528C"/>
    <w:rsid w:val="00C6653B"/>
    <w:rsid w:val="00C674B4"/>
    <w:rsid w:val="00C70197"/>
    <w:rsid w:val="00C717FC"/>
    <w:rsid w:val="00C723B7"/>
    <w:rsid w:val="00C72455"/>
    <w:rsid w:val="00C7306D"/>
    <w:rsid w:val="00C74392"/>
    <w:rsid w:val="00C74422"/>
    <w:rsid w:val="00C75800"/>
    <w:rsid w:val="00C75948"/>
    <w:rsid w:val="00C7655C"/>
    <w:rsid w:val="00C76D3F"/>
    <w:rsid w:val="00C776F7"/>
    <w:rsid w:val="00C77828"/>
    <w:rsid w:val="00C77AA2"/>
    <w:rsid w:val="00C80D62"/>
    <w:rsid w:val="00C81292"/>
    <w:rsid w:val="00C82C39"/>
    <w:rsid w:val="00C8337E"/>
    <w:rsid w:val="00C83CDE"/>
    <w:rsid w:val="00C83E21"/>
    <w:rsid w:val="00C84F3F"/>
    <w:rsid w:val="00C85AA7"/>
    <w:rsid w:val="00C85EEF"/>
    <w:rsid w:val="00C8624C"/>
    <w:rsid w:val="00C92B2B"/>
    <w:rsid w:val="00C9334E"/>
    <w:rsid w:val="00C93F32"/>
    <w:rsid w:val="00C94775"/>
    <w:rsid w:val="00C947A9"/>
    <w:rsid w:val="00C94D3F"/>
    <w:rsid w:val="00C95D73"/>
    <w:rsid w:val="00C96A92"/>
    <w:rsid w:val="00C96E31"/>
    <w:rsid w:val="00C97A89"/>
    <w:rsid w:val="00CA2619"/>
    <w:rsid w:val="00CA2AB4"/>
    <w:rsid w:val="00CA34D1"/>
    <w:rsid w:val="00CA4265"/>
    <w:rsid w:val="00CA4575"/>
    <w:rsid w:val="00CA45DC"/>
    <w:rsid w:val="00CA492E"/>
    <w:rsid w:val="00CA4C09"/>
    <w:rsid w:val="00CA4FA9"/>
    <w:rsid w:val="00CA6166"/>
    <w:rsid w:val="00CA633A"/>
    <w:rsid w:val="00CA6A3D"/>
    <w:rsid w:val="00CA6DEF"/>
    <w:rsid w:val="00CA74CA"/>
    <w:rsid w:val="00CA765A"/>
    <w:rsid w:val="00CB072D"/>
    <w:rsid w:val="00CB09A1"/>
    <w:rsid w:val="00CB146D"/>
    <w:rsid w:val="00CB2E28"/>
    <w:rsid w:val="00CB3355"/>
    <w:rsid w:val="00CB38CA"/>
    <w:rsid w:val="00CB3F35"/>
    <w:rsid w:val="00CB4D1B"/>
    <w:rsid w:val="00CB5011"/>
    <w:rsid w:val="00CB69CF"/>
    <w:rsid w:val="00CB79A7"/>
    <w:rsid w:val="00CC02E1"/>
    <w:rsid w:val="00CC0CBD"/>
    <w:rsid w:val="00CC1780"/>
    <w:rsid w:val="00CC48D3"/>
    <w:rsid w:val="00CC4A07"/>
    <w:rsid w:val="00CC4E9E"/>
    <w:rsid w:val="00CC4F1D"/>
    <w:rsid w:val="00CC5D86"/>
    <w:rsid w:val="00CC69B3"/>
    <w:rsid w:val="00CC6E1E"/>
    <w:rsid w:val="00CC7338"/>
    <w:rsid w:val="00CC7B2B"/>
    <w:rsid w:val="00CC7BDF"/>
    <w:rsid w:val="00CD2317"/>
    <w:rsid w:val="00CD262F"/>
    <w:rsid w:val="00CD308A"/>
    <w:rsid w:val="00CD4895"/>
    <w:rsid w:val="00CD4BD8"/>
    <w:rsid w:val="00CD54B2"/>
    <w:rsid w:val="00CD5E69"/>
    <w:rsid w:val="00CD60FC"/>
    <w:rsid w:val="00CD671E"/>
    <w:rsid w:val="00CD683F"/>
    <w:rsid w:val="00CD6B90"/>
    <w:rsid w:val="00CD6DFA"/>
    <w:rsid w:val="00CD7969"/>
    <w:rsid w:val="00CD7ACC"/>
    <w:rsid w:val="00CE1E5E"/>
    <w:rsid w:val="00CE202C"/>
    <w:rsid w:val="00CE2FD3"/>
    <w:rsid w:val="00CE33E8"/>
    <w:rsid w:val="00CE3821"/>
    <w:rsid w:val="00CE4584"/>
    <w:rsid w:val="00CE5CEA"/>
    <w:rsid w:val="00CE688C"/>
    <w:rsid w:val="00CE6911"/>
    <w:rsid w:val="00CE71E5"/>
    <w:rsid w:val="00CF1C62"/>
    <w:rsid w:val="00CF3994"/>
    <w:rsid w:val="00CF3C1D"/>
    <w:rsid w:val="00CF51F2"/>
    <w:rsid w:val="00CF540D"/>
    <w:rsid w:val="00CF6E6C"/>
    <w:rsid w:val="00CF77DC"/>
    <w:rsid w:val="00CF7D0F"/>
    <w:rsid w:val="00D0086F"/>
    <w:rsid w:val="00D01B22"/>
    <w:rsid w:val="00D01B5A"/>
    <w:rsid w:val="00D02682"/>
    <w:rsid w:val="00D03E15"/>
    <w:rsid w:val="00D0444F"/>
    <w:rsid w:val="00D045EE"/>
    <w:rsid w:val="00D046E3"/>
    <w:rsid w:val="00D04C48"/>
    <w:rsid w:val="00D05C60"/>
    <w:rsid w:val="00D05EF1"/>
    <w:rsid w:val="00D0603C"/>
    <w:rsid w:val="00D061F7"/>
    <w:rsid w:val="00D06F63"/>
    <w:rsid w:val="00D07635"/>
    <w:rsid w:val="00D07DF0"/>
    <w:rsid w:val="00D10C37"/>
    <w:rsid w:val="00D10FBB"/>
    <w:rsid w:val="00D114FD"/>
    <w:rsid w:val="00D13147"/>
    <w:rsid w:val="00D14818"/>
    <w:rsid w:val="00D15111"/>
    <w:rsid w:val="00D167ED"/>
    <w:rsid w:val="00D1701F"/>
    <w:rsid w:val="00D17072"/>
    <w:rsid w:val="00D20341"/>
    <w:rsid w:val="00D20C23"/>
    <w:rsid w:val="00D216D3"/>
    <w:rsid w:val="00D21751"/>
    <w:rsid w:val="00D21D42"/>
    <w:rsid w:val="00D21F6E"/>
    <w:rsid w:val="00D22310"/>
    <w:rsid w:val="00D225B2"/>
    <w:rsid w:val="00D227B8"/>
    <w:rsid w:val="00D22CFE"/>
    <w:rsid w:val="00D23A72"/>
    <w:rsid w:val="00D23AB2"/>
    <w:rsid w:val="00D24C4C"/>
    <w:rsid w:val="00D24EBB"/>
    <w:rsid w:val="00D258D8"/>
    <w:rsid w:val="00D26331"/>
    <w:rsid w:val="00D2652D"/>
    <w:rsid w:val="00D27104"/>
    <w:rsid w:val="00D27A96"/>
    <w:rsid w:val="00D301D2"/>
    <w:rsid w:val="00D309D7"/>
    <w:rsid w:val="00D309DD"/>
    <w:rsid w:val="00D30CEF"/>
    <w:rsid w:val="00D31112"/>
    <w:rsid w:val="00D31C1B"/>
    <w:rsid w:val="00D33A1A"/>
    <w:rsid w:val="00D34424"/>
    <w:rsid w:val="00D34464"/>
    <w:rsid w:val="00D353A8"/>
    <w:rsid w:val="00D35863"/>
    <w:rsid w:val="00D35969"/>
    <w:rsid w:val="00D40E17"/>
    <w:rsid w:val="00D41085"/>
    <w:rsid w:val="00D413C5"/>
    <w:rsid w:val="00D42242"/>
    <w:rsid w:val="00D45208"/>
    <w:rsid w:val="00D45568"/>
    <w:rsid w:val="00D46F84"/>
    <w:rsid w:val="00D51C6E"/>
    <w:rsid w:val="00D51D87"/>
    <w:rsid w:val="00D5279A"/>
    <w:rsid w:val="00D52E7C"/>
    <w:rsid w:val="00D53CE2"/>
    <w:rsid w:val="00D542CC"/>
    <w:rsid w:val="00D543F3"/>
    <w:rsid w:val="00D55290"/>
    <w:rsid w:val="00D55ECF"/>
    <w:rsid w:val="00D60322"/>
    <w:rsid w:val="00D609E5"/>
    <w:rsid w:val="00D62905"/>
    <w:rsid w:val="00D636FC"/>
    <w:rsid w:val="00D640C7"/>
    <w:rsid w:val="00D643C3"/>
    <w:rsid w:val="00D65178"/>
    <w:rsid w:val="00D651BC"/>
    <w:rsid w:val="00D66971"/>
    <w:rsid w:val="00D708B7"/>
    <w:rsid w:val="00D7296B"/>
    <w:rsid w:val="00D755A7"/>
    <w:rsid w:val="00D77B37"/>
    <w:rsid w:val="00D80173"/>
    <w:rsid w:val="00D8099A"/>
    <w:rsid w:val="00D81444"/>
    <w:rsid w:val="00D816A0"/>
    <w:rsid w:val="00D81D4D"/>
    <w:rsid w:val="00D823A9"/>
    <w:rsid w:val="00D83FB6"/>
    <w:rsid w:val="00D870A5"/>
    <w:rsid w:val="00D90217"/>
    <w:rsid w:val="00D911E4"/>
    <w:rsid w:val="00D91F7D"/>
    <w:rsid w:val="00D95224"/>
    <w:rsid w:val="00D95989"/>
    <w:rsid w:val="00D96184"/>
    <w:rsid w:val="00D9694C"/>
    <w:rsid w:val="00D96B0A"/>
    <w:rsid w:val="00D96C89"/>
    <w:rsid w:val="00D97320"/>
    <w:rsid w:val="00D978C1"/>
    <w:rsid w:val="00D97FE7"/>
    <w:rsid w:val="00DA2926"/>
    <w:rsid w:val="00DA52E8"/>
    <w:rsid w:val="00DA54E1"/>
    <w:rsid w:val="00DA6836"/>
    <w:rsid w:val="00DB09B1"/>
    <w:rsid w:val="00DB22C3"/>
    <w:rsid w:val="00DB32CD"/>
    <w:rsid w:val="00DB56F6"/>
    <w:rsid w:val="00DC2A0C"/>
    <w:rsid w:val="00DC3FF0"/>
    <w:rsid w:val="00DC4FC6"/>
    <w:rsid w:val="00DC511D"/>
    <w:rsid w:val="00DC54A4"/>
    <w:rsid w:val="00DC61A1"/>
    <w:rsid w:val="00DC6DC9"/>
    <w:rsid w:val="00DD2C65"/>
    <w:rsid w:val="00DD491D"/>
    <w:rsid w:val="00DD4DEC"/>
    <w:rsid w:val="00DD593A"/>
    <w:rsid w:val="00DD7BB6"/>
    <w:rsid w:val="00DE1FE9"/>
    <w:rsid w:val="00DE2B1F"/>
    <w:rsid w:val="00DE5012"/>
    <w:rsid w:val="00DE5673"/>
    <w:rsid w:val="00DE591C"/>
    <w:rsid w:val="00DE6020"/>
    <w:rsid w:val="00DE68E0"/>
    <w:rsid w:val="00DE6AEA"/>
    <w:rsid w:val="00DF0616"/>
    <w:rsid w:val="00DF20F8"/>
    <w:rsid w:val="00DF274C"/>
    <w:rsid w:val="00DF2811"/>
    <w:rsid w:val="00DF3C21"/>
    <w:rsid w:val="00DF6487"/>
    <w:rsid w:val="00DF6745"/>
    <w:rsid w:val="00DF6C32"/>
    <w:rsid w:val="00E00E1C"/>
    <w:rsid w:val="00E00E5A"/>
    <w:rsid w:val="00E0144B"/>
    <w:rsid w:val="00E0203D"/>
    <w:rsid w:val="00E03F63"/>
    <w:rsid w:val="00E04BEC"/>
    <w:rsid w:val="00E0503D"/>
    <w:rsid w:val="00E06001"/>
    <w:rsid w:val="00E07CA5"/>
    <w:rsid w:val="00E102BB"/>
    <w:rsid w:val="00E118ED"/>
    <w:rsid w:val="00E11FDC"/>
    <w:rsid w:val="00E12040"/>
    <w:rsid w:val="00E126E0"/>
    <w:rsid w:val="00E13656"/>
    <w:rsid w:val="00E149F7"/>
    <w:rsid w:val="00E1579E"/>
    <w:rsid w:val="00E16227"/>
    <w:rsid w:val="00E1655E"/>
    <w:rsid w:val="00E17D68"/>
    <w:rsid w:val="00E20F92"/>
    <w:rsid w:val="00E219A1"/>
    <w:rsid w:val="00E21DED"/>
    <w:rsid w:val="00E22DF8"/>
    <w:rsid w:val="00E22F11"/>
    <w:rsid w:val="00E23016"/>
    <w:rsid w:val="00E252A6"/>
    <w:rsid w:val="00E25FA6"/>
    <w:rsid w:val="00E263F2"/>
    <w:rsid w:val="00E26576"/>
    <w:rsid w:val="00E267F3"/>
    <w:rsid w:val="00E27E4C"/>
    <w:rsid w:val="00E301EE"/>
    <w:rsid w:val="00E30818"/>
    <w:rsid w:val="00E3140B"/>
    <w:rsid w:val="00E34AAD"/>
    <w:rsid w:val="00E359D0"/>
    <w:rsid w:val="00E36560"/>
    <w:rsid w:val="00E36BE2"/>
    <w:rsid w:val="00E36EB6"/>
    <w:rsid w:val="00E3755B"/>
    <w:rsid w:val="00E3783A"/>
    <w:rsid w:val="00E37CC9"/>
    <w:rsid w:val="00E37F40"/>
    <w:rsid w:val="00E408AE"/>
    <w:rsid w:val="00E411A2"/>
    <w:rsid w:val="00E4132C"/>
    <w:rsid w:val="00E4169D"/>
    <w:rsid w:val="00E42270"/>
    <w:rsid w:val="00E426BC"/>
    <w:rsid w:val="00E43930"/>
    <w:rsid w:val="00E43CF7"/>
    <w:rsid w:val="00E43E25"/>
    <w:rsid w:val="00E440AE"/>
    <w:rsid w:val="00E44E3C"/>
    <w:rsid w:val="00E45037"/>
    <w:rsid w:val="00E45CD7"/>
    <w:rsid w:val="00E46192"/>
    <w:rsid w:val="00E46DBD"/>
    <w:rsid w:val="00E4759B"/>
    <w:rsid w:val="00E47878"/>
    <w:rsid w:val="00E5027B"/>
    <w:rsid w:val="00E50B8E"/>
    <w:rsid w:val="00E50D3A"/>
    <w:rsid w:val="00E5197D"/>
    <w:rsid w:val="00E51EAC"/>
    <w:rsid w:val="00E5230C"/>
    <w:rsid w:val="00E52BE0"/>
    <w:rsid w:val="00E544CF"/>
    <w:rsid w:val="00E5485A"/>
    <w:rsid w:val="00E54B85"/>
    <w:rsid w:val="00E562B4"/>
    <w:rsid w:val="00E568E1"/>
    <w:rsid w:val="00E572F8"/>
    <w:rsid w:val="00E574FC"/>
    <w:rsid w:val="00E57DBF"/>
    <w:rsid w:val="00E601BD"/>
    <w:rsid w:val="00E60629"/>
    <w:rsid w:val="00E60695"/>
    <w:rsid w:val="00E60BF0"/>
    <w:rsid w:val="00E61043"/>
    <w:rsid w:val="00E61CF3"/>
    <w:rsid w:val="00E61E4D"/>
    <w:rsid w:val="00E6242D"/>
    <w:rsid w:val="00E6300E"/>
    <w:rsid w:val="00E63B5E"/>
    <w:rsid w:val="00E63E75"/>
    <w:rsid w:val="00E64A0B"/>
    <w:rsid w:val="00E6515F"/>
    <w:rsid w:val="00E65AAE"/>
    <w:rsid w:val="00E65BF2"/>
    <w:rsid w:val="00E672C7"/>
    <w:rsid w:val="00E678EA"/>
    <w:rsid w:val="00E71531"/>
    <w:rsid w:val="00E71887"/>
    <w:rsid w:val="00E72C10"/>
    <w:rsid w:val="00E72DD0"/>
    <w:rsid w:val="00E73406"/>
    <w:rsid w:val="00E73ABB"/>
    <w:rsid w:val="00E75B91"/>
    <w:rsid w:val="00E7625C"/>
    <w:rsid w:val="00E76BC5"/>
    <w:rsid w:val="00E772DB"/>
    <w:rsid w:val="00E7781F"/>
    <w:rsid w:val="00E81782"/>
    <w:rsid w:val="00E824FD"/>
    <w:rsid w:val="00E83879"/>
    <w:rsid w:val="00E83CDE"/>
    <w:rsid w:val="00E8596C"/>
    <w:rsid w:val="00E865C0"/>
    <w:rsid w:val="00E900AF"/>
    <w:rsid w:val="00E91B8E"/>
    <w:rsid w:val="00E91CC1"/>
    <w:rsid w:val="00E927ED"/>
    <w:rsid w:val="00E94B2E"/>
    <w:rsid w:val="00E94FC2"/>
    <w:rsid w:val="00E95659"/>
    <w:rsid w:val="00E95716"/>
    <w:rsid w:val="00E95C92"/>
    <w:rsid w:val="00E96CD1"/>
    <w:rsid w:val="00E97CC8"/>
    <w:rsid w:val="00EA00D6"/>
    <w:rsid w:val="00EA1430"/>
    <w:rsid w:val="00EA3C71"/>
    <w:rsid w:val="00EA5674"/>
    <w:rsid w:val="00EA5DD7"/>
    <w:rsid w:val="00EA74BF"/>
    <w:rsid w:val="00EB0134"/>
    <w:rsid w:val="00EB116F"/>
    <w:rsid w:val="00EB14C9"/>
    <w:rsid w:val="00EB1CAB"/>
    <w:rsid w:val="00EB1D29"/>
    <w:rsid w:val="00EB1D6E"/>
    <w:rsid w:val="00EB20D1"/>
    <w:rsid w:val="00EB2C5F"/>
    <w:rsid w:val="00EB2CB1"/>
    <w:rsid w:val="00EB33E2"/>
    <w:rsid w:val="00EB4FDD"/>
    <w:rsid w:val="00EB53B7"/>
    <w:rsid w:val="00EB5AFB"/>
    <w:rsid w:val="00EB6973"/>
    <w:rsid w:val="00EB7589"/>
    <w:rsid w:val="00EB76A8"/>
    <w:rsid w:val="00EC1E91"/>
    <w:rsid w:val="00EC2337"/>
    <w:rsid w:val="00EC2C32"/>
    <w:rsid w:val="00EC380D"/>
    <w:rsid w:val="00EC3A18"/>
    <w:rsid w:val="00EC5217"/>
    <w:rsid w:val="00EC55CB"/>
    <w:rsid w:val="00EC5C09"/>
    <w:rsid w:val="00EC5F76"/>
    <w:rsid w:val="00EC7638"/>
    <w:rsid w:val="00EC76A2"/>
    <w:rsid w:val="00ED073D"/>
    <w:rsid w:val="00ED0CFD"/>
    <w:rsid w:val="00ED0ED7"/>
    <w:rsid w:val="00ED1C0B"/>
    <w:rsid w:val="00ED26C2"/>
    <w:rsid w:val="00ED3457"/>
    <w:rsid w:val="00ED4B85"/>
    <w:rsid w:val="00ED61B1"/>
    <w:rsid w:val="00ED6F5A"/>
    <w:rsid w:val="00EE1C11"/>
    <w:rsid w:val="00EE38DB"/>
    <w:rsid w:val="00EE45A7"/>
    <w:rsid w:val="00EE622A"/>
    <w:rsid w:val="00EE6DB9"/>
    <w:rsid w:val="00EF21E1"/>
    <w:rsid w:val="00EF33FC"/>
    <w:rsid w:val="00EF462D"/>
    <w:rsid w:val="00EF4908"/>
    <w:rsid w:val="00EF5B96"/>
    <w:rsid w:val="00EF67C4"/>
    <w:rsid w:val="00EF7BCC"/>
    <w:rsid w:val="00F00618"/>
    <w:rsid w:val="00F01976"/>
    <w:rsid w:val="00F01ED5"/>
    <w:rsid w:val="00F04B70"/>
    <w:rsid w:val="00F06916"/>
    <w:rsid w:val="00F06C54"/>
    <w:rsid w:val="00F07D74"/>
    <w:rsid w:val="00F1028E"/>
    <w:rsid w:val="00F11576"/>
    <w:rsid w:val="00F115AA"/>
    <w:rsid w:val="00F117D2"/>
    <w:rsid w:val="00F12BB1"/>
    <w:rsid w:val="00F12BCE"/>
    <w:rsid w:val="00F12C17"/>
    <w:rsid w:val="00F13FAF"/>
    <w:rsid w:val="00F15DF9"/>
    <w:rsid w:val="00F16B41"/>
    <w:rsid w:val="00F17700"/>
    <w:rsid w:val="00F214DB"/>
    <w:rsid w:val="00F22502"/>
    <w:rsid w:val="00F22E70"/>
    <w:rsid w:val="00F2429D"/>
    <w:rsid w:val="00F24571"/>
    <w:rsid w:val="00F245C8"/>
    <w:rsid w:val="00F275D7"/>
    <w:rsid w:val="00F27C3C"/>
    <w:rsid w:val="00F306F9"/>
    <w:rsid w:val="00F30A0D"/>
    <w:rsid w:val="00F320EE"/>
    <w:rsid w:val="00F33B5B"/>
    <w:rsid w:val="00F345D0"/>
    <w:rsid w:val="00F35642"/>
    <w:rsid w:val="00F36965"/>
    <w:rsid w:val="00F36DEA"/>
    <w:rsid w:val="00F36F4F"/>
    <w:rsid w:val="00F37DFE"/>
    <w:rsid w:val="00F400FA"/>
    <w:rsid w:val="00F4050E"/>
    <w:rsid w:val="00F4071A"/>
    <w:rsid w:val="00F416C6"/>
    <w:rsid w:val="00F4217C"/>
    <w:rsid w:val="00F4406F"/>
    <w:rsid w:val="00F4461F"/>
    <w:rsid w:val="00F46D61"/>
    <w:rsid w:val="00F47D25"/>
    <w:rsid w:val="00F5033A"/>
    <w:rsid w:val="00F53094"/>
    <w:rsid w:val="00F54467"/>
    <w:rsid w:val="00F55A57"/>
    <w:rsid w:val="00F60D04"/>
    <w:rsid w:val="00F6105F"/>
    <w:rsid w:val="00F61E47"/>
    <w:rsid w:val="00F61E7A"/>
    <w:rsid w:val="00F62A89"/>
    <w:rsid w:val="00F6436F"/>
    <w:rsid w:val="00F6452D"/>
    <w:rsid w:val="00F6596E"/>
    <w:rsid w:val="00F6679F"/>
    <w:rsid w:val="00F67BB5"/>
    <w:rsid w:val="00F67CAA"/>
    <w:rsid w:val="00F70D3D"/>
    <w:rsid w:val="00F71E30"/>
    <w:rsid w:val="00F72C51"/>
    <w:rsid w:val="00F72F47"/>
    <w:rsid w:val="00F775A0"/>
    <w:rsid w:val="00F82796"/>
    <w:rsid w:val="00F83A61"/>
    <w:rsid w:val="00F86243"/>
    <w:rsid w:val="00F87942"/>
    <w:rsid w:val="00F9162E"/>
    <w:rsid w:val="00F916E8"/>
    <w:rsid w:val="00F94007"/>
    <w:rsid w:val="00F948AD"/>
    <w:rsid w:val="00F963A1"/>
    <w:rsid w:val="00F96616"/>
    <w:rsid w:val="00F96836"/>
    <w:rsid w:val="00F96D2D"/>
    <w:rsid w:val="00F97009"/>
    <w:rsid w:val="00F97E31"/>
    <w:rsid w:val="00FA0168"/>
    <w:rsid w:val="00FA028D"/>
    <w:rsid w:val="00FA09BA"/>
    <w:rsid w:val="00FA1696"/>
    <w:rsid w:val="00FA1D06"/>
    <w:rsid w:val="00FA2440"/>
    <w:rsid w:val="00FA28CC"/>
    <w:rsid w:val="00FA4086"/>
    <w:rsid w:val="00FA68F1"/>
    <w:rsid w:val="00FA6B31"/>
    <w:rsid w:val="00FA6B98"/>
    <w:rsid w:val="00FA6CD2"/>
    <w:rsid w:val="00FA70A4"/>
    <w:rsid w:val="00FB028A"/>
    <w:rsid w:val="00FB0FCC"/>
    <w:rsid w:val="00FB1AA9"/>
    <w:rsid w:val="00FB37C0"/>
    <w:rsid w:val="00FB3922"/>
    <w:rsid w:val="00FB3E48"/>
    <w:rsid w:val="00FB41F7"/>
    <w:rsid w:val="00FB4811"/>
    <w:rsid w:val="00FB59BA"/>
    <w:rsid w:val="00FB5FD1"/>
    <w:rsid w:val="00FC01D2"/>
    <w:rsid w:val="00FC094C"/>
    <w:rsid w:val="00FC0BD8"/>
    <w:rsid w:val="00FC0D30"/>
    <w:rsid w:val="00FC0D4E"/>
    <w:rsid w:val="00FC1729"/>
    <w:rsid w:val="00FC183E"/>
    <w:rsid w:val="00FC1BEA"/>
    <w:rsid w:val="00FC20A4"/>
    <w:rsid w:val="00FC3BAE"/>
    <w:rsid w:val="00FC4E8E"/>
    <w:rsid w:val="00FC52A9"/>
    <w:rsid w:val="00FC6102"/>
    <w:rsid w:val="00FC7166"/>
    <w:rsid w:val="00FD06B6"/>
    <w:rsid w:val="00FD1399"/>
    <w:rsid w:val="00FD13F9"/>
    <w:rsid w:val="00FD146A"/>
    <w:rsid w:val="00FD1DDA"/>
    <w:rsid w:val="00FD237E"/>
    <w:rsid w:val="00FD47E8"/>
    <w:rsid w:val="00FD4B4C"/>
    <w:rsid w:val="00FD59F0"/>
    <w:rsid w:val="00FD710E"/>
    <w:rsid w:val="00FD728D"/>
    <w:rsid w:val="00FE03AB"/>
    <w:rsid w:val="00FE082E"/>
    <w:rsid w:val="00FE09E6"/>
    <w:rsid w:val="00FE2505"/>
    <w:rsid w:val="00FE277E"/>
    <w:rsid w:val="00FE38BE"/>
    <w:rsid w:val="00FE4E86"/>
    <w:rsid w:val="00FE51BE"/>
    <w:rsid w:val="00FE5B99"/>
    <w:rsid w:val="00FE63F6"/>
    <w:rsid w:val="00FE7B26"/>
    <w:rsid w:val="00FE7C14"/>
    <w:rsid w:val="00FE7C89"/>
    <w:rsid w:val="00FF0149"/>
    <w:rsid w:val="00FF052C"/>
    <w:rsid w:val="00FF11BF"/>
    <w:rsid w:val="00FF3651"/>
    <w:rsid w:val="00FF3ABB"/>
    <w:rsid w:val="00FF4296"/>
    <w:rsid w:val="00FF4DD0"/>
    <w:rsid w:val="00FF59C8"/>
    <w:rsid w:val="00FF6705"/>
    <w:rsid w:val="00FF7F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6A07A"/>
  <w15:docId w15:val="{5E80C9EF-FCCD-4D84-B7F4-422F4A88A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unhideWhenUsed/>
    <w:qFormat/>
    <w:rsid w:val="00DB56F6"/>
    <w:pPr>
      <w:keepNext/>
      <w:keepLines/>
      <w:spacing w:before="200" w:after="0"/>
      <w:outlineLvl w:val="1"/>
    </w:pPr>
    <w:rPr>
      <w:rFonts w:asciiTheme="majorHAnsi" w:eastAsiaTheme="majorEastAsia" w:hAnsiTheme="majorHAnsi" w:cstheme="majorBidi"/>
      <w:b/>
      <w:bCs/>
      <w:color w:val="4F81BD" w:themeColor="accent1"/>
      <w:sz w:val="26"/>
      <w:szCs w:val="26"/>
      <w:lang w:val="en-US"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42312"/>
    <w:pPr>
      <w:spacing w:after="0" w:line="240" w:lineRule="auto"/>
      <w:ind w:left="720"/>
      <w:contextualSpacing/>
    </w:pPr>
    <w:rPr>
      <w:rFonts w:ascii="Calibri" w:hAnsi="Calibri" w:cs="Calibri"/>
      <w:lang w:eastAsia="it-IT"/>
    </w:rPr>
  </w:style>
  <w:style w:type="character" w:styleId="Rimandocommento">
    <w:name w:val="annotation reference"/>
    <w:basedOn w:val="Carpredefinitoparagrafo"/>
    <w:uiPriority w:val="99"/>
    <w:semiHidden/>
    <w:unhideWhenUsed/>
    <w:rsid w:val="00B97AE8"/>
    <w:rPr>
      <w:sz w:val="16"/>
      <w:szCs w:val="16"/>
    </w:rPr>
  </w:style>
  <w:style w:type="paragraph" w:styleId="Testocommento">
    <w:name w:val="annotation text"/>
    <w:basedOn w:val="Normale"/>
    <w:link w:val="TestocommentoCarattere"/>
    <w:uiPriority w:val="99"/>
    <w:unhideWhenUsed/>
    <w:rsid w:val="00B97AE8"/>
    <w:pPr>
      <w:spacing w:line="240" w:lineRule="auto"/>
    </w:pPr>
    <w:rPr>
      <w:sz w:val="20"/>
      <w:szCs w:val="20"/>
    </w:rPr>
  </w:style>
  <w:style w:type="character" w:customStyle="1" w:styleId="TestocommentoCarattere">
    <w:name w:val="Testo commento Carattere"/>
    <w:basedOn w:val="Carpredefinitoparagrafo"/>
    <w:link w:val="Testocommento"/>
    <w:uiPriority w:val="99"/>
    <w:rsid w:val="00B97AE8"/>
    <w:rPr>
      <w:sz w:val="20"/>
      <w:szCs w:val="20"/>
    </w:rPr>
  </w:style>
  <w:style w:type="paragraph" w:styleId="Soggettocommento">
    <w:name w:val="annotation subject"/>
    <w:basedOn w:val="Testocommento"/>
    <w:next w:val="Testocommento"/>
    <w:link w:val="SoggettocommentoCarattere"/>
    <w:uiPriority w:val="99"/>
    <w:semiHidden/>
    <w:unhideWhenUsed/>
    <w:rsid w:val="00B97AE8"/>
    <w:rPr>
      <w:b/>
      <w:bCs/>
    </w:rPr>
  </w:style>
  <w:style w:type="character" w:customStyle="1" w:styleId="SoggettocommentoCarattere">
    <w:name w:val="Soggetto commento Carattere"/>
    <w:basedOn w:val="TestocommentoCarattere"/>
    <w:link w:val="Soggettocommento"/>
    <w:uiPriority w:val="99"/>
    <w:semiHidden/>
    <w:rsid w:val="00B97AE8"/>
    <w:rPr>
      <w:b/>
      <w:bCs/>
      <w:sz w:val="20"/>
      <w:szCs w:val="20"/>
    </w:rPr>
  </w:style>
  <w:style w:type="paragraph" w:styleId="Testofumetto">
    <w:name w:val="Balloon Text"/>
    <w:basedOn w:val="Normale"/>
    <w:link w:val="TestofumettoCarattere"/>
    <w:uiPriority w:val="99"/>
    <w:semiHidden/>
    <w:unhideWhenUsed/>
    <w:rsid w:val="00B97A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97AE8"/>
    <w:rPr>
      <w:rFonts w:ascii="Tahoma" w:hAnsi="Tahoma" w:cs="Tahoma"/>
      <w:sz w:val="16"/>
      <w:szCs w:val="16"/>
    </w:rPr>
  </w:style>
  <w:style w:type="paragraph" w:styleId="Revisione">
    <w:name w:val="Revision"/>
    <w:hidden/>
    <w:uiPriority w:val="99"/>
    <w:semiHidden/>
    <w:rsid w:val="00501793"/>
    <w:pPr>
      <w:spacing w:after="0" w:line="240" w:lineRule="auto"/>
    </w:pPr>
  </w:style>
  <w:style w:type="character" w:styleId="Collegamentoipertestuale">
    <w:name w:val="Hyperlink"/>
    <w:basedOn w:val="Carpredefinitoparagrafo"/>
    <w:uiPriority w:val="99"/>
    <w:unhideWhenUsed/>
    <w:rsid w:val="00E544CF"/>
    <w:rPr>
      <w:color w:val="0000FF" w:themeColor="hyperlink"/>
      <w:u w:val="single"/>
    </w:rPr>
  </w:style>
  <w:style w:type="paragraph" w:customStyle="1" w:styleId="Paragrafobase">
    <w:name w:val="[Paragrafo base]"/>
    <w:basedOn w:val="Normale"/>
    <w:uiPriority w:val="99"/>
    <w:rsid w:val="001C51E2"/>
    <w:pPr>
      <w:autoSpaceDE w:val="0"/>
      <w:autoSpaceDN w:val="0"/>
      <w:adjustRightInd w:val="0"/>
      <w:spacing w:after="0" w:line="240" w:lineRule="atLeast"/>
      <w:textAlignment w:val="center"/>
    </w:pPr>
    <w:rPr>
      <w:rFonts w:ascii="Calibri" w:hAnsi="Calibri" w:cs="Calibri"/>
      <w:color w:val="000000"/>
      <w:sz w:val="20"/>
      <w:szCs w:val="20"/>
    </w:rPr>
  </w:style>
  <w:style w:type="character" w:styleId="Enfasicorsivo">
    <w:name w:val="Emphasis"/>
    <w:basedOn w:val="Carpredefinitoparagrafo"/>
    <w:uiPriority w:val="20"/>
    <w:qFormat/>
    <w:rsid w:val="006805A5"/>
    <w:rPr>
      <w:i/>
      <w:iCs/>
    </w:rPr>
  </w:style>
  <w:style w:type="table" w:styleId="Grigliatabella">
    <w:name w:val="Table Grid"/>
    <w:basedOn w:val="Tabellanormale"/>
    <w:uiPriority w:val="59"/>
    <w:rsid w:val="00620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rsid w:val="0083539A"/>
    <w:pPr>
      <w:spacing w:after="0" w:line="360" w:lineRule="auto"/>
      <w:jc w:val="both"/>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4303BA"/>
    <w:rPr>
      <w:color w:val="800080" w:themeColor="followedHyperlink"/>
      <w:u w:val="single"/>
    </w:rPr>
  </w:style>
  <w:style w:type="character" w:styleId="Rimandonotaapidipagina">
    <w:name w:val="footnote reference"/>
    <w:uiPriority w:val="99"/>
    <w:rsid w:val="008F43E5"/>
    <w:rPr>
      <w:vertAlign w:val="superscript"/>
    </w:rPr>
  </w:style>
  <w:style w:type="paragraph" w:styleId="Testonotaapidipagina">
    <w:name w:val="footnote text"/>
    <w:basedOn w:val="Normale"/>
    <w:link w:val="TestonotaapidipaginaCarattere"/>
    <w:uiPriority w:val="99"/>
    <w:rsid w:val="008F43E5"/>
    <w:rPr>
      <w:rFonts w:eastAsiaTheme="minorEastAsia"/>
      <w:lang w:val="en-US" w:eastAsia="zh-CN"/>
    </w:rPr>
  </w:style>
  <w:style w:type="character" w:customStyle="1" w:styleId="TestonotaapidipaginaCarattere">
    <w:name w:val="Testo nota a piè di pagina Carattere"/>
    <w:basedOn w:val="Carpredefinitoparagrafo"/>
    <w:link w:val="Testonotaapidipagina"/>
    <w:uiPriority w:val="99"/>
    <w:rsid w:val="008F43E5"/>
    <w:rPr>
      <w:rFonts w:eastAsiaTheme="minorEastAsia"/>
      <w:lang w:val="en-US" w:eastAsia="zh-CN"/>
    </w:rPr>
  </w:style>
  <w:style w:type="character" w:customStyle="1" w:styleId="Titolo2Carattere">
    <w:name w:val="Titolo 2 Carattere"/>
    <w:basedOn w:val="Carpredefinitoparagrafo"/>
    <w:link w:val="Titolo2"/>
    <w:uiPriority w:val="9"/>
    <w:rsid w:val="00DB56F6"/>
    <w:rPr>
      <w:rFonts w:asciiTheme="majorHAnsi" w:eastAsiaTheme="majorEastAsia" w:hAnsiTheme="majorHAnsi" w:cstheme="majorBidi"/>
      <w:b/>
      <w:bCs/>
      <w:color w:val="4F81BD" w:themeColor="accent1"/>
      <w:sz w:val="26"/>
      <w:szCs w:val="26"/>
      <w:lang w:val="en-US" w:eastAsia="zh-CN"/>
    </w:rPr>
  </w:style>
  <w:style w:type="paragraph" w:styleId="Testonotadichiusura">
    <w:name w:val="endnote text"/>
    <w:basedOn w:val="Normale"/>
    <w:link w:val="TestonotadichiusuraCarattere"/>
    <w:uiPriority w:val="99"/>
    <w:semiHidden/>
    <w:unhideWhenUsed/>
    <w:rsid w:val="00343723"/>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43723"/>
    <w:rPr>
      <w:sz w:val="20"/>
      <w:szCs w:val="20"/>
    </w:rPr>
  </w:style>
  <w:style w:type="character" w:styleId="Rimandonotadichiusura">
    <w:name w:val="endnote reference"/>
    <w:basedOn w:val="Carpredefinitoparagrafo"/>
    <w:uiPriority w:val="99"/>
    <w:semiHidden/>
    <w:unhideWhenUsed/>
    <w:rsid w:val="00343723"/>
    <w:rPr>
      <w:vertAlign w:val="superscript"/>
    </w:rPr>
  </w:style>
  <w:style w:type="paragraph" w:styleId="Intestazione">
    <w:name w:val="header"/>
    <w:basedOn w:val="Normale"/>
    <w:link w:val="IntestazioneCarattere"/>
    <w:uiPriority w:val="99"/>
    <w:unhideWhenUsed/>
    <w:rsid w:val="001617D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617D2"/>
  </w:style>
  <w:style w:type="paragraph" w:styleId="Pidipagina">
    <w:name w:val="footer"/>
    <w:basedOn w:val="Normale"/>
    <w:link w:val="PidipaginaCarattere"/>
    <w:uiPriority w:val="99"/>
    <w:unhideWhenUsed/>
    <w:rsid w:val="001617D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17D2"/>
  </w:style>
  <w:style w:type="paragraph" w:styleId="Didascalia">
    <w:name w:val="caption"/>
    <w:basedOn w:val="Normale"/>
    <w:next w:val="Normale"/>
    <w:uiPriority w:val="35"/>
    <w:unhideWhenUsed/>
    <w:qFormat/>
    <w:rsid w:val="00C1561D"/>
    <w:pPr>
      <w:spacing w:line="240" w:lineRule="auto"/>
    </w:pPr>
    <w:rPr>
      <w:rFonts w:eastAsiaTheme="minorEastAsia"/>
      <w:b/>
      <w:bCs/>
      <w:color w:val="4F81BD" w:themeColor="accent1"/>
      <w:sz w:val="18"/>
      <w:szCs w:val="18"/>
      <w:lang w:eastAsia="zh-CN"/>
    </w:rPr>
  </w:style>
  <w:style w:type="table" w:customStyle="1" w:styleId="Grigliatabella2">
    <w:name w:val="Griglia tabella2"/>
    <w:basedOn w:val="Tabellanormale"/>
    <w:next w:val="Grigliatabella"/>
    <w:uiPriority w:val="59"/>
    <w:rsid w:val="00397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813D9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9A5C59"/>
    <w:rPr>
      <w:b/>
      <w:bCs/>
    </w:rPr>
  </w:style>
  <w:style w:type="paragraph" w:styleId="Iniziomodulo-z">
    <w:name w:val="HTML Top of Form"/>
    <w:basedOn w:val="Normale"/>
    <w:next w:val="Normale"/>
    <w:link w:val="Iniziomodulo-zCarattere"/>
    <w:hidden/>
    <w:uiPriority w:val="99"/>
    <w:semiHidden/>
    <w:unhideWhenUsed/>
    <w:rsid w:val="00A401BE"/>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A401BE"/>
    <w:rPr>
      <w:rFonts w:ascii="Arial" w:eastAsia="Times New Roman" w:hAnsi="Arial" w:cs="Arial"/>
      <w:vanish/>
      <w:sz w:val="16"/>
      <w:szCs w:val="16"/>
      <w:lang w:eastAsia="it-IT"/>
    </w:rPr>
  </w:style>
  <w:style w:type="paragraph" w:customStyle="1" w:styleId="placeholder">
    <w:name w:val="placeholder"/>
    <w:basedOn w:val="Normale"/>
    <w:rsid w:val="00A401B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Finemodulo-z">
    <w:name w:val="HTML Bottom of Form"/>
    <w:basedOn w:val="Normale"/>
    <w:next w:val="Normale"/>
    <w:link w:val="Finemodulo-zCarattere"/>
    <w:hidden/>
    <w:uiPriority w:val="99"/>
    <w:semiHidden/>
    <w:unhideWhenUsed/>
    <w:rsid w:val="00A401BE"/>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A401BE"/>
    <w:rPr>
      <w:rFonts w:ascii="Arial" w:eastAsia="Times New Roman" w:hAnsi="Arial" w:cs="Arial"/>
      <w:vanish/>
      <w:sz w:val="16"/>
      <w:szCs w:val="16"/>
      <w:lang w:eastAsia="it-IT"/>
    </w:rPr>
  </w:style>
  <w:style w:type="character" w:customStyle="1" w:styleId="comma-num-akn">
    <w:name w:val="comma-num-akn"/>
    <w:basedOn w:val="Carpredefinitoparagrafo"/>
    <w:rsid w:val="00FE7B26"/>
  </w:style>
  <w:style w:type="character" w:customStyle="1" w:styleId="arttextincomma">
    <w:name w:val="art_text_in_comma"/>
    <w:basedOn w:val="Carpredefinitoparagrafo"/>
    <w:rsid w:val="00FE7B26"/>
  </w:style>
  <w:style w:type="character" w:customStyle="1" w:styleId="Menzionenonrisolta1">
    <w:name w:val="Menzione non risolta1"/>
    <w:basedOn w:val="Carpredefinitoparagrafo"/>
    <w:uiPriority w:val="99"/>
    <w:semiHidden/>
    <w:unhideWhenUsed/>
    <w:rsid w:val="00887321"/>
    <w:rPr>
      <w:color w:val="605E5C"/>
      <w:shd w:val="clear" w:color="auto" w:fill="E1DFDD"/>
    </w:rPr>
  </w:style>
  <w:style w:type="character" w:customStyle="1" w:styleId="Menzionenonrisolta2">
    <w:name w:val="Menzione non risolta2"/>
    <w:basedOn w:val="Carpredefinitoparagrafo"/>
    <w:uiPriority w:val="99"/>
    <w:semiHidden/>
    <w:unhideWhenUsed/>
    <w:rsid w:val="00AE66E2"/>
    <w:rPr>
      <w:color w:val="605E5C"/>
      <w:shd w:val="clear" w:color="auto" w:fill="E1DFDD"/>
    </w:rPr>
  </w:style>
  <w:style w:type="character" w:customStyle="1" w:styleId="Menzionenonrisolta3">
    <w:name w:val="Menzione non risolta3"/>
    <w:basedOn w:val="Carpredefinitoparagrafo"/>
    <w:uiPriority w:val="99"/>
    <w:semiHidden/>
    <w:unhideWhenUsed/>
    <w:rsid w:val="004E2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1124">
      <w:bodyDiv w:val="1"/>
      <w:marLeft w:val="0"/>
      <w:marRight w:val="0"/>
      <w:marTop w:val="0"/>
      <w:marBottom w:val="0"/>
      <w:divBdr>
        <w:top w:val="none" w:sz="0" w:space="0" w:color="auto"/>
        <w:left w:val="none" w:sz="0" w:space="0" w:color="auto"/>
        <w:bottom w:val="none" w:sz="0" w:space="0" w:color="auto"/>
        <w:right w:val="none" w:sz="0" w:space="0" w:color="auto"/>
      </w:divBdr>
    </w:div>
    <w:div w:id="74015188">
      <w:bodyDiv w:val="1"/>
      <w:marLeft w:val="0"/>
      <w:marRight w:val="0"/>
      <w:marTop w:val="0"/>
      <w:marBottom w:val="0"/>
      <w:divBdr>
        <w:top w:val="none" w:sz="0" w:space="0" w:color="auto"/>
        <w:left w:val="none" w:sz="0" w:space="0" w:color="auto"/>
        <w:bottom w:val="none" w:sz="0" w:space="0" w:color="auto"/>
        <w:right w:val="none" w:sz="0" w:space="0" w:color="auto"/>
      </w:divBdr>
    </w:div>
    <w:div w:id="185096025">
      <w:bodyDiv w:val="1"/>
      <w:marLeft w:val="0"/>
      <w:marRight w:val="0"/>
      <w:marTop w:val="0"/>
      <w:marBottom w:val="0"/>
      <w:divBdr>
        <w:top w:val="none" w:sz="0" w:space="0" w:color="auto"/>
        <w:left w:val="none" w:sz="0" w:space="0" w:color="auto"/>
        <w:bottom w:val="none" w:sz="0" w:space="0" w:color="auto"/>
        <w:right w:val="none" w:sz="0" w:space="0" w:color="auto"/>
      </w:divBdr>
    </w:div>
    <w:div w:id="277300982">
      <w:bodyDiv w:val="1"/>
      <w:marLeft w:val="0"/>
      <w:marRight w:val="0"/>
      <w:marTop w:val="0"/>
      <w:marBottom w:val="0"/>
      <w:divBdr>
        <w:top w:val="none" w:sz="0" w:space="0" w:color="auto"/>
        <w:left w:val="none" w:sz="0" w:space="0" w:color="auto"/>
        <w:bottom w:val="none" w:sz="0" w:space="0" w:color="auto"/>
        <w:right w:val="none" w:sz="0" w:space="0" w:color="auto"/>
      </w:divBdr>
    </w:div>
    <w:div w:id="332534533">
      <w:bodyDiv w:val="1"/>
      <w:marLeft w:val="0"/>
      <w:marRight w:val="0"/>
      <w:marTop w:val="0"/>
      <w:marBottom w:val="0"/>
      <w:divBdr>
        <w:top w:val="none" w:sz="0" w:space="0" w:color="auto"/>
        <w:left w:val="none" w:sz="0" w:space="0" w:color="auto"/>
        <w:bottom w:val="none" w:sz="0" w:space="0" w:color="auto"/>
        <w:right w:val="none" w:sz="0" w:space="0" w:color="auto"/>
      </w:divBdr>
    </w:div>
    <w:div w:id="343631823">
      <w:bodyDiv w:val="1"/>
      <w:marLeft w:val="0"/>
      <w:marRight w:val="0"/>
      <w:marTop w:val="0"/>
      <w:marBottom w:val="0"/>
      <w:divBdr>
        <w:top w:val="none" w:sz="0" w:space="0" w:color="auto"/>
        <w:left w:val="none" w:sz="0" w:space="0" w:color="auto"/>
        <w:bottom w:val="none" w:sz="0" w:space="0" w:color="auto"/>
        <w:right w:val="none" w:sz="0" w:space="0" w:color="auto"/>
      </w:divBdr>
    </w:div>
    <w:div w:id="356585839">
      <w:bodyDiv w:val="1"/>
      <w:marLeft w:val="0"/>
      <w:marRight w:val="0"/>
      <w:marTop w:val="0"/>
      <w:marBottom w:val="0"/>
      <w:divBdr>
        <w:top w:val="none" w:sz="0" w:space="0" w:color="auto"/>
        <w:left w:val="none" w:sz="0" w:space="0" w:color="auto"/>
        <w:bottom w:val="none" w:sz="0" w:space="0" w:color="auto"/>
        <w:right w:val="none" w:sz="0" w:space="0" w:color="auto"/>
      </w:divBdr>
    </w:div>
    <w:div w:id="368990054">
      <w:bodyDiv w:val="1"/>
      <w:marLeft w:val="0"/>
      <w:marRight w:val="0"/>
      <w:marTop w:val="0"/>
      <w:marBottom w:val="0"/>
      <w:divBdr>
        <w:top w:val="none" w:sz="0" w:space="0" w:color="auto"/>
        <w:left w:val="none" w:sz="0" w:space="0" w:color="auto"/>
        <w:bottom w:val="none" w:sz="0" w:space="0" w:color="auto"/>
        <w:right w:val="none" w:sz="0" w:space="0" w:color="auto"/>
      </w:divBdr>
    </w:div>
    <w:div w:id="378555616">
      <w:bodyDiv w:val="1"/>
      <w:marLeft w:val="0"/>
      <w:marRight w:val="0"/>
      <w:marTop w:val="0"/>
      <w:marBottom w:val="0"/>
      <w:divBdr>
        <w:top w:val="none" w:sz="0" w:space="0" w:color="auto"/>
        <w:left w:val="none" w:sz="0" w:space="0" w:color="auto"/>
        <w:bottom w:val="none" w:sz="0" w:space="0" w:color="auto"/>
        <w:right w:val="none" w:sz="0" w:space="0" w:color="auto"/>
      </w:divBdr>
      <w:divsChild>
        <w:div w:id="723991117">
          <w:marLeft w:val="0"/>
          <w:marRight w:val="0"/>
          <w:marTop w:val="0"/>
          <w:marBottom w:val="0"/>
          <w:divBdr>
            <w:top w:val="none" w:sz="0" w:space="0" w:color="auto"/>
            <w:left w:val="none" w:sz="0" w:space="0" w:color="auto"/>
            <w:bottom w:val="none" w:sz="0" w:space="0" w:color="auto"/>
            <w:right w:val="none" w:sz="0" w:space="0" w:color="auto"/>
          </w:divBdr>
          <w:divsChild>
            <w:div w:id="1174223217">
              <w:marLeft w:val="0"/>
              <w:marRight w:val="0"/>
              <w:marTop w:val="0"/>
              <w:marBottom w:val="0"/>
              <w:divBdr>
                <w:top w:val="none" w:sz="0" w:space="0" w:color="auto"/>
                <w:left w:val="none" w:sz="0" w:space="0" w:color="auto"/>
                <w:bottom w:val="none" w:sz="0" w:space="0" w:color="auto"/>
                <w:right w:val="none" w:sz="0" w:space="0" w:color="auto"/>
              </w:divBdr>
              <w:divsChild>
                <w:div w:id="461652778">
                  <w:marLeft w:val="0"/>
                  <w:marRight w:val="0"/>
                  <w:marTop w:val="0"/>
                  <w:marBottom w:val="0"/>
                  <w:divBdr>
                    <w:top w:val="none" w:sz="0" w:space="0" w:color="auto"/>
                    <w:left w:val="none" w:sz="0" w:space="0" w:color="auto"/>
                    <w:bottom w:val="none" w:sz="0" w:space="0" w:color="auto"/>
                    <w:right w:val="none" w:sz="0" w:space="0" w:color="auto"/>
                  </w:divBdr>
                  <w:divsChild>
                    <w:div w:id="1106078445">
                      <w:marLeft w:val="0"/>
                      <w:marRight w:val="0"/>
                      <w:marTop w:val="0"/>
                      <w:marBottom w:val="0"/>
                      <w:divBdr>
                        <w:top w:val="none" w:sz="0" w:space="0" w:color="auto"/>
                        <w:left w:val="none" w:sz="0" w:space="0" w:color="auto"/>
                        <w:bottom w:val="none" w:sz="0" w:space="0" w:color="auto"/>
                        <w:right w:val="none" w:sz="0" w:space="0" w:color="auto"/>
                      </w:divBdr>
                      <w:divsChild>
                        <w:div w:id="2053724221">
                          <w:marLeft w:val="0"/>
                          <w:marRight w:val="0"/>
                          <w:marTop w:val="0"/>
                          <w:marBottom w:val="0"/>
                          <w:divBdr>
                            <w:top w:val="none" w:sz="0" w:space="0" w:color="auto"/>
                            <w:left w:val="none" w:sz="0" w:space="0" w:color="auto"/>
                            <w:bottom w:val="none" w:sz="0" w:space="0" w:color="auto"/>
                            <w:right w:val="none" w:sz="0" w:space="0" w:color="auto"/>
                          </w:divBdr>
                          <w:divsChild>
                            <w:div w:id="433937284">
                              <w:marLeft w:val="0"/>
                              <w:marRight w:val="0"/>
                              <w:marTop w:val="0"/>
                              <w:marBottom w:val="0"/>
                              <w:divBdr>
                                <w:top w:val="none" w:sz="0" w:space="0" w:color="auto"/>
                                <w:left w:val="none" w:sz="0" w:space="0" w:color="auto"/>
                                <w:bottom w:val="none" w:sz="0" w:space="0" w:color="auto"/>
                                <w:right w:val="none" w:sz="0" w:space="0" w:color="auto"/>
                              </w:divBdr>
                              <w:divsChild>
                                <w:div w:id="445541504">
                                  <w:marLeft w:val="0"/>
                                  <w:marRight w:val="0"/>
                                  <w:marTop w:val="0"/>
                                  <w:marBottom w:val="0"/>
                                  <w:divBdr>
                                    <w:top w:val="none" w:sz="0" w:space="0" w:color="auto"/>
                                    <w:left w:val="none" w:sz="0" w:space="0" w:color="auto"/>
                                    <w:bottom w:val="none" w:sz="0" w:space="0" w:color="auto"/>
                                    <w:right w:val="none" w:sz="0" w:space="0" w:color="auto"/>
                                  </w:divBdr>
                                  <w:divsChild>
                                    <w:div w:id="1337685274">
                                      <w:marLeft w:val="0"/>
                                      <w:marRight w:val="0"/>
                                      <w:marTop w:val="0"/>
                                      <w:marBottom w:val="0"/>
                                      <w:divBdr>
                                        <w:top w:val="none" w:sz="0" w:space="0" w:color="auto"/>
                                        <w:left w:val="none" w:sz="0" w:space="0" w:color="auto"/>
                                        <w:bottom w:val="none" w:sz="0" w:space="0" w:color="auto"/>
                                        <w:right w:val="none" w:sz="0" w:space="0" w:color="auto"/>
                                      </w:divBdr>
                                      <w:divsChild>
                                        <w:div w:id="2061320859">
                                          <w:marLeft w:val="0"/>
                                          <w:marRight w:val="0"/>
                                          <w:marTop w:val="0"/>
                                          <w:marBottom w:val="0"/>
                                          <w:divBdr>
                                            <w:top w:val="none" w:sz="0" w:space="0" w:color="auto"/>
                                            <w:left w:val="none" w:sz="0" w:space="0" w:color="auto"/>
                                            <w:bottom w:val="none" w:sz="0" w:space="0" w:color="auto"/>
                                            <w:right w:val="none" w:sz="0" w:space="0" w:color="auto"/>
                                          </w:divBdr>
                                          <w:divsChild>
                                            <w:div w:id="58060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7952484">
          <w:marLeft w:val="0"/>
          <w:marRight w:val="0"/>
          <w:marTop w:val="0"/>
          <w:marBottom w:val="0"/>
          <w:divBdr>
            <w:top w:val="none" w:sz="0" w:space="0" w:color="auto"/>
            <w:left w:val="none" w:sz="0" w:space="0" w:color="auto"/>
            <w:bottom w:val="none" w:sz="0" w:space="0" w:color="auto"/>
            <w:right w:val="none" w:sz="0" w:space="0" w:color="auto"/>
          </w:divBdr>
          <w:divsChild>
            <w:div w:id="1952660855">
              <w:marLeft w:val="0"/>
              <w:marRight w:val="0"/>
              <w:marTop w:val="0"/>
              <w:marBottom w:val="0"/>
              <w:divBdr>
                <w:top w:val="none" w:sz="0" w:space="0" w:color="auto"/>
                <w:left w:val="none" w:sz="0" w:space="0" w:color="auto"/>
                <w:bottom w:val="none" w:sz="0" w:space="0" w:color="auto"/>
                <w:right w:val="none" w:sz="0" w:space="0" w:color="auto"/>
              </w:divBdr>
              <w:divsChild>
                <w:div w:id="1004018359">
                  <w:marLeft w:val="0"/>
                  <w:marRight w:val="0"/>
                  <w:marTop w:val="0"/>
                  <w:marBottom w:val="0"/>
                  <w:divBdr>
                    <w:top w:val="none" w:sz="0" w:space="0" w:color="auto"/>
                    <w:left w:val="none" w:sz="0" w:space="0" w:color="auto"/>
                    <w:bottom w:val="none" w:sz="0" w:space="0" w:color="auto"/>
                    <w:right w:val="none" w:sz="0" w:space="0" w:color="auto"/>
                  </w:divBdr>
                  <w:divsChild>
                    <w:div w:id="1226917124">
                      <w:marLeft w:val="0"/>
                      <w:marRight w:val="0"/>
                      <w:marTop w:val="0"/>
                      <w:marBottom w:val="0"/>
                      <w:divBdr>
                        <w:top w:val="none" w:sz="0" w:space="0" w:color="auto"/>
                        <w:left w:val="none" w:sz="0" w:space="0" w:color="auto"/>
                        <w:bottom w:val="none" w:sz="0" w:space="0" w:color="auto"/>
                        <w:right w:val="none" w:sz="0" w:space="0" w:color="auto"/>
                      </w:divBdr>
                      <w:divsChild>
                        <w:div w:id="522746056">
                          <w:marLeft w:val="0"/>
                          <w:marRight w:val="0"/>
                          <w:marTop w:val="0"/>
                          <w:marBottom w:val="0"/>
                          <w:divBdr>
                            <w:top w:val="none" w:sz="0" w:space="0" w:color="auto"/>
                            <w:left w:val="none" w:sz="0" w:space="0" w:color="auto"/>
                            <w:bottom w:val="none" w:sz="0" w:space="0" w:color="auto"/>
                            <w:right w:val="none" w:sz="0" w:space="0" w:color="auto"/>
                          </w:divBdr>
                          <w:divsChild>
                            <w:div w:id="1023558581">
                              <w:marLeft w:val="0"/>
                              <w:marRight w:val="0"/>
                              <w:marTop w:val="0"/>
                              <w:marBottom w:val="0"/>
                              <w:divBdr>
                                <w:top w:val="none" w:sz="0" w:space="0" w:color="auto"/>
                                <w:left w:val="none" w:sz="0" w:space="0" w:color="auto"/>
                                <w:bottom w:val="none" w:sz="0" w:space="0" w:color="auto"/>
                                <w:right w:val="none" w:sz="0" w:space="0" w:color="auto"/>
                              </w:divBdr>
                              <w:divsChild>
                                <w:div w:id="1183007530">
                                  <w:marLeft w:val="0"/>
                                  <w:marRight w:val="0"/>
                                  <w:marTop w:val="0"/>
                                  <w:marBottom w:val="0"/>
                                  <w:divBdr>
                                    <w:top w:val="none" w:sz="0" w:space="0" w:color="auto"/>
                                    <w:left w:val="none" w:sz="0" w:space="0" w:color="auto"/>
                                    <w:bottom w:val="none" w:sz="0" w:space="0" w:color="auto"/>
                                    <w:right w:val="none" w:sz="0" w:space="0" w:color="auto"/>
                                  </w:divBdr>
                                  <w:divsChild>
                                    <w:div w:id="1547596683">
                                      <w:marLeft w:val="0"/>
                                      <w:marRight w:val="0"/>
                                      <w:marTop w:val="0"/>
                                      <w:marBottom w:val="0"/>
                                      <w:divBdr>
                                        <w:top w:val="none" w:sz="0" w:space="0" w:color="auto"/>
                                        <w:left w:val="none" w:sz="0" w:space="0" w:color="auto"/>
                                        <w:bottom w:val="none" w:sz="0" w:space="0" w:color="auto"/>
                                        <w:right w:val="none" w:sz="0" w:space="0" w:color="auto"/>
                                      </w:divBdr>
                                      <w:divsChild>
                                        <w:div w:id="82185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3510490">
      <w:bodyDiv w:val="1"/>
      <w:marLeft w:val="0"/>
      <w:marRight w:val="0"/>
      <w:marTop w:val="0"/>
      <w:marBottom w:val="0"/>
      <w:divBdr>
        <w:top w:val="none" w:sz="0" w:space="0" w:color="auto"/>
        <w:left w:val="none" w:sz="0" w:space="0" w:color="auto"/>
        <w:bottom w:val="none" w:sz="0" w:space="0" w:color="auto"/>
        <w:right w:val="none" w:sz="0" w:space="0" w:color="auto"/>
      </w:divBdr>
    </w:div>
    <w:div w:id="530458860">
      <w:bodyDiv w:val="1"/>
      <w:marLeft w:val="0"/>
      <w:marRight w:val="0"/>
      <w:marTop w:val="0"/>
      <w:marBottom w:val="0"/>
      <w:divBdr>
        <w:top w:val="none" w:sz="0" w:space="0" w:color="auto"/>
        <w:left w:val="none" w:sz="0" w:space="0" w:color="auto"/>
        <w:bottom w:val="none" w:sz="0" w:space="0" w:color="auto"/>
        <w:right w:val="none" w:sz="0" w:space="0" w:color="auto"/>
      </w:divBdr>
    </w:div>
    <w:div w:id="634675663">
      <w:bodyDiv w:val="1"/>
      <w:marLeft w:val="0"/>
      <w:marRight w:val="0"/>
      <w:marTop w:val="0"/>
      <w:marBottom w:val="0"/>
      <w:divBdr>
        <w:top w:val="none" w:sz="0" w:space="0" w:color="auto"/>
        <w:left w:val="none" w:sz="0" w:space="0" w:color="auto"/>
        <w:bottom w:val="none" w:sz="0" w:space="0" w:color="auto"/>
        <w:right w:val="none" w:sz="0" w:space="0" w:color="auto"/>
      </w:divBdr>
    </w:div>
    <w:div w:id="645400685">
      <w:bodyDiv w:val="1"/>
      <w:marLeft w:val="0"/>
      <w:marRight w:val="0"/>
      <w:marTop w:val="0"/>
      <w:marBottom w:val="0"/>
      <w:divBdr>
        <w:top w:val="none" w:sz="0" w:space="0" w:color="auto"/>
        <w:left w:val="none" w:sz="0" w:space="0" w:color="auto"/>
        <w:bottom w:val="none" w:sz="0" w:space="0" w:color="auto"/>
        <w:right w:val="none" w:sz="0" w:space="0" w:color="auto"/>
      </w:divBdr>
    </w:div>
    <w:div w:id="693924277">
      <w:bodyDiv w:val="1"/>
      <w:marLeft w:val="0"/>
      <w:marRight w:val="0"/>
      <w:marTop w:val="0"/>
      <w:marBottom w:val="0"/>
      <w:divBdr>
        <w:top w:val="none" w:sz="0" w:space="0" w:color="auto"/>
        <w:left w:val="none" w:sz="0" w:space="0" w:color="auto"/>
        <w:bottom w:val="none" w:sz="0" w:space="0" w:color="auto"/>
        <w:right w:val="none" w:sz="0" w:space="0" w:color="auto"/>
      </w:divBdr>
    </w:div>
    <w:div w:id="757287697">
      <w:bodyDiv w:val="1"/>
      <w:marLeft w:val="0"/>
      <w:marRight w:val="0"/>
      <w:marTop w:val="0"/>
      <w:marBottom w:val="0"/>
      <w:divBdr>
        <w:top w:val="none" w:sz="0" w:space="0" w:color="auto"/>
        <w:left w:val="none" w:sz="0" w:space="0" w:color="auto"/>
        <w:bottom w:val="none" w:sz="0" w:space="0" w:color="auto"/>
        <w:right w:val="none" w:sz="0" w:space="0" w:color="auto"/>
      </w:divBdr>
    </w:div>
    <w:div w:id="807168059">
      <w:bodyDiv w:val="1"/>
      <w:marLeft w:val="0"/>
      <w:marRight w:val="0"/>
      <w:marTop w:val="0"/>
      <w:marBottom w:val="0"/>
      <w:divBdr>
        <w:top w:val="none" w:sz="0" w:space="0" w:color="auto"/>
        <w:left w:val="none" w:sz="0" w:space="0" w:color="auto"/>
        <w:bottom w:val="none" w:sz="0" w:space="0" w:color="auto"/>
        <w:right w:val="none" w:sz="0" w:space="0" w:color="auto"/>
      </w:divBdr>
    </w:div>
    <w:div w:id="886139636">
      <w:bodyDiv w:val="1"/>
      <w:marLeft w:val="0"/>
      <w:marRight w:val="0"/>
      <w:marTop w:val="0"/>
      <w:marBottom w:val="0"/>
      <w:divBdr>
        <w:top w:val="none" w:sz="0" w:space="0" w:color="auto"/>
        <w:left w:val="none" w:sz="0" w:space="0" w:color="auto"/>
        <w:bottom w:val="none" w:sz="0" w:space="0" w:color="auto"/>
        <w:right w:val="none" w:sz="0" w:space="0" w:color="auto"/>
      </w:divBdr>
    </w:div>
    <w:div w:id="976568712">
      <w:bodyDiv w:val="1"/>
      <w:marLeft w:val="0"/>
      <w:marRight w:val="0"/>
      <w:marTop w:val="0"/>
      <w:marBottom w:val="0"/>
      <w:divBdr>
        <w:top w:val="none" w:sz="0" w:space="0" w:color="auto"/>
        <w:left w:val="none" w:sz="0" w:space="0" w:color="auto"/>
        <w:bottom w:val="none" w:sz="0" w:space="0" w:color="auto"/>
        <w:right w:val="none" w:sz="0" w:space="0" w:color="auto"/>
      </w:divBdr>
    </w:div>
    <w:div w:id="1034426264">
      <w:bodyDiv w:val="1"/>
      <w:marLeft w:val="0"/>
      <w:marRight w:val="0"/>
      <w:marTop w:val="0"/>
      <w:marBottom w:val="0"/>
      <w:divBdr>
        <w:top w:val="none" w:sz="0" w:space="0" w:color="auto"/>
        <w:left w:val="none" w:sz="0" w:space="0" w:color="auto"/>
        <w:bottom w:val="none" w:sz="0" w:space="0" w:color="auto"/>
        <w:right w:val="none" w:sz="0" w:space="0" w:color="auto"/>
      </w:divBdr>
    </w:div>
    <w:div w:id="1098405421">
      <w:bodyDiv w:val="1"/>
      <w:marLeft w:val="0"/>
      <w:marRight w:val="0"/>
      <w:marTop w:val="0"/>
      <w:marBottom w:val="0"/>
      <w:divBdr>
        <w:top w:val="none" w:sz="0" w:space="0" w:color="auto"/>
        <w:left w:val="none" w:sz="0" w:space="0" w:color="auto"/>
        <w:bottom w:val="none" w:sz="0" w:space="0" w:color="auto"/>
        <w:right w:val="none" w:sz="0" w:space="0" w:color="auto"/>
      </w:divBdr>
    </w:div>
    <w:div w:id="1137601618">
      <w:bodyDiv w:val="1"/>
      <w:marLeft w:val="0"/>
      <w:marRight w:val="0"/>
      <w:marTop w:val="0"/>
      <w:marBottom w:val="0"/>
      <w:divBdr>
        <w:top w:val="none" w:sz="0" w:space="0" w:color="auto"/>
        <w:left w:val="none" w:sz="0" w:space="0" w:color="auto"/>
        <w:bottom w:val="none" w:sz="0" w:space="0" w:color="auto"/>
        <w:right w:val="none" w:sz="0" w:space="0" w:color="auto"/>
      </w:divBdr>
      <w:divsChild>
        <w:div w:id="349063361">
          <w:marLeft w:val="0"/>
          <w:marRight w:val="0"/>
          <w:marTop w:val="0"/>
          <w:marBottom w:val="0"/>
          <w:divBdr>
            <w:top w:val="none" w:sz="0" w:space="0" w:color="auto"/>
            <w:left w:val="none" w:sz="0" w:space="0" w:color="auto"/>
            <w:bottom w:val="none" w:sz="0" w:space="0" w:color="auto"/>
            <w:right w:val="none" w:sz="0" w:space="0" w:color="auto"/>
          </w:divBdr>
          <w:divsChild>
            <w:div w:id="1614824016">
              <w:marLeft w:val="0"/>
              <w:marRight w:val="0"/>
              <w:marTop w:val="0"/>
              <w:marBottom w:val="0"/>
              <w:divBdr>
                <w:top w:val="none" w:sz="0" w:space="0" w:color="auto"/>
                <w:left w:val="none" w:sz="0" w:space="0" w:color="auto"/>
                <w:bottom w:val="none" w:sz="0" w:space="0" w:color="auto"/>
                <w:right w:val="none" w:sz="0" w:space="0" w:color="auto"/>
              </w:divBdr>
              <w:divsChild>
                <w:div w:id="1348629791">
                  <w:marLeft w:val="0"/>
                  <w:marRight w:val="0"/>
                  <w:marTop w:val="0"/>
                  <w:marBottom w:val="0"/>
                  <w:divBdr>
                    <w:top w:val="none" w:sz="0" w:space="0" w:color="auto"/>
                    <w:left w:val="none" w:sz="0" w:space="0" w:color="auto"/>
                    <w:bottom w:val="none" w:sz="0" w:space="0" w:color="auto"/>
                    <w:right w:val="none" w:sz="0" w:space="0" w:color="auto"/>
                  </w:divBdr>
                  <w:divsChild>
                    <w:div w:id="833763180">
                      <w:marLeft w:val="0"/>
                      <w:marRight w:val="0"/>
                      <w:marTop w:val="0"/>
                      <w:marBottom w:val="0"/>
                      <w:divBdr>
                        <w:top w:val="none" w:sz="0" w:space="0" w:color="auto"/>
                        <w:left w:val="none" w:sz="0" w:space="0" w:color="auto"/>
                        <w:bottom w:val="none" w:sz="0" w:space="0" w:color="auto"/>
                        <w:right w:val="none" w:sz="0" w:space="0" w:color="auto"/>
                      </w:divBdr>
                      <w:divsChild>
                        <w:div w:id="81920195">
                          <w:marLeft w:val="-15"/>
                          <w:marRight w:val="0"/>
                          <w:marTop w:val="0"/>
                          <w:marBottom w:val="0"/>
                          <w:divBdr>
                            <w:top w:val="none" w:sz="0" w:space="0" w:color="auto"/>
                            <w:left w:val="none" w:sz="0" w:space="0" w:color="auto"/>
                            <w:bottom w:val="none" w:sz="0" w:space="0" w:color="auto"/>
                            <w:right w:val="none" w:sz="0" w:space="0" w:color="auto"/>
                          </w:divBdr>
                          <w:divsChild>
                            <w:div w:id="2004773859">
                              <w:marLeft w:val="0"/>
                              <w:marRight w:val="0"/>
                              <w:marTop w:val="0"/>
                              <w:marBottom w:val="0"/>
                              <w:divBdr>
                                <w:top w:val="none" w:sz="0" w:space="0" w:color="auto"/>
                                <w:left w:val="none" w:sz="0" w:space="0" w:color="auto"/>
                                <w:bottom w:val="none" w:sz="0" w:space="0" w:color="auto"/>
                                <w:right w:val="none" w:sz="0" w:space="0" w:color="auto"/>
                              </w:divBdr>
                              <w:divsChild>
                                <w:div w:id="1649166738">
                                  <w:marLeft w:val="0"/>
                                  <w:marRight w:val="-15"/>
                                  <w:marTop w:val="0"/>
                                  <w:marBottom w:val="0"/>
                                  <w:divBdr>
                                    <w:top w:val="none" w:sz="0" w:space="0" w:color="auto"/>
                                    <w:left w:val="none" w:sz="0" w:space="0" w:color="auto"/>
                                    <w:bottom w:val="none" w:sz="0" w:space="0" w:color="auto"/>
                                    <w:right w:val="none" w:sz="0" w:space="0" w:color="auto"/>
                                  </w:divBdr>
                                  <w:divsChild>
                                    <w:div w:id="2064676348">
                                      <w:marLeft w:val="0"/>
                                      <w:marRight w:val="0"/>
                                      <w:marTop w:val="0"/>
                                      <w:marBottom w:val="0"/>
                                      <w:divBdr>
                                        <w:top w:val="none" w:sz="0" w:space="0" w:color="auto"/>
                                        <w:left w:val="none" w:sz="0" w:space="0" w:color="auto"/>
                                        <w:bottom w:val="none" w:sz="0" w:space="0" w:color="auto"/>
                                        <w:right w:val="none" w:sz="0" w:space="0" w:color="auto"/>
                                      </w:divBdr>
                                      <w:divsChild>
                                        <w:div w:id="1511793286">
                                          <w:marLeft w:val="0"/>
                                          <w:marRight w:val="0"/>
                                          <w:marTop w:val="0"/>
                                          <w:marBottom w:val="0"/>
                                          <w:divBdr>
                                            <w:top w:val="none" w:sz="0" w:space="0" w:color="auto"/>
                                            <w:left w:val="none" w:sz="0" w:space="0" w:color="auto"/>
                                            <w:bottom w:val="none" w:sz="0" w:space="0" w:color="auto"/>
                                            <w:right w:val="none" w:sz="0" w:space="0" w:color="auto"/>
                                          </w:divBdr>
                                          <w:divsChild>
                                            <w:div w:id="869343593">
                                              <w:marLeft w:val="0"/>
                                              <w:marRight w:val="0"/>
                                              <w:marTop w:val="0"/>
                                              <w:marBottom w:val="0"/>
                                              <w:divBdr>
                                                <w:top w:val="none" w:sz="0" w:space="0" w:color="auto"/>
                                                <w:left w:val="none" w:sz="0" w:space="0" w:color="auto"/>
                                                <w:bottom w:val="none" w:sz="0" w:space="0" w:color="auto"/>
                                                <w:right w:val="none" w:sz="0" w:space="0" w:color="auto"/>
                                              </w:divBdr>
                                              <w:divsChild>
                                                <w:div w:id="1723747268">
                                                  <w:marLeft w:val="0"/>
                                                  <w:marRight w:val="0"/>
                                                  <w:marTop w:val="0"/>
                                                  <w:marBottom w:val="0"/>
                                                  <w:divBdr>
                                                    <w:top w:val="none" w:sz="0" w:space="0" w:color="auto"/>
                                                    <w:left w:val="none" w:sz="0" w:space="0" w:color="auto"/>
                                                    <w:bottom w:val="none" w:sz="0" w:space="0" w:color="auto"/>
                                                    <w:right w:val="none" w:sz="0" w:space="0" w:color="auto"/>
                                                  </w:divBdr>
                                                  <w:divsChild>
                                                    <w:div w:id="942802166">
                                                      <w:marLeft w:val="0"/>
                                                      <w:marRight w:val="0"/>
                                                      <w:marTop w:val="0"/>
                                                      <w:marBottom w:val="0"/>
                                                      <w:divBdr>
                                                        <w:top w:val="none" w:sz="0" w:space="0" w:color="auto"/>
                                                        <w:left w:val="none" w:sz="0" w:space="0" w:color="auto"/>
                                                        <w:bottom w:val="none" w:sz="0" w:space="0" w:color="auto"/>
                                                        <w:right w:val="none" w:sz="0" w:space="0" w:color="auto"/>
                                                      </w:divBdr>
                                                      <w:divsChild>
                                                        <w:div w:id="1791433988">
                                                          <w:marLeft w:val="0"/>
                                                          <w:marRight w:val="0"/>
                                                          <w:marTop w:val="0"/>
                                                          <w:marBottom w:val="0"/>
                                                          <w:divBdr>
                                                            <w:top w:val="none" w:sz="0" w:space="0" w:color="auto"/>
                                                            <w:left w:val="none" w:sz="0" w:space="0" w:color="auto"/>
                                                            <w:bottom w:val="none" w:sz="0" w:space="0" w:color="auto"/>
                                                            <w:right w:val="none" w:sz="0" w:space="0" w:color="auto"/>
                                                          </w:divBdr>
                                                          <w:divsChild>
                                                            <w:div w:id="859389749">
                                                              <w:marLeft w:val="0"/>
                                                              <w:marRight w:val="0"/>
                                                              <w:marTop w:val="0"/>
                                                              <w:marBottom w:val="0"/>
                                                              <w:divBdr>
                                                                <w:top w:val="none" w:sz="0" w:space="0" w:color="auto"/>
                                                                <w:left w:val="none" w:sz="0" w:space="0" w:color="auto"/>
                                                                <w:bottom w:val="none" w:sz="0" w:space="0" w:color="auto"/>
                                                                <w:right w:val="none" w:sz="0" w:space="0" w:color="auto"/>
                                                              </w:divBdr>
                                                              <w:divsChild>
                                                                <w:div w:id="606234189">
                                                                  <w:marLeft w:val="-270"/>
                                                                  <w:marRight w:val="0"/>
                                                                  <w:marTop w:val="0"/>
                                                                  <w:marBottom w:val="0"/>
                                                                  <w:divBdr>
                                                                    <w:top w:val="none" w:sz="0" w:space="0" w:color="auto"/>
                                                                    <w:left w:val="none" w:sz="0" w:space="0" w:color="auto"/>
                                                                    <w:bottom w:val="none" w:sz="0" w:space="0" w:color="auto"/>
                                                                    <w:right w:val="none" w:sz="0" w:space="0" w:color="auto"/>
                                                                  </w:divBdr>
                                                                  <w:divsChild>
                                                                    <w:div w:id="67700264">
                                                                      <w:marLeft w:val="0"/>
                                                                      <w:marRight w:val="0"/>
                                                                      <w:marTop w:val="0"/>
                                                                      <w:marBottom w:val="0"/>
                                                                      <w:divBdr>
                                                                        <w:top w:val="single" w:sz="6" w:space="0" w:color="E5E6E9"/>
                                                                        <w:left w:val="single" w:sz="6" w:space="0" w:color="DFE0E4"/>
                                                                        <w:bottom w:val="single" w:sz="6" w:space="0" w:color="D0D1D5"/>
                                                                        <w:right w:val="single" w:sz="6" w:space="0" w:color="DFE0E4"/>
                                                                      </w:divBdr>
                                                                      <w:divsChild>
                                                                        <w:div w:id="1544099575">
                                                                          <w:marLeft w:val="0"/>
                                                                          <w:marRight w:val="0"/>
                                                                          <w:marTop w:val="0"/>
                                                                          <w:marBottom w:val="0"/>
                                                                          <w:divBdr>
                                                                            <w:top w:val="none" w:sz="0" w:space="0" w:color="auto"/>
                                                                            <w:left w:val="none" w:sz="0" w:space="0" w:color="auto"/>
                                                                            <w:bottom w:val="none" w:sz="0" w:space="0" w:color="auto"/>
                                                                            <w:right w:val="none" w:sz="0" w:space="0" w:color="auto"/>
                                                                          </w:divBdr>
                                                                          <w:divsChild>
                                                                            <w:div w:id="67074452">
                                                                              <w:marLeft w:val="0"/>
                                                                              <w:marRight w:val="0"/>
                                                                              <w:marTop w:val="0"/>
                                                                              <w:marBottom w:val="0"/>
                                                                              <w:divBdr>
                                                                                <w:top w:val="none" w:sz="0" w:space="0" w:color="auto"/>
                                                                                <w:left w:val="none" w:sz="0" w:space="0" w:color="auto"/>
                                                                                <w:bottom w:val="none" w:sz="0" w:space="0" w:color="auto"/>
                                                                                <w:right w:val="none" w:sz="0" w:space="0" w:color="auto"/>
                                                                              </w:divBdr>
                                                                              <w:divsChild>
                                                                                <w:div w:id="645008722">
                                                                                  <w:marLeft w:val="0"/>
                                                                                  <w:marRight w:val="0"/>
                                                                                  <w:marTop w:val="0"/>
                                                                                  <w:marBottom w:val="0"/>
                                                                                  <w:divBdr>
                                                                                    <w:top w:val="none" w:sz="0" w:space="0" w:color="auto"/>
                                                                                    <w:left w:val="none" w:sz="0" w:space="0" w:color="auto"/>
                                                                                    <w:bottom w:val="none" w:sz="0" w:space="0" w:color="auto"/>
                                                                                    <w:right w:val="none" w:sz="0" w:space="0" w:color="auto"/>
                                                                                  </w:divBdr>
                                                                                  <w:divsChild>
                                                                                    <w:div w:id="81383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2410902">
      <w:bodyDiv w:val="1"/>
      <w:marLeft w:val="0"/>
      <w:marRight w:val="0"/>
      <w:marTop w:val="0"/>
      <w:marBottom w:val="0"/>
      <w:divBdr>
        <w:top w:val="none" w:sz="0" w:space="0" w:color="auto"/>
        <w:left w:val="none" w:sz="0" w:space="0" w:color="auto"/>
        <w:bottom w:val="none" w:sz="0" w:space="0" w:color="auto"/>
        <w:right w:val="none" w:sz="0" w:space="0" w:color="auto"/>
      </w:divBdr>
    </w:div>
    <w:div w:id="1308822504">
      <w:bodyDiv w:val="1"/>
      <w:marLeft w:val="0"/>
      <w:marRight w:val="0"/>
      <w:marTop w:val="0"/>
      <w:marBottom w:val="0"/>
      <w:divBdr>
        <w:top w:val="none" w:sz="0" w:space="0" w:color="auto"/>
        <w:left w:val="none" w:sz="0" w:space="0" w:color="auto"/>
        <w:bottom w:val="none" w:sz="0" w:space="0" w:color="auto"/>
        <w:right w:val="none" w:sz="0" w:space="0" w:color="auto"/>
      </w:divBdr>
    </w:div>
    <w:div w:id="1421828329">
      <w:bodyDiv w:val="1"/>
      <w:marLeft w:val="0"/>
      <w:marRight w:val="0"/>
      <w:marTop w:val="0"/>
      <w:marBottom w:val="0"/>
      <w:divBdr>
        <w:top w:val="none" w:sz="0" w:space="0" w:color="auto"/>
        <w:left w:val="none" w:sz="0" w:space="0" w:color="auto"/>
        <w:bottom w:val="none" w:sz="0" w:space="0" w:color="auto"/>
        <w:right w:val="none" w:sz="0" w:space="0" w:color="auto"/>
      </w:divBdr>
    </w:div>
    <w:div w:id="1440294601">
      <w:bodyDiv w:val="1"/>
      <w:marLeft w:val="0"/>
      <w:marRight w:val="0"/>
      <w:marTop w:val="0"/>
      <w:marBottom w:val="0"/>
      <w:divBdr>
        <w:top w:val="none" w:sz="0" w:space="0" w:color="auto"/>
        <w:left w:val="none" w:sz="0" w:space="0" w:color="auto"/>
        <w:bottom w:val="none" w:sz="0" w:space="0" w:color="auto"/>
        <w:right w:val="none" w:sz="0" w:space="0" w:color="auto"/>
      </w:divBdr>
    </w:div>
    <w:div w:id="1478523348">
      <w:bodyDiv w:val="1"/>
      <w:marLeft w:val="0"/>
      <w:marRight w:val="0"/>
      <w:marTop w:val="0"/>
      <w:marBottom w:val="0"/>
      <w:divBdr>
        <w:top w:val="none" w:sz="0" w:space="0" w:color="auto"/>
        <w:left w:val="none" w:sz="0" w:space="0" w:color="auto"/>
        <w:bottom w:val="none" w:sz="0" w:space="0" w:color="auto"/>
        <w:right w:val="none" w:sz="0" w:space="0" w:color="auto"/>
      </w:divBdr>
    </w:div>
    <w:div w:id="1552383405">
      <w:bodyDiv w:val="1"/>
      <w:marLeft w:val="0"/>
      <w:marRight w:val="0"/>
      <w:marTop w:val="0"/>
      <w:marBottom w:val="0"/>
      <w:divBdr>
        <w:top w:val="none" w:sz="0" w:space="0" w:color="auto"/>
        <w:left w:val="none" w:sz="0" w:space="0" w:color="auto"/>
        <w:bottom w:val="none" w:sz="0" w:space="0" w:color="auto"/>
        <w:right w:val="none" w:sz="0" w:space="0" w:color="auto"/>
      </w:divBdr>
    </w:div>
    <w:div w:id="1560285340">
      <w:bodyDiv w:val="1"/>
      <w:marLeft w:val="0"/>
      <w:marRight w:val="0"/>
      <w:marTop w:val="0"/>
      <w:marBottom w:val="0"/>
      <w:divBdr>
        <w:top w:val="none" w:sz="0" w:space="0" w:color="auto"/>
        <w:left w:val="none" w:sz="0" w:space="0" w:color="auto"/>
        <w:bottom w:val="none" w:sz="0" w:space="0" w:color="auto"/>
        <w:right w:val="none" w:sz="0" w:space="0" w:color="auto"/>
      </w:divBdr>
    </w:div>
    <w:div w:id="1571505355">
      <w:bodyDiv w:val="1"/>
      <w:marLeft w:val="0"/>
      <w:marRight w:val="0"/>
      <w:marTop w:val="0"/>
      <w:marBottom w:val="0"/>
      <w:divBdr>
        <w:top w:val="none" w:sz="0" w:space="0" w:color="auto"/>
        <w:left w:val="none" w:sz="0" w:space="0" w:color="auto"/>
        <w:bottom w:val="none" w:sz="0" w:space="0" w:color="auto"/>
        <w:right w:val="none" w:sz="0" w:space="0" w:color="auto"/>
      </w:divBdr>
    </w:div>
    <w:div w:id="1594319779">
      <w:bodyDiv w:val="1"/>
      <w:marLeft w:val="0"/>
      <w:marRight w:val="0"/>
      <w:marTop w:val="0"/>
      <w:marBottom w:val="0"/>
      <w:divBdr>
        <w:top w:val="none" w:sz="0" w:space="0" w:color="auto"/>
        <w:left w:val="none" w:sz="0" w:space="0" w:color="auto"/>
        <w:bottom w:val="none" w:sz="0" w:space="0" w:color="auto"/>
        <w:right w:val="none" w:sz="0" w:space="0" w:color="auto"/>
      </w:divBdr>
    </w:div>
    <w:div w:id="1678313873">
      <w:bodyDiv w:val="1"/>
      <w:marLeft w:val="0"/>
      <w:marRight w:val="0"/>
      <w:marTop w:val="0"/>
      <w:marBottom w:val="0"/>
      <w:divBdr>
        <w:top w:val="none" w:sz="0" w:space="0" w:color="auto"/>
        <w:left w:val="none" w:sz="0" w:space="0" w:color="auto"/>
        <w:bottom w:val="none" w:sz="0" w:space="0" w:color="auto"/>
        <w:right w:val="none" w:sz="0" w:space="0" w:color="auto"/>
      </w:divBdr>
    </w:div>
    <w:div w:id="1826776733">
      <w:bodyDiv w:val="1"/>
      <w:marLeft w:val="0"/>
      <w:marRight w:val="0"/>
      <w:marTop w:val="0"/>
      <w:marBottom w:val="0"/>
      <w:divBdr>
        <w:top w:val="none" w:sz="0" w:space="0" w:color="auto"/>
        <w:left w:val="none" w:sz="0" w:space="0" w:color="auto"/>
        <w:bottom w:val="none" w:sz="0" w:space="0" w:color="auto"/>
        <w:right w:val="none" w:sz="0" w:space="0" w:color="auto"/>
      </w:divBdr>
    </w:div>
    <w:div w:id="1962299364">
      <w:bodyDiv w:val="1"/>
      <w:marLeft w:val="0"/>
      <w:marRight w:val="0"/>
      <w:marTop w:val="0"/>
      <w:marBottom w:val="0"/>
      <w:divBdr>
        <w:top w:val="none" w:sz="0" w:space="0" w:color="auto"/>
        <w:left w:val="none" w:sz="0" w:space="0" w:color="auto"/>
        <w:bottom w:val="none" w:sz="0" w:space="0" w:color="auto"/>
        <w:right w:val="none" w:sz="0" w:space="0" w:color="auto"/>
      </w:divBdr>
    </w:div>
    <w:div w:id="1986278593">
      <w:bodyDiv w:val="1"/>
      <w:marLeft w:val="0"/>
      <w:marRight w:val="0"/>
      <w:marTop w:val="0"/>
      <w:marBottom w:val="0"/>
      <w:divBdr>
        <w:top w:val="none" w:sz="0" w:space="0" w:color="auto"/>
        <w:left w:val="none" w:sz="0" w:space="0" w:color="auto"/>
        <w:bottom w:val="none" w:sz="0" w:space="0" w:color="auto"/>
        <w:right w:val="none" w:sz="0" w:space="0" w:color="auto"/>
      </w:divBdr>
    </w:div>
    <w:div w:id="2012373675">
      <w:bodyDiv w:val="1"/>
      <w:marLeft w:val="0"/>
      <w:marRight w:val="0"/>
      <w:marTop w:val="0"/>
      <w:marBottom w:val="0"/>
      <w:divBdr>
        <w:top w:val="none" w:sz="0" w:space="0" w:color="auto"/>
        <w:left w:val="none" w:sz="0" w:space="0" w:color="auto"/>
        <w:bottom w:val="none" w:sz="0" w:space="0" w:color="auto"/>
        <w:right w:val="none" w:sz="0" w:space="0" w:color="auto"/>
      </w:divBdr>
    </w:div>
    <w:div w:id="2134054401">
      <w:bodyDiv w:val="1"/>
      <w:marLeft w:val="0"/>
      <w:marRight w:val="0"/>
      <w:marTop w:val="0"/>
      <w:marBottom w:val="0"/>
      <w:divBdr>
        <w:top w:val="none" w:sz="0" w:space="0" w:color="auto"/>
        <w:left w:val="none" w:sz="0" w:space="0" w:color="auto"/>
        <w:bottom w:val="none" w:sz="0" w:space="0" w:color="auto"/>
        <w:right w:val="none" w:sz="0" w:space="0" w:color="auto"/>
      </w:divBdr>
      <w:divsChild>
        <w:div w:id="1230388191">
          <w:marLeft w:val="0"/>
          <w:marRight w:val="0"/>
          <w:marTop w:val="0"/>
          <w:marBottom w:val="0"/>
          <w:divBdr>
            <w:top w:val="none" w:sz="0" w:space="0" w:color="auto"/>
            <w:left w:val="none" w:sz="0" w:space="0" w:color="auto"/>
            <w:bottom w:val="none" w:sz="0" w:space="0" w:color="auto"/>
            <w:right w:val="none" w:sz="0" w:space="0" w:color="auto"/>
          </w:divBdr>
          <w:divsChild>
            <w:div w:id="1641307635">
              <w:marLeft w:val="0"/>
              <w:marRight w:val="0"/>
              <w:marTop w:val="0"/>
              <w:marBottom w:val="0"/>
              <w:divBdr>
                <w:top w:val="none" w:sz="0" w:space="0" w:color="auto"/>
                <w:left w:val="none" w:sz="0" w:space="0" w:color="auto"/>
                <w:bottom w:val="none" w:sz="0" w:space="0" w:color="auto"/>
                <w:right w:val="none" w:sz="0" w:space="0" w:color="auto"/>
              </w:divBdr>
              <w:divsChild>
                <w:div w:id="1517813869">
                  <w:marLeft w:val="0"/>
                  <w:marRight w:val="0"/>
                  <w:marTop w:val="0"/>
                  <w:marBottom w:val="300"/>
                  <w:divBdr>
                    <w:top w:val="none" w:sz="0" w:space="0" w:color="auto"/>
                    <w:left w:val="none" w:sz="0" w:space="0" w:color="auto"/>
                    <w:bottom w:val="none" w:sz="0" w:space="0" w:color="auto"/>
                    <w:right w:val="none" w:sz="0" w:space="0" w:color="auto"/>
                  </w:divBdr>
                  <w:divsChild>
                    <w:div w:id="1551378754">
                      <w:marLeft w:val="0"/>
                      <w:marRight w:val="0"/>
                      <w:marTop w:val="0"/>
                      <w:marBottom w:val="0"/>
                      <w:divBdr>
                        <w:top w:val="none" w:sz="0" w:space="0" w:color="auto"/>
                        <w:left w:val="none" w:sz="0" w:space="0" w:color="auto"/>
                        <w:bottom w:val="none" w:sz="0" w:space="0" w:color="auto"/>
                        <w:right w:val="none" w:sz="0" w:space="0" w:color="auto"/>
                      </w:divBdr>
                      <w:divsChild>
                        <w:div w:id="133307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oni.it/download/conferenze/664983/" TargetMode="External"/><Relationship Id="rId13" Type="http://schemas.openxmlformats.org/officeDocument/2006/relationships/hyperlink" Target="https://www.senato.it/show-doc?id=1526639&amp;idoggetto=0&amp;leg=19&amp;part=doc_dc&amp;tipodoc=Resaula"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senato.it/show-doc?id=1526639&amp;idoggetto=0&amp;leg=19&amp;part=doc_dc&amp;tipodoc=Resaula"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ufficio.stampa@gimbe.org"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nato.it/show-doc?id=1526639&amp;idoggetto=0&amp;leg=19&amp;part=doc_dc&amp;tipodoc=Resaul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stat.it/comunicato-stampa/prezzi-al-consumo-dati-provvisori-ottobre-2026/" TargetMode="External"/><Relationship Id="rId23" Type="http://schemas.openxmlformats.org/officeDocument/2006/relationships/header" Target="header1.xml"/><Relationship Id="rId10" Type="http://schemas.openxmlformats.org/officeDocument/2006/relationships/hyperlink" Target="https://www.governo.it/sites/governo.it/files/4anni_GovernoMeloni.pdf"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quirinale.it/it/discorso/intervento-presidente-mattarella-cerimonia-apertura-5-festival-regioni-province-autonome" TargetMode="External"/><Relationship Id="rId14" Type="http://schemas.openxmlformats.org/officeDocument/2006/relationships/hyperlink" Target="https://www.corteconti.it/Download?id=bf8c2329-e5f3-42b9-8ac7-b4594a2ab523" TargetMode="External"/><Relationship Id="rId22"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B4985-B210-43AE-BD40-93CDEF728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3275</Words>
  <Characters>18671</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dc:creator>
  <cp:keywords/>
  <dc:description/>
  <cp:lastModifiedBy>Nino Cartabellotta</cp:lastModifiedBy>
  <cp:revision>2</cp:revision>
  <cp:lastPrinted>2023-10-24T13:53:00Z</cp:lastPrinted>
  <dcterms:created xsi:type="dcterms:W3CDTF">2026-11-02T07:18:00Z</dcterms:created>
  <dcterms:modified xsi:type="dcterms:W3CDTF">2026-11-02T07:18:00Z</dcterms:modified>
</cp:coreProperties>
</file>