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DE" w:rsidRPr="003C2D61" w:rsidRDefault="00BB3513" w:rsidP="002A2EDE">
      <w:pPr>
        <w:jc w:val="center"/>
        <w:rPr>
          <w:b/>
        </w:rPr>
      </w:pPr>
      <w:r w:rsidRPr="003C2D61">
        <w:rPr>
          <w:b/>
        </w:rPr>
        <w:t>R</w:t>
      </w:r>
      <w:r w:rsidR="003C2D61">
        <w:rPr>
          <w:b/>
        </w:rPr>
        <w:t>eport r</w:t>
      </w:r>
      <w:r w:rsidRPr="003C2D61">
        <w:rPr>
          <w:b/>
        </w:rPr>
        <w:t xml:space="preserve">iunione </w:t>
      </w:r>
      <w:proofErr w:type="spellStart"/>
      <w:r w:rsidRPr="003C2D61">
        <w:rPr>
          <w:b/>
        </w:rPr>
        <w:t>Uemo</w:t>
      </w:r>
      <w:proofErr w:type="spellEnd"/>
      <w:r w:rsidR="002A2EDE">
        <w:rPr>
          <w:b/>
        </w:rPr>
        <w:t xml:space="preserve"> (Unione europea dei medici in medicina generale/di famiglia)</w:t>
      </w:r>
    </w:p>
    <w:p w:rsidR="00BB3513" w:rsidRPr="003C2D61" w:rsidRDefault="00BB3513" w:rsidP="003C2D61">
      <w:pPr>
        <w:jc w:val="center"/>
        <w:rPr>
          <w:b/>
        </w:rPr>
      </w:pPr>
      <w:proofErr w:type="spellStart"/>
      <w:r w:rsidRPr="003C2D61">
        <w:rPr>
          <w:b/>
        </w:rPr>
        <w:t>Killarney</w:t>
      </w:r>
      <w:proofErr w:type="spellEnd"/>
      <w:r w:rsidR="00360D38" w:rsidRPr="003C2D61">
        <w:rPr>
          <w:b/>
        </w:rPr>
        <w:t xml:space="preserve"> (</w:t>
      </w:r>
      <w:proofErr w:type="spellStart"/>
      <w:r w:rsidR="00360D38" w:rsidRPr="003C2D61">
        <w:rPr>
          <w:b/>
        </w:rPr>
        <w:t>Iralnda</w:t>
      </w:r>
      <w:proofErr w:type="spellEnd"/>
      <w:r w:rsidR="00360D38" w:rsidRPr="003C2D61">
        <w:rPr>
          <w:b/>
        </w:rPr>
        <w:t>)</w:t>
      </w:r>
      <w:r w:rsidRPr="003C2D61">
        <w:rPr>
          <w:b/>
        </w:rPr>
        <w:t>, 24 e 25 maggio 2013</w:t>
      </w:r>
    </w:p>
    <w:p w:rsidR="00360D38" w:rsidRDefault="00BB3513" w:rsidP="003C2D61">
      <w:pPr>
        <w:spacing w:after="0" w:line="240" w:lineRule="auto"/>
        <w:jc w:val="both"/>
      </w:pPr>
      <w:r>
        <w:t>Delegati italiani presenti: Dr. Aldo Lupo (vice presidente UEMO), dr. Antonino Maglia, dr. Carl</w:t>
      </w:r>
      <w:r w:rsidR="00360D38">
        <w:t xml:space="preserve">o Maria </w:t>
      </w:r>
      <w:proofErr w:type="spellStart"/>
      <w:r w:rsidR="00360D38">
        <w:t>Teruzzi</w:t>
      </w:r>
      <w:proofErr w:type="spellEnd"/>
      <w:r w:rsidR="00360D38">
        <w:t xml:space="preserve">, dr. Marco </w:t>
      </w:r>
      <w:proofErr w:type="spellStart"/>
      <w:r w:rsidR="00360D38">
        <w:t>Pati</w:t>
      </w:r>
      <w:r>
        <w:t>e</w:t>
      </w:r>
      <w:r w:rsidR="00360D38">
        <w:t>r</w:t>
      </w:r>
      <w:r>
        <w:t>no</w:t>
      </w:r>
      <w:proofErr w:type="spellEnd"/>
      <w:r>
        <w:t>.</w:t>
      </w:r>
      <w:r w:rsidR="003C2D61">
        <w:t xml:space="preserve"> </w:t>
      </w:r>
      <w:r w:rsidR="00360D38">
        <w:t>Ufficio estero FNOMCeO: Nunzia Napoleone</w:t>
      </w:r>
    </w:p>
    <w:p w:rsidR="000A34AE" w:rsidRDefault="000A34AE" w:rsidP="003C2D61">
      <w:pPr>
        <w:spacing w:after="0" w:line="240" w:lineRule="auto"/>
        <w:jc w:val="both"/>
      </w:pPr>
    </w:p>
    <w:p w:rsidR="003C2D61" w:rsidRPr="00F116CE" w:rsidRDefault="00BB3513" w:rsidP="003C2D61">
      <w:pPr>
        <w:pStyle w:val="Paragrafoelenco"/>
        <w:numPr>
          <w:ilvl w:val="0"/>
          <w:numId w:val="1"/>
        </w:numPr>
        <w:jc w:val="both"/>
        <w:rPr>
          <w:b/>
        </w:rPr>
      </w:pPr>
      <w:r w:rsidRPr="00F116CE">
        <w:rPr>
          <w:b/>
        </w:rPr>
        <w:t>Riconoscimento della medicina di famiglia come specialità: opportunità all’interno dell’attuale direttiva sul riconoscimento delle qualifiche professionali</w:t>
      </w:r>
    </w:p>
    <w:p w:rsidR="00BB3513" w:rsidRDefault="00BB3513" w:rsidP="000A34AE">
      <w:pPr>
        <w:jc w:val="both"/>
      </w:pPr>
      <w:r w:rsidRPr="000A34AE">
        <w:rPr>
          <w:b/>
        </w:rPr>
        <w:t xml:space="preserve">“Proposta della Commissione che emenda la direttiva 2005/36 del Parlamento europeo e del Consiglio sul riconoscimento delle qualifiche professionali”, relazione di </w:t>
      </w:r>
      <w:proofErr w:type="spellStart"/>
      <w:r w:rsidRPr="000A34AE">
        <w:rPr>
          <w:b/>
        </w:rPr>
        <w:t>An</w:t>
      </w:r>
      <w:r w:rsidR="00360D38" w:rsidRPr="000A34AE">
        <w:rPr>
          <w:b/>
        </w:rPr>
        <w:t>dras</w:t>
      </w:r>
      <w:proofErr w:type="spellEnd"/>
      <w:r w:rsidR="00360D38" w:rsidRPr="000A34AE">
        <w:rPr>
          <w:b/>
        </w:rPr>
        <w:t xml:space="preserve"> </w:t>
      </w:r>
      <w:proofErr w:type="spellStart"/>
      <w:r w:rsidR="00360D38" w:rsidRPr="000A34AE">
        <w:rPr>
          <w:b/>
        </w:rPr>
        <w:t>Zsig</w:t>
      </w:r>
      <w:r w:rsidR="002A2EDE" w:rsidRPr="000A34AE">
        <w:rPr>
          <w:b/>
        </w:rPr>
        <w:t>mond</w:t>
      </w:r>
      <w:proofErr w:type="spellEnd"/>
      <w:r w:rsidR="002A2EDE" w:rsidRPr="000A34AE">
        <w:rPr>
          <w:b/>
        </w:rPr>
        <w:t xml:space="preserve">, funzionario </w:t>
      </w:r>
      <w:r w:rsidRPr="000A34AE">
        <w:rPr>
          <w:b/>
        </w:rPr>
        <w:t>unità E4 –</w:t>
      </w:r>
      <w:r w:rsidR="002A2EDE" w:rsidRPr="000A34AE">
        <w:rPr>
          <w:b/>
        </w:rPr>
        <w:t xml:space="preserve"> </w:t>
      </w:r>
      <w:r w:rsidRPr="000A34AE">
        <w:rPr>
          <w:b/>
        </w:rPr>
        <w:t>libera c</w:t>
      </w:r>
      <w:r w:rsidR="00360D38" w:rsidRPr="000A34AE">
        <w:rPr>
          <w:b/>
        </w:rPr>
        <w:t>ircolazione dei professionisti</w:t>
      </w:r>
      <w:r>
        <w:t xml:space="preserve"> (</w:t>
      </w:r>
      <w:r w:rsidR="003C2D61">
        <w:t xml:space="preserve">di seguito slide con un raffronto sintetico tra </w:t>
      </w:r>
      <w:r w:rsidR="002A2EDE">
        <w:t xml:space="preserve">il training </w:t>
      </w:r>
      <w:r w:rsidR="003C2D61">
        <w:t>nelle speci</w:t>
      </w:r>
      <w:r w:rsidR="002A2EDE">
        <w:t>alità mediche e quello</w:t>
      </w:r>
      <w:r w:rsidR="003C2D61">
        <w:t xml:space="preserve"> in medic</w:t>
      </w:r>
      <w:r w:rsidR="002A2EDE">
        <w:t>ina generale)</w:t>
      </w:r>
      <w:r>
        <w:t>.</w:t>
      </w:r>
    </w:p>
    <w:p w:rsidR="00E627BF" w:rsidRDefault="00E627BF" w:rsidP="00E627BF">
      <w:pPr>
        <w:jc w:val="center"/>
      </w:pPr>
      <w:r w:rsidRPr="00E627BF">
        <w:rPr>
          <w:noProof/>
          <w:lang w:eastAsia="it-IT"/>
        </w:rPr>
        <w:drawing>
          <wp:inline distT="0" distB="0" distL="0" distR="0">
            <wp:extent cx="4572638" cy="342947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572638" cy="3429479"/>
                    </a:xfrm>
                    <a:prstGeom prst="rect">
                      <a:avLst/>
                    </a:prstGeom>
                  </pic:spPr>
                </pic:pic>
              </a:graphicData>
            </a:graphic>
          </wp:inline>
        </w:drawing>
      </w:r>
    </w:p>
    <w:p w:rsidR="00BB3513" w:rsidRDefault="00F116CE" w:rsidP="002A2EDE">
      <w:pPr>
        <w:jc w:val="both"/>
      </w:pPr>
      <w:r>
        <w:t>N</w:t>
      </w:r>
      <w:r w:rsidR="002671E7">
        <w:t xml:space="preserve">ella sua presentazione, il funzionario UE </w:t>
      </w:r>
      <w:r>
        <w:t xml:space="preserve">sottolinea che </w:t>
      </w:r>
      <w:r w:rsidR="002A2EDE">
        <w:t>l</w:t>
      </w:r>
      <w:r w:rsidR="00E627BF">
        <w:t>a priorità della Commissione nella revisione della direttiva è il rafforzamento della mobilità dei professionisti nell’ambito del territorio UE</w:t>
      </w:r>
      <w:r w:rsidR="002A2EDE">
        <w:t>. In quest’ottica è stato previsto un rafforzamento dell</w:t>
      </w:r>
      <w:r w:rsidR="00D133EC">
        <w:t>e abilità linguistiche</w:t>
      </w:r>
      <w:r w:rsidR="002A2EDE">
        <w:t xml:space="preserve"> </w:t>
      </w:r>
      <w:r w:rsidR="00D133EC">
        <w:t>(</w:t>
      </w:r>
      <w:r w:rsidR="002A2EDE">
        <w:t>l’idoneità linguistica è divenuta da facoltativa a obbligatoria</w:t>
      </w:r>
      <w:r w:rsidR="00D133EC">
        <w:t>)</w:t>
      </w:r>
      <w:r w:rsidR="002A2EDE">
        <w:t xml:space="preserve"> e una riduzione della formazione specifica in medicina generale, che può essere di due o tre anni.</w:t>
      </w:r>
      <w:r w:rsidR="00EC38E0">
        <w:t xml:space="preserve"> Mentre per le specialità mediche è prevista l’opzione in –out (i singoli stati membri possono aderire o meno</w:t>
      </w:r>
      <w:r w:rsidR="00D133EC">
        <w:t>), le previsioni per la medicina generale coprono tutti gli Stati membri, il che implica il riconoscimento dei diritti acquisiti in tutti i Paesi UE.</w:t>
      </w:r>
      <w:r w:rsidR="00147827">
        <w:t xml:space="preserve"> Inoltre, solo per la medicina generale, è prevista la possibilità di conteggiare parte del </w:t>
      </w:r>
      <w:r w:rsidR="001B04D5">
        <w:t xml:space="preserve">corso di laurea </w:t>
      </w:r>
      <w:r w:rsidR="00147827">
        <w:t xml:space="preserve">in medicina come parte della formazione </w:t>
      </w:r>
      <w:r w:rsidR="001B04D5">
        <w:t xml:space="preserve">specifica </w:t>
      </w:r>
      <w:r w:rsidR="00147827">
        <w:t xml:space="preserve">in medicina generale. </w:t>
      </w:r>
      <w:r w:rsidR="00D133EC">
        <w:t xml:space="preserve"> </w:t>
      </w:r>
    </w:p>
    <w:p w:rsidR="00147827" w:rsidRDefault="009414DB" w:rsidP="002A2EDE">
      <w:pPr>
        <w:jc w:val="both"/>
      </w:pPr>
      <w:r>
        <w:t>Il funzionario UE rileva che la direttiva non ha la facoltà di imporre agli stati membri il riconoscimento della Medicina generale come specialità, facoltà che è di competenza dei singoli paesi.</w:t>
      </w:r>
      <w:r w:rsidR="00D200A3">
        <w:t xml:space="preserve"> Anche se nei due terzi degli stati membri la medicina generale è riconosciuta come specialità, il riconoscimento a livello</w:t>
      </w:r>
      <w:r w:rsidR="00B27FCC">
        <w:t xml:space="preserve"> europeo non è automatico, deve</w:t>
      </w:r>
      <w:r w:rsidR="00D200A3">
        <w:t xml:space="preserve"> essere richiesto </w:t>
      </w:r>
      <w:r w:rsidR="001B04D5">
        <w:t xml:space="preserve">espressamente </w:t>
      </w:r>
      <w:r w:rsidR="00D200A3">
        <w:t>dagli Stati membri</w:t>
      </w:r>
      <w:r w:rsidR="001B04D5">
        <w:t xml:space="preserve"> al Parlamento europeo</w:t>
      </w:r>
      <w:r w:rsidR="00D200A3">
        <w:t xml:space="preserve">. </w:t>
      </w:r>
    </w:p>
    <w:p w:rsidR="00BB3513" w:rsidRDefault="00D200A3" w:rsidP="00D200A3">
      <w:pPr>
        <w:jc w:val="both"/>
      </w:pPr>
      <w:r>
        <w:lastRenderedPageBreak/>
        <w:t xml:space="preserve">Nella discussione seguita alla presentazione, i delegati  UEMO dei diversi Paesi hanno rilevato che l’esigenza della Commissione di agevolare la mobilità dei professionisti ha posto in secondo piano la salvaguardia della salute dei pazienti. </w:t>
      </w:r>
      <w:r w:rsidR="0044354F">
        <w:t>La medicina generale non può essere uno str</w:t>
      </w:r>
      <w:r w:rsidR="001B04D5">
        <w:t xml:space="preserve">umento di riduzione dei costi. </w:t>
      </w:r>
      <w:r>
        <w:t>Se si continua a consi</w:t>
      </w:r>
      <w:r w:rsidR="00EE2902">
        <w:t>derare la medicina generale come</w:t>
      </w:r>
      <w:r>
        <w:t xml:space="preserve"> medic</w:t>
      </w:r>
      <w:r w:rsidR="00EE2902">
        <w:t>i</w:t>
      </w:r>
      <w:r>
        <w:t>na di seconda classe</w:t>
      </w:r>
      <w:r w:rsidR="00EE2902">
        <w:t>, si finirà con il determin</w:t>
      </w:r>
      <w:r w:rsidR="001B04D5">
        <w:t xml:space="preserve">are una migrazione dei giovani </w:t>
      </w:r>
      <w:r w:rsidR="00EE2902">
        <w:t>verso Paesi in cui la MG è più valoriz</w:t>
      </w:r>
      <w:r w:rsidR="005D25C7">
        <w:t>za</w:t>
      </w:r>
      <w:r w:rsidR="00EE2902">
        <w:t>ta, a</w:t>
      </w:r>
      <w:r w:rsidR="005D25C7">
        <w:t xml:space="preserve"> disca</w:t>
      </w:r>
      <w:r w:rsidR="00EE2902">
        <w:t xml:space="preserve">pito dei paesi di </w:t>
      </w:r>
      <w:r w:rsidR="005D25C7">
        <w:t>provenienza, in cui si sarà costretti a ricorrere a un sistema di cura sempre più ospedalizzato.</w:t>
      </w:r>
    </w:p>
    <w:p w:rsidR="000A34AE" w:rsidRPr="000A34AE" w:rsidRDefault="001063A9" w:rsidP="005D25C7">
      <w:pPr>
        <w:pStyle w:val="Paragrafoelenco"/>
        <w:numPr>
          <w:ilvl w:val="0"/>
          <w:numId w:val="1"/>
        </w:numPr>
        <w:jc w:val="both"/>
      </w:pPr>
      <w:r>
        <w:rPr>
          <w:b/>
        </w:rPr>
        <w:t xml:space="preserve">Gruppo di </w:t>
      </w:r>
      <w:r w:rsidR="001B04D5">
        <w:rPr>
          <w:b/>
        </w:rPr>
        <w:t>lavoro sulla formazione specifica</w:t>
      </w:r>
      <w:r>
        <w:rPr>
          <w:b/>
        </w:rPr>
        <w:t xml:space="preserve"> in medici</w:t>
      </w:r>
      <w:r w:rsidRPr="005D25C7">
        <w:rPr>
          <w:b/>
        </w:rPr>
        <w:t>n</w:t>
      </w:r>
      <w:r>
        <w:rPr>
          <w:b/>
        </w:rPr>
        <w:t>a</w:t>
      </w:r>
      <w:r w:rsidRPr="005D25C7">
        <w:rPr>
          <w:b/>
        </w:rPr>
        <w:t xml:space="preserve"> generale </w:t>
      </w:r>
    </w:p>
    <w:p w:rsidR="005D25C7" w:rsidRDefault="005D25C7" w:rsidP="000A34AE">
      <w:pPr>
        <w:jc w:val="both"/>
      </w:pPr>
      <w:r>
        <w:t>Alla luce della presentazione sulla revisione de</w:t>
      </w:r>
      <w:r w:rsidR="00BB19BE">
        <w:t>lla direttiva 2005/36, ci si</w:t>
      </w:r>
      <w:r w:rsidR="001063A9">
        <w:t xml:space="preserve"> interroga su come gestire la situazione in rapporto alle diverse formazioni </w:t>
      </w:r>
      <w:r w:rsidR="001B04D5">
        <w:t xml:space="preserve">specifiche </w:t>
      </w:r>
      <w:r w:rsidR="00BB19BE">
        <w:t>in medicina generale nei Paesi UE.</w:t>
      </w:r>
    </w:p>
    <w:p w:rsidR="00BB19BE" w:rsidRDefault="0044354F" w:rsidP="000A34AE">
      <w:pPr>
        <w:jc w:val="both"/>
      </w:pPr>
      <w:r>
        <w:t>Nei</w:t>
      </w:r>
      <w:r w:rsidR="00BB19BE" w:rsidRPr="00BB19BE">
        <w:t xml:space="preserve"> Paesi in cui la </w:t>
      </w:r>
      <w:r w:rsidR="00BB19BE">
        <w:t xml:space="preserve">medicina generale </w:t>
      </w:r>
      <w:r>
        <w:t xml:space="preserve">è considerata una specializzazione, </w:t>
      </w:r>
      <w:r w:rsidR="001B04D5">
        <w:t xml:space="preserve">in rapporto alla tabella riassuntiva presentata sopra, </w:t>
      </w:r>
      <w:r>
        <w:t xml:space="preserve">si viene di fatto a creare una terza categoria, </w:t>
      </w:r>
      <w:r w:rsidR="001E1C43">
        <w:t xml:space="preserve">accanto </w:t>
      </w:r>
      <w:r>
        <w:t>agli specialisti e ai MMG, quella dei cosiddetti “</w:t>
      </w:r>
      <w:proofErr w:type="spellStart"/>
      <w:r>
        <w:t>erodoc</w:t>
      </w:r>
      <w:proofErr w:type="spellEnd"/>
      <w:r>
        <w:t>”, che acquisiscono lo status di specialistici con un training di due anni, rispetto ai loro colleghi con una formazione di 5 anni.</w:t>
      </w:r>
    </w:p>
    <w:p w:rsidR="0044354F" w:rsidRDefault="0044354F" w:rsidP="000A34AE">
      <w:pPr>
        <w:jc w:val="both"/>
      </w:pPr>
      <w:r>
        <w:t>Nonostante le rimostranze di alcuni Paesi, quali Svezia e Svizzera, l’</w:t>
      </w:r>
      <w:r w:rsidR="00A85AAF">
        <w:t>orientamento gen</w:t>
      </w:r>
      <w:r>
        <w:t>erale dell’</w:t>
      </w:r>
      <w:r w:rsidR="00A85AAF">
        <w:t>assemb</w:t>
      </w:r>
      <w:r>
        <w:t>l</w:t>
      </w:r>
      <w:r w:rsidR="00A85AAF">
        <w:t>e</w:t>
      </w:r>
      <w:r>
        <w:t xml:space="preserve">a è che </w:t>
      </w:r>
      <w:r w:rsidR="001E1C43">
        <w:t>è inutile continuare</w:t>
      </w:r>
      <w:r w:rsidR="00A85AAF">
        <w:t xml:space="preserve"> a concentrarsi sugli anni di formazione, si deve accettare la d</w:t>
      </w:r>
      <w:r w:rsidR="001E1C43">
        <w:t>urata diversa. In rapporto a una figura professionale in conti</w:t>
      </w:r>
      <w:r w:rsidR="00A85AAF">
        <w:t>nu</w:t>
      </w:r>
      <w:r w:rsidR="001E1C43">
        <w:t>a formazione, quale quella del medico, c’</w:t>
      </w:r>
      <w:r w:rsidR="00A85AAF">
        <w:t>è poca differenza tra un</w:t>
      </w:r>
      <w:r w:rsidR="001E1C43">
        <w:t xml:space="preserve"> training di due o tre anni, la formazione è nella pratica continua. Gli anni di formazione non sono una definizione di specialità. Nonostante ci siano programmi di training impossibili da ottenere in meno di tre anni, il punto focale è la definizione delle competenze da acquisire (in Germania la medicina generale è esercitata anche dai cardiologi e dagli internisti che non trovano posto negli ospedali). È necessario creare degli standard comuni per definire la specialità in medicina generale, per determinare poi un graduale avvicinamento nei diversi paesi UE. </w:t>
      </w:r>
    </w:p>
    <w:p w:rsidR="00D30CF0" w:rsidRDefault="00D30CF0" w:rsidP="00D30CF0">
      <w:pPr>
        <w:jc w:val="both"/>
      </w:pPr>
      <w:r>
        <w:t>L’assemblea richiede alla presidenza UEMO un’azione più incisiva per il riconoscimento della specializzazione a livello europeo. Viene presentata una lettera che gli Stati in cui la MG è riconosciuta come specializzazione invieranno alle rispettive autorità compenti nazionali, affinché richiedano al parlamento europeo il riconoscimento della specializzazion</w:t>
      </w:r>
      <w:r w:rsidR="006C37E0">
        <w:t>e a livello UE (molti Paesi, pur avendo già il riconoscimento specia</w:t>
      </w:r>
      <w:r w:rsidR="001B04D5">
        <w:t xml:space="preserve">listico, non lo notificano alle autorità </w:t>
      </w:r>
      <w:proofErr w:type="spellStart"/>
      <w:r w:rsidR="001B04D5">
        <w:t>europeee</w:t>
      </w:r>
      <w:proofErr w:type="spellEnd"/>
      <w:r w:rsidR="006C37E0">
        <w:t xml:space="preserve">). </w:t>
      </w:r>
    </w:p>
    <w:p w:rsidR="00D30CF0" w:rsidRDefault="00D30CF0" w:rsidP="000A34AE">
      <w:pPr>
        <w:jc w:val="both"/>
      </w:pPr>
    </w:p>
    <w:p w:rsidR="00A831A7" w:rsidRDefault="00A831A7" w:rsidP="00A831A7">
      <w:pPr>
        <w:pStyle w:val="Paragrafoelenco"/>
        <w:numPr>
          <w:ilvl w:val="0"/>
          <w:numId w:val="1"/>
        </w:numPr>
        <w:jc w:val="both"/>
        <w:rPr>
          <w:b/>
        </w:rPr>
      </w:pPr>
      <w:r w:rsidRPr="00A831A7">
        <w:rPr>
          <w:b/>
        </w:rPr>
        <w:t xml:space="preserve">Gruppo di lavoro </w:t>
      </w:r>
      <w:r>
        <w:rPr>
          <w:b/>
        </w:rPr>
        <w:t>sulle competenza del MMG nella gestione della complessità</w:t>
      </w:r>
    </w:p>
    <w:p w:rsidR="000A34AE" w:rsidRDefault="000A34AE" w:rsidP="000A34AE">
      <w:pPr>
        <w:jc w:val="both"/>
        <w:rPr>
          <w:rStyle w:val="hps"/>
          <w:color w:val="333333"/>
        </w:rPr>
      </w:pPr>
      <w:r w:rsidRPr="000A34AE">
        <w:rPr>
          <w:rStyle w:val="hps"/>
          <w:b/>
          <w:color w:val="333333"/>
          <w:u w:val="single"/>
        </w:rPr>
        <w:t xml:space="preserve">Presentazione della </w:t>
      </w:r>
      <w:r w:rsidRPr="000A34AE">
        <w:rPr>
          <w:rStyle w:val="hps"/>
          <w:b/>
          <w:i/>
          <w:color w:val="333333"/>
          <w:u w:val="single"/>
        </w:rPr>
        <w:t xml:space="preserve">Joint </w:t>
      </w:r>
      <w:proofErr w:type="spellStart"/>
      <w:r w:rsidRPr="000A34AE">
        <w:rPr>
          <w:rStyle w:val="hps"/>
          <w:b/>
          <w:i/>
          <w:color w:val="333333"/>
          <w:u w:val="single"/>
        </w:rPr>
        <w:t>Action</w:t>
      </w:r>
      <w:proofErr w:type="spellEnd"/>
      <w:r w:rsidRPr="000A34AE">
        <w:rPr>
          <w:rStyle w:val="hps"/>
          <w:b/>
          <w:i/>
          <w:color w:val="333333"/>
          <w:u w:val="single"/>
        </w:rPr>
        <w:t xml:space="preserve"> </w:t>
      </w:r>
      <w:proofErr w:type="spellStart"/>
      <w:r w:rsidRPr="000A34AE">
        <w:rPr>
          <w:rStyle w:val="hps"/>
          <w:b/>
          <w:i/>
          <w:color w:val="333333"/>
          <w:u w:val="single"/>
        </w:rPr>
        <w:t>European</w:t>
      </w:r>
      <w:proofErr w:type="spellEnd"/>
      <w:r w:rsidRPr="000A34AE">
        <w:rPr>
          <w:rStyle w:val="hps"/>
          <w:b/>
          <w:i/>
          <w:color w:val="333333"/>
          <w:u w:val="single"/>
        </w:rPr>
        <w:t xml:space="preserve"> </w:t>
      </w:r>
      <w:proofErr w:type="spellStart"/>
      <w:r w:rsidRPr="000A34AE">
        <w:rPr>
          <w:rStyle w:val="hps"/>
          <w:b/>
          <w:i/>
          <w:color w:val="333333"/>
          <w:u w:val="single"/>
        </w:rPr>
        <w:t>Health</w:t>
      </w:r>
      <w:proofErr w:type="spellEnd"/>
      <w:r w:rsidRPr="000A34AE">
        <w:rPr>
          <w:rStyle w:val="hps"/>
          <w:b/>
          <w:i/>
          <w:color w:val="333333"/>
          <w:u w:val="single"/>
        </w:rPr>
        <w:t xml:space="preserve"> </w:t>
      </w:r>
      <w:proofErr w:type="spellStart"/>
      <w:r w:rsidRPr="000A34AE">
        <w:rPr>
          <w:rStyle w:val="hps"/>
          <w:b/>
          <w:i/>
          <w:color w:val="333333"/>
          <w:u w:val="single"/>
        </w:rPr>
        <w:t>Worforce</w:t>
      </w:r>
      <w:proofErr w:type="spellEnd"/>
      <w:r w:rsidRPr="000A34AE">
        <w:rPr>
          <w:rStyle w:val="hps"/>
          <w:b/>
          <w:i/>
          <w:color w:val="333333"/>
          <w:u w:val="single"/>
        </w:rPr>
        <w:t xml:space="preserve"> Planning and </w:t>
      </w:r>
      <w:proofErr w:type="spellStart"/>
      <w:r w:rsidRPr="000A34AE">
        <w:rPr>
          <w:rStyle w:val="hps"/>
          <w:b/>
          <w:i/>
          <w:color w:val="333333"/>
          <w:u w:val="single"/>
        </w:rPr>
        <w:t>Forecasting</w:t>
      </w:r>
      <w:proofErr w:type="spellEnd"/>
      <w:r w:rsidRPr="000A34AE">
        <w:rPr>
          <w:rStyle w:val="hps"/>
          <w:b/>
          <w:color w:val="333333"/>
          <w:u w:val="single"/>
        </w:rPr>
        <w:t xml:space="preserve"> (JA-HWF) (Azione comune</w:t>
      </w:r>
      <w:r w:rsidRPr="000A34AE">
        <w:rPr>
          <w:b/>
          <w:color w:val="333333"/>
          <w:u w:val="single"/>
        </w:rPr>
        <w:t xml:space="preserve"> </w:t>
      </w:r>
      <w:r w:rsidRPr="000A34AE">
        <w:rPr>
          <w:rStyle w:val="hps"/>
          <w:b/>
          <w:color w:val="333333"/>
          <w:u w:val="single"/>
        </w:rPr>
        <w:t>per la pianificazio</w:t>
      </w:r>
      <w:r w:rsidR="00F901F0">
        <w:rPr>
          <w:rStyle w:val="hps"/>
          <w:b/>
          <w:color w:val="333333"/>
          <w:u w:val="single"/>
        </w:rPr>
        <w:t xml:space="preserve">ne della forza lavoro sanitaria, </w:t>
      </w:r>
      <w:r w:rsidR="00F901F0">
        <w:rPr>
          <w:rStyle w:val="hps"/>
          <w:color w:val="333333"/>
        </w:rPr>
        <w:t xml:space="preserve">pagina web: </w:t>
      </w:r>
      <w:hyperlink r:id="rId6" w:history="1">
        <w:r w:rsidR="00F901F0" w:rsidRPr="0057501F">
          <w:rPr>
            <w:rStyle w:val="Collegamentoipertestuale"/>
          </w:rPr>
          <w:t>http://www.euhwforce.eu/</w:t>
        </w:r>
      </w:hyperlink>
      <w:r w:rsidR="00936EAD">
        <w:rPr>
          <w:rStyle w:val="hps"/>
          <w:color w:val="333333"/>
        </w:rPr>
        <w:t>)</w:t>
      </w:r>
    </w:p>
    <w:p w:rsidR="000A34AE" w:rsidRPr="000A34AE" w:rsidRDefault="000A34AE" w:rsidP="000A34AE">
      <w:pPr>
        <w:jc w:val="both"/>
        <w:rPr>
          <w:color w:val="333333"/>
        </w:rPr>
      </w:pPr>
      <w:r w:rsidRPr="000A34AE">
        <w:rPr>
          <w:rStyle w:val="hps"/>
          <w:color w:val="333333"/>
        </w:rPr>
        <w:t>Secondo le stime</w:t>
      </w:r>
      <w:r w:rsidRPr="000A34AE">
        <w:rPr>
          <w:color w:val="333333"/>
        </w:rPr>
        <w:t xml:space="preserve">, </w:t>
      </w:r>
      <w:r w:rsidRPr="000A34AE">
        <w:rPr>
          <w:rStyle w:val="hps"/>
          <w:color w:val="333333"/>
        </w:rPr>
        <w:t>in Europa</w:t>
      </w:r>
      <w:r w:rsidRPr="000A34AE">
        <w:rPr>
          <w:color w:val="333333"/>
        </w:rPr>
        <w:t xml:space="preserve"> è prevista la carenza di </w:t>
      </w:r>
      <w:r w:rsidRPr="000A34AE">
        <w:rPr>
          <w:rStyle w:val="hps"/>
          <w:color w:val="333333"/>
        </w:rPr>
        <w:t>1.000.000</w:t>
      </w:r>
      <w:r w:rsidRPr="000A34AE">
        <w:rPr>
          <w:color w:val="333333"/>
        </w:rPr>
        <w:t xml:space="preserve"> di </w:t>
      </w:r>
      <w:r w:rsidRPr="000A34AE">
        <w:rPr>
          <w:rStyle w:val="hps"/>
          <w:color w:val="333333"/>
        </w:rPr>
        <w:t>operatori sanitari</w:t>
      </w:r>
      <w:r w:rsidRPr="000A34AE">
        <w:rPr>
          <w:color w:val="333333"/>
        </w:rPr>
        <w:t xml:space="preserve"> </w:t>
      </w:r>
      <w:r w:rsidRPr="000A34AE">
        <w:rPr>
          <w:rStyle w:val="hps"/>
          <w:color w:val="333333"/>
        </w:rPr>
        <w:t>entro il 2020, determinata</w:t>
      </w:r>
      <w:r w:rsidRPr="000A34AE">
        <w:rPr>
          <w:color w:val="333333"/>
        </w:rPr>
        <w:t xml:space="preserve"> </w:t>
      </w:r>
      <w:r w:rsidRPr="000A34AE">
        <w:rPr>
          <w:rStyle w:val="hps"/>
          <w:color w:val="333333"/>
        </w:rPr>
        <w:t>da</w:t>
      </w:r>
      <w:r w:rsidRPr="000A34AE">
        <w:rPr>
          <w:color w:val="333333"/>
        </w:rPr>
        <w:t xml:space="preserve"> </w:t>
      </w:r>
      <w:r w:rsidRPr="000A34AE">
        <w:rPr>
          <w:rStyle w:val="hps"/>
          <w:color w:val="333333"/>
        </w:rPr>
        <w:t>molteplici</w:t>
      </w:r>
      <w:r w:rsidRPr="000A34AE">
        <w:rPr>
          <w:color w:val="333333"/>
        </w:rPr>
        <w:t xml:space="preserve"> </w:t>
      </w:r>
      <w:r w:rsidRPr="000A34AE">
        <w:rPr>
          <w:rStyle w:val="hps"/>
          <w:color w:val="333333"/>
        </w:rPr>
        <w:t>fattori, quali l'</w:t>
      </w:r>
      <w:r w:rsidRPr="000A34AE">
        <w:rPr>
          <w:color w:val="333333"/>
        </w:rPr>
        <w:t xml:space="preserve">invecchiamento della popolazione e </w:t>
      </w:r>
      <w:r w:rsidRPr="000A34AE">
        <w:rPr>
          <w:rStyle w:val="hps"/>
          <w:color w:val="333333"/>
        </w:rPr>
        <w:t>della forza lavoro</w:t>
      </w:r>
      <w:r w:rsidRPr="000A34AE">
        <w:rPr>
          <w:color w:val="333333"/>
        </w:rPr>
        <w:t xml:space="preserve">, </w:t>
      </w:r>
      <w:r w:rsidRPr="000A34AE">
        <w:rPr>
          <w:rStyle w:val="hps"/>
          <w:color w:val="333333"/>
        </w:rPr>
        <w:t>l'incremento della domanda di cura e</w:t>
      </w:r>
      <w:r w:rsidRPr="000A34AE">
        <w:rPr>
          <w:color w:val="333333"/>
        </w:rPr>
        <w:t xml:space="preserve"> </w:t>
      </w:r>
      <w:r w:rsidRPr="000A34AE">
        <w:rPr>
          <w:rStyle w:val="hps"/>
          <w:color w:val="333333"/>
        </w:rPr>
        <w:t>l'aumento dei costi</w:t>
      </w:r>
      <w:r w:rsidRPr="000A34AE">
        <w:rPr>
          <w:color w:val="333333"/>
        </w:rPr>
        <w:t xml:space="preserve"> </w:t>
      </w:r>
      <w:r w:rsidRPr="000A34AE">
        <w:rPr>
          <w:rStyle w:val="hps"/>
          <w:color w:val="333333"/>
        </w:rPr>
        <w:t>in un contesto di</w:t>
      </w:r>
      <w:r w:rsidRPr="000A34AE">
        <w:rPr>
          <w:color w:val="333333"/>
        </w:rPr>
        <w:t xml:space="preserve"> </w:t>
      </w:r>
      <w:r w:rsidRPr="000A34AE">
        <w:rPr>
          <w:rStyle w:val="hps"/>
          <w:color w:val="333333"/>
        </w:rPr>
        <w:t>restrizioni di bilancio</w:t>
      </w:r>
      <w:r w:rsidRPr="000A34AE">
        <w:rPr>
          <w:color w:val="333333"/>
        </w:rPr>
        <w:t>. La maggiore mobilità del personale sanitario può ulteriormente minacciare l’autosufficienza degli Stat</w:t>
      </w:r>
      <w:r w:rsidRPr="000A34AE">
        <w:rPr>
          <w:rStyle w:val="hps"/>
          <w:color w:val="333333"/>
        </w:rPr>
        <w:t>i</w:t>
      </w:r>
      <w:r w:rsidRPr="000A34AE">
        <w:rPr>
          <w:color w:val="333333"/>
        </w:rPr>
        <w:t>. L</w:t>
      </w:r>
      <w:r w:rsidRPr="000A34AE">
        <w:rPr>
          <w:rStyle w:val="hps"/>
          <w:color w:val="333333"/>
        </w:rPr>
        <w:t>a pianificazione</w:t>
      </w:r>
      <w:r w:rsidRPr="000A34AE">
        <w:rPr>
          <w:color w:val="333333"/>
        </w:rPr>
        <w:t xml:space="preserve"> delle forze lavoro </w:t>
      </w:r>
      <w:r w:rsidRPr="000A34AE">
        <w:rPr>
          <w:rStyle w:val="hps"/>
          <w:color w:val="333333"/>
        </w:rPr>
        <w:t>è</w:t>
      </w:r>
      <w:r w:rsidRPr="000A34AE">
        <w:rPr>
          <w:color w:val="333333"/>
        </w:rPr>
        <w:t xml:space="preserve"> quindi </w:t>
      </w:r>
      <w:r w:rsidRPr="000A34AE">
        <w:rPr>
          <w:rStyle w:val="hps"/>
          <w:color w:val="333333"/>
        </w:rPr>
        <w:t xml:space="preserve">cruciale. </w:t>
      </w:r>
      <w:r w:rsidRPr="000A34AE">
        <w:rPr>
          <w:color w:val="333333"/>
        </w:rPr>
        <w:t>Negli stati membri</w:t>
      </w:r>
      <w:r w:rsidRPr="000A34AE">
        <w:rPr>
          <w:rStyle w:val="hps"/>
          <w:color w:val="333333"/>
        </w:rPr>
        <w:t xml:space="preserve">, però, </w:t>
      </w:r>
      <w:r w:rsidRPr="000A34AE">
        <w:rPr>
          <w:color w:val="333333"/>
        </w:rPr>
        <w:t>n</w:t>
      </w:r>
      <w:r w:rsidRPr="000A34AE">
        <w:rPr>
          <w:rStyle w:val="hps"/>
          <w:color w:val="333333"/>
        </w:rPr>
        <w:t>on esistono standard</w:t>
      </w:r>
      <w:r w:rsidRPr="000A34AE">
        <w:rPr>
          <w:color w:val="333333"/>
        </w:rPr>
        <w:t xml:space="preserve"> e metodologie condivise</w:t>
      </w:r>
      <w:r w:rsidRPr="000A34AE">
        <w:rPr>
          <w:rStyle w:val="hps"/>
          <w:color w:val="333333"/>
        </w:rPr>
        <w:t xml:space="preserve"> per la pianificazione</w:t>
      </w:r>
      <w:r w:rsidRPr="000A34AE">
        <w:rPr>
          <w:color w:val="333333"/>
        </w:rPr>
        <w:t xml:space="preserve"> del personale sanitario.</w:t>
      </w:r>
    </w:p>
    <w:p w:rsidR="000A34AE" w:rsidRDefault="000A34AE" w:rsidP="000A34AE">
      <w:pPr>
        <w:jc w:val="both"/>
        <w:rPr>
          <w:rStyle w:val="hps"/>
          <w:color w:val="333333"/>
        </w:rPr>
      </w:pPr>
      <w:r w:rsidRPr="000A34AE">
        <w:rPr>
          <w:rStyle w:val="hps"/>
          <w:color w:val="333333"/>
        </w:rPr>
        <w:t>L'obiettivo generale</w:t>
      </w:r>
      <w:r w:rsidRPr="000A34AE">
        <w:rPr>
          <w:color w:val="333333"/>
        </w:rPr>
        <w:t xml:space="preserve"> </w:t>
      </w:r>
      <w:r w:rsidRPr="000A34AE">
        <w:rPr>
          <w:rStyle w:val="hps"/>
          <w:color w:val="333333"/>
        </w:rPr>
        <w:t>di questa azione comune è</w:t>
      </w:r>
      <w:r w:rsidRPr="000A34AE">
        <w:rPr>
          <w:color w:val="333333"/>
        </w:rPr>
        <w:t xml:space="preserve"> </w:t>
      </w:r>
      <w:r w:rsidRPr="000A34AE">
        <w:rPr>
          <w:rStyle w:val="hps"/>
          <w:color w:val="333333"/>
        </w:rPr>
        <w:t>una</w:t>
      </w:r>
      <w:r w:rsidRPr="000A34AE">
        <w:rPr>
          <w:color w:val="333333"/>
        </w:rPr>
        <w:t xml:space="preserve"> </w:t>
      </w:r>
      <w:r w:rsidRPr="000A34AE">
        <w:rPr>
          <w:rStyle w:val="hps"/>
          <w:color w:val="333333"/>
        </w:rPr>
        <w:t>piattaforma per la collaborazione</w:t>
      </w:r>
      <w:r w:rsidRPr="000A34AE">
        <w:rPr>
          <w:color w:val="333333"/>
        </w:rPr>
        <w:t xml:space="preserve"> </w:t>
      </w:r>
      <w:r w:rsidRPr="000A34AE">
        <w:rPr>
          <w:rStyle w:val="hps"/>
          <w:color w:val="333333"/>
        </w:rPr>
        <w:t>e lo scambio di buone pratiche tra</w:t>
      </w:r>
      <w:r w:rsidRPr="000A34AE">
        <w:rPr>
          <w:color w:val="333333"/>
        </w:rPr>
        <w:t xml:space="preserve"> </w:t>
      </w:r>
      <w:r w:rsidRPr="000A34AE">
        <w:rPr>
          <w:rStyle w:val="hps"/>
          <w:color w:val="333333"/>
        </w:rPr>
        <w:t xml:space="preserve">le autorità sanitarie degli Stati e gli </w:t>
      </w:r>
      <w:proofErr w:type="spellStart"/>
      <w:r w:rsidRPr="000A34AE">
        <w:rPr>
          <w:rStyle w:val="hps"/>
          <w:color w:val="333333"/>
        </w:rPr>
        <w:t>stakeholder</w:t>
      </w:r>
      <w:proofErr w:type="spellEnd"/>
      <w:r w:rsidRPr="000A34AE">
        <w:rPr>
          <w:rStyle w:val="hps"/>
          <w:color w:val="333333"/>
        </w:rPr>
        <w:t xml:space="preserve"> coinvolti, al fine di pianificare</w:t>
      </w:r>
      <w:r w:rsidRPr="000A34AE">
        <w:rPr>
          <w:color w:val="333333"/>
        </w:rPr>
        <w:t xml:space="preserve"> </w:t>
      </w:r>
      <w:r w:rsidRPr="000A34AE">
        <w:rPr>
          <w:rStyle w:val="hps"/>
          <w:color w:val="333333"/>
        </w:rPr>
        <w:t xml:space="preserve">il futuro degli </w:t>
      </w:r>
      <w:r w:rsidRPr="000A34AE">
        <w:rPr>
          <w:rStyle w:val="hps"/>
          <w:color w:val="333333"/>
        </w:rPr>
        <w:lastRenderedPageBreak/>
        <w:t>operatori sanitari e sostenere l'Europa</w:t>
      </w:r>
      <w:r w:rsidRPr="000A34AE">
        <w:rPr>
          <w:color w:val="333333"/>
        </w:rPr>
        <w:t xml:space="preserve"> e gli Stati membri nell’adozione di </w:t>
      </w:r>
      <w:r w:rsidRPr="000A34AE">
        <w:rPr>
          <w:rStyle w:val="hps"/>
          <w:color w:val="333333"/>
        </w:rPr>
        <w:t>misure efficaci</w:t>
      </w:r>
      <w:r w:rsidRPr="000A34AE">
        <w:rPr>
          <w:color w:val="333333"/>
        </w:rPr>
        <w:t xml:space="preserve"> </w:t>
      </w:r>
      <w:r w:rsidRPr="000A34AE">
        <w:rPr>
          <w:rStyle w:val="hps"/>
          <w:color w:val="333333"/>
        </w:rPr>
        <w:t>e sostenibili</w:t>
      </w:r>
      <w:r w:rsidRPr="000A34AE">
        <w:rPr>
          <w:color w:val="333333"/>
        </w:rPr>
        <w:t xml:space="preserve">. L’azione, </w:t>
      </w:r>
      <w:r w:rsidRPr="000A34AE">
        <w:rPr>
          <w:rStyle w:val="longtext"/>
          <w:color w:val="333333"/>
        </w:rPr>
        <w:t>i</w:t>
      </w:r>
      <w:r w:rsidRPr="000A34AE">
        <w:rPr>
          <w:rStyle w:val="hps"/>
          <w:color w:val="333333"/>
        </w:rPr>
        <w:t>niziata</w:t>
      </w:r>
      <w:r w:rsidRPr="000A34AE">
        <w:rPr>
          <w:rStyle w:val="longtext"/>
          <w:color w:val="333333"/>
        </w:rPr>
        <w:t xml:space="preserve"> </w:t>
      </w:r>
      <w:r w:rsidRPr="000A34AE">
        <w:rPr>
          <w:rStyle w:val="hps"/>
          <w:color w:val="333333"/>
        </w:rPr>
        <w:t>nell’aprile</w:t>
      </w:r>
      <w:r w:rsidRPr="000A34AE">
        <w:rPr>
          <w:rStyle w:val="longtext"/>
          <w:color w:val="333333"/>
        </w:rPr>
        <w:t xml:space="preserve"> </w:t>
      </w:r>
      <w:r w:rsidRPr="000A34AE">
        <w:rPr>
          <w:rStyle w:val="hps"/>
          <w:color w:val="333333"/>
        </w:rPr>
        <w:t>2013, verrà completata a</w:t>
      </w:r>
      <w:r w:rsidRPr="000A34AE">
        <w:rPr>
          <w:rStyle w:val="longtext"/>
          <w:color w:val="333333"/>
        </w:rPr>
        <w:t xml:space="preserve"> </w:t>
      </w:r>
      <w:r w:rsidRPr="000A34AE">
        <w:rPr>
          <w:rStyle w:val="hps"/>
          <w:color w:val="333333"/>
        </w:rPr>
        <w:t>fine</w:t>
      </w:r>
      <w:r w:rsidRPr="000A34AE">
        <w:rPr>
          <w:rStyle w:val="longtext"/>
          <w:color w:val="333333"/>
        </w:rPr>
        <w:t xml:space="preserve"> </w:t>
      </w:r>
      <w:r w:rsidRPr="000A34AE">
        <w:rPr>
          <w:rStyle w:val="hps"/>
          <w:color w:val="333333"/>
        </w:rPr>
        <w:t>2015</w:t>
      </w:r>
    </w:p>
    <w:p w:rsidR="000A34AE" w:rsidRPr="000A34AE" w:rsidRDefault="000A34AE" w:rsidP="000A34AE">
      <w:pPr>
        <w:jc w:val="center"/>
        <w:rPr>
          <w:b/>
          <w:color w:val="333333"/>
        </w:rPr>
      </w:pPr>
      <w:r w:rsidRPr="000A34AE">
        <w:rPr>
          <w:rStyle w:val="hps"/>
          <w:b/>
          <w:color w:val="333333"/>
        </w:rPr>
        <w:t>L'azione comune</w:t>
      </w:r>
      <w:r w:rsidRPr="000A34AE">
        <w:rPr>
          <w:b/>
          <w:color w:val="333333"/>
        </w:rPr>
        <w:t xml:space="preserve"> prevede </w:t>
      </w:r>
      <w:r w:rsidRPr="000A34AE">
        <w:rPr>
          <w:rStyle w:val="hps"/>
          <w:b/>
          <w:color w:val="333333"/>
        </w:rPr>
        <w:t>3</w:t>
      </w:r>
      <w:r w:rsidRPr="000A34AE">
        <w:rPr>
          <w:b/>
          <w:color w:val="333333"/>
        </w:rPr>
        <w:t xml:space="preserve"> </w:t>
      </w:r>
      <w:r w:rsidRPr="000A34AE">
        <w:rPr>
          <w:rStyle w:val="hps"/>
          <w:b/>
          <w:color w:val="333333"/>
        </w:rPr>
        <w:t>pacchetti di lavoro</w:t>
      </w:r>
      <w:r w:rsidRPr="000A34AE">
        <w:rPr>
          <w:b/>
          <w:color w:val="333333"/>
        </w:rPr>
        <w:t xml:space="preserve"> </w:t>
      </w:r>
      <w:r w:rsidRPr="000A34AE">
        <w:rPr>
          <w:rStyle w:val="hps"/>
          <w:b/>
          <w:color w:val="333333"/>
        </w:rPr>
        <w:t>orizzontali</w:t>
      </w:r>
      <w:r w:rsidRPr="000A34AE">
        <w:rPr>
          <w:b/>
          <w:color w:val="333333"/>
        </w:rPr>
        <w:t xml:space="preserve"> </w:t>
      </w:r>
      <w:r w:rsidRPr="000A34AE">
        <w:rPr>
          <w:rStyle w:val="hps"/>
          <w:b/>
          <w:color w:val="333333"/>
        </w:rPr>
        <w:t>e 4</w:t>
      </w:r>
      <w:r w:rsidRPr="000A34AE">
        <w:rPr>
          <w:b/>
          <w:color w:val="333333"/>
        </w:rPr>
        <w:t xml:space="preserve"> pacchetti di lavoro centrali:</w:t>
      </w:r>
    </w:p>
    <w:tbl>
      <w:tblPr>
        <w:tblW w:w="8897"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440"/>
        <w:gridCol w:w="1660"/>
        <w:gridCol w:w="5096"/>
        <w:gridCol w:w="1701"/>
      </w:tblGrid>
      <w:tr w:rsidR="000A34AE" w:rsidRPr="006A21DB" w:rsidTr="00BA3ACA">
        <w:trPr>
          <w:jc w:val="center"/>
        </w:trPr>
        <w:tc>
          <w:tcPr>
            <w:tcW w:w="440"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Nr</w:t>
            </w:r>
          </w:p>
        </w:tc>
        <w:tc>
          <w:tcPr>
            <w:tcW w:w="1660"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Title</w:t>
            </w:r>
          </w:p>
        </w:tc>
        <w:tc>
          <w:tcPr>
            <w:tcW w:w="5096"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Description</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Leading Country</w:t>
            </w:r>
          </w:p>
        </w:tc>
      </w:tr>
      <w:tr w:rsidR="000A34AE" w:rsidRPr="006A21DB" w:rsidTr="00BA3ACA">
        <w:trPr>
          <w:jc w:val="center"/>
        </w:trPr>
        <w:tc>
          <w:tcPr>
            <w:tcW w:w="440" w:type="dxa"/>
            <w:tcBorders>
              <w:top w:val="single" w:sz="8" w:space="0" w:color="FFFFFF"/>
              <w:left w:val="single" w:sz="8" w:space="0" w:color="FFFFFF"/>
              <w:bottom w:val="nil"/>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1</w:t>
            </w:r>
          </w:p>
        </w:tc>
        <w:tc>
          <w:tcPr>
            <w:tcW w:w="1660"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Coordination</w:t>
            </w:r>
          </w:p>
        </w:tc>
        <w:tc>
          <w:tcPr>
            <w:tcW w:w="5096"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Actions undertaken to manage the project and to make sure that it is implemented as planned</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BE</w:t>
            </w:r>
          </w:p>
        </w:tc>
      </w:tr>
      <w:tr w:rsidR="000A34AE" w:rsidRPr="006A21DB" w:rsidTr="00BA3ACA">
        <w:trPr>
          <w:jc w:val="center"/>
        </w:trPr>
        <w:tc>
          <w:tcPr>
            <w:tcW w:w="440" w:type="dxa"/>
            <w:tcBorders>
              <w:left w:val="single" w:sz="8" w:space="0" w:color="FFFFFF"/>
              <w:bottom w:val="nil"/>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2</w:t>
            </w:r>
          </w:p>
        </w:tc>
        <w:tc>
          <w:tcPr>
            <w:tcW w:w="1660"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Dissemination</w:t>
            </w:r>
          </w:p>
        </w:tc>
        <w:tc>
          <w:tcPr>
            <w:tcW w:w="5096"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Actions undertaken to ensure that the results and deliverables of the project will be made available to the target groups</w:t>
            </w:r>
          </w:p>
        </w:tc>
        <w:tc>
          <w:tcPr>
            <w:tcW w:w="1701"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SK</w:t>
            </w:r>
          </w:p>
        </w:tc>
      </w:tr>
      <w:tr w:rsidR="000A34AE" w:rsidRPr="006A21DB" w:rsidTr="00BA3ACA">
        <w:trPr>
          <w:jc w:val="center"/>
        </w:trPr>
        <w:tc>
          <w:tcPr>
            <w:tcW w:w="440" w:type="dxa"/>
            <w:tcBorders>
              <w:top w:val="single" w:sz="8" w:space="0" w:color="FFFFFF"/>
              <w:left w:val="single" w:sz="8" w:space="0" w:color="FFFFFF"/>
              <w:bottom w:val="single" w:sz="8" w:space="0" w:color="FFFFFF"/>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3</w:t>
            </w:r>
          </w:p>
        </w:tc>
        <w:tc>
          <w:tcPr>
            <w:tcW w:w="1660"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Evaluation</w:t>
            </w:r>
          </w:p>
        </w:tc>
        <w:tc>
          <w:tcPr>
            <w:tcW w:w="5096"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Actions undertaken to verify if the project is being implemented as planned and reaches the objectives</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FI</w:t>
            </w:r>
          </w:p>
        </w:tc>
      </w:tr>
    </w:tbl>
    <w:p w:rsidR="000A34AE" w:rsidRPr="000A34AE" w:rsidRDefault="000A34AE" w:rsidP="000A34AE">
      <w:pPr>
        <w:pStyle w:val="Paragrafoelenco"/>
        <w:numPr>
          <w:ilvl w:val="0"/>
          <w:numId w:val="1"/>
        </w:numPr>
        <w:jc w:val="both"/>
        <w:rPr>
          <w:color w:val="333333"/>
        </w:rPr>
      </w:pPr>
    </w:p>
    <w:tbl>
      <w:tblPr>
        <w:tblW w:w="8897"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534"/>
        <w:gridCol w:w="1559"/>
        <w:gridCol w:w="5103"/>
        <w:gridCol w:w="1701"/>
      </w:tblGrid>
      <w:tr w:rsidR="000A34AE" w:rsidRPr="006A21DB" w:rsidTr="00BA3ACA">
        <w:trPr>
          <w:jc w:val="center"/>
        </w:trPr>
        <w:tc>
          <w:tcPr>
            <w:tcW w:w="534"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Nr</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Title</w:t>
            </w:r>
          </w:p>
        </w:tc>
        <w:tc>
          <w:tcPr>
            <w:tcW w:w="5103"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Description</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Pr>
          <w:p w:rsidR="000A34AE" w:rsidRPr="006A21DB" w:rsidRDefault="000A34AE" w:rsidP="00BA3ACA">
            <w:pPr>
              <w:rPr>
                <w:rFonts w:cs="Calibri"/>
                <w:b/>
                <w:bCs/>
                <w:color w:val="FFFFFF"/>
                <w:lang w:val="en-US"/>
              </w:rPr>
            </w:pPr>
            <w:r w:rsidRPr="006A21DB">
              <w:rPr>
                <w:rFonts w:cs="Calibri"/>
                <w:color w:val="FFFFFF"/>
                <w:lang w:val="en-US"/>
              </w:rPr>
              <w:t>Leading Country</w:t>
            </w:r>
          </w:p>
        </w:tc>
      </w:tr>
      <w:tr w:rsidR="000A34AE" w:rsidRPr="006A21DB" w:rsidTr="00BA3ACA">
        <w:trPr>
          <w:jc w:val="center"/>
        </w:trPr>
        <w:tc>
          <w:tcPr>
            <w:tcW w:w="534" w:type="dxa"/>
            <w:tcBorders>
              <w:top w:val="single" w:sz="8" w:space="0" w:color="FFFFFF"/>
              <w:left w:val="single" w:sz="8" w:space="0" w:color="FFFFFF"/>
              <w:bottom w:val="nil"/>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4</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Data for health workforce planning</w:t>
            </w:r>
          </w:p>
        </w:tc>
        <w:tc>
          <w:tcPr>
            <w:tcW w:w="5103"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This WP provides key building blocks of the HWF planning and forecasting systems by providing better understanding of collected data on MS and European level. Special attention will be given to migration and mobility data.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HU</w:t>
            </w:r>
          </w:p>
        </w:tc>
      </w:tr>
      <w:tr w:rsidR="000A34AE" w:rsidRPr="006A21DB" w:rsidTr="00BA3ACA">
        <w:trPr>
          <w:jc w:val="center"/>
        </w:trPr>
        <w:tc>
          <w:tcPr>
            <w:tcW w:w="534" w:type="dxa"/>
            <w:tcBorders>
              <w:left w:val="single" w:sz="8" w:space="0" w:color="FFFFFF"/>
              <w:bottom w:val="nil"/>
              <w:right w:val="single" w:sz="24" w:space="0" w:color="FFFFFF"/>
            </w:tcBorders>
            <w:shd w:val="clear" w:color="auto" w:fill="4F81BD"/>
          </w:tcPr>
          <w:p w:rsidR="000A34AE" w:rsidRPr="006A21DB" w:rsidRDefault="000A34AE" w:rsidP="00BA3ACA">
            <w:pPr>
              <w:rPr>
                <w:rFonts w:cs="Calibri"/>
                <w:b/>
                <w:bCs/>
                <w:color w:val="C00000"/>
                <w:lang w:val="en-US"/>
              </w:rPr>
            </w:pPr>
            <w:r w:rsidRPr="006A21DB">
              <w:rPr>
                <w:rFonts w:cs="Calibri"/>
                <w:b/>
                <w:color w:val="C00000"/>
                <w:lang w:val="en-US"/>
              </w:rPr>
              <w:t>5</w:t>
            </w:r>
          </w:p>
        </w:tc>
        <w:tc>
          <w:tcPr>
            <w:tcW w:w="1559" w:type="dxa"/>
            <w:shd w:val="clear" w:color="auto" w:fill="D3DFEE"/>
          </w:tcPr>
          <w:p w:rsidR="000A34AE" w:rsidRPr="006A21DB" w:rsidRDefault="000A34AE" w:rsidP="00BA3ACA">
            <w:pPr>
              <w:rPr>
                <w:rFonts w:cs="Calibri"/>
                <w:bCs/>
                <w:color w:val="C00000"/>
                <w:lang w:val="en-US"/>
              </w:rPr>
            </w:pPr>
            <w:r w:rsidRPr="006A21DB">
              <w:rPr>
                <w:rFonts w:cs="Calibri"/>
                <w:bCs/>
                <w:color w:val="C00000"/>
                <w:lang w:val="en-US"/>
              </w:rPr>
              <w:t>Exchange of good practices in planning methodologies</w:t>
            </w:r>
          </w:p>
        </w:tc>
        <w:tc>
          <w:tcPr>
            <w:tcW w:w="5103" w:type="dxa"/>
            <w:shd w:val="clear" w:color="auto" w:fill="D3DFEE"/>
          </w:tcPr>
          <w:p w:rsidR="000A34AE" w:rsidRPr="006A21DB" w:rsidRDefault="000A34AE" w:rsidP="00BA3ACA">
            <w:pPr>
              <w:rPr>
                <w:rFonts w:cs="Calibri"/>
                <w:bCs/>
                <w:color w:val="C00000"/>
                <w:lang w:val="en-US"/>
              </w:rPr>
            </w:pPr>
            <w:r w:rsidRPr="006A21DB">
              <w:rPr>
                <w:rFonts w:cs="Calibri"/>
                <w:bCs/>
                <w:color w:val="C00000"/>
                <w:lang w:val="en-US"/>
              </w:rPr>
              <w:t>This WP promotes &amp; supports the use of quantitative model-based planning methodologies (both supply-side and demand-side) based on what is in use today or shortcomings in EU countries and a “good practices” evaluation. Health professions in focus: doctors, nurses, pharmacists, dentists and midwives.</w:t>
            </w:r>
          </w:p>
        </w:tc>
        <w:tc>
          <w:tcPr>
            <w:tcW w:w="1701" w:type="dxa"/>
            <w:shd w:val="clear" w:color="auto" w:fill="D3DFEE"/>
          </w:tcPr>
          <w:p w:rsidR="000A34AE" w:rsidRPr="006A21DB" w:rsidRDefault="000A34AE" w:rsidP="00BA3ACA">
            <w:pPr>
              <w:rPr>
                <w:rFonts w:cs="Calibri"/>
                <w:bCs/>
                <w:color w:val="C00000"/>
                <w:lang w:val="en-US"/>
              </w:rPr>
            </w:pPr>
            <w:r w:rsidRPr="006A21DB">
              <w:rPr>
                <w:rFonts w:cs="Calibri"/>
                <w:bCs/>
                <w:color w:val="C00000"/>
                <w:lang w:val="en-US"/>
              </w:rPr>
              <w:t>IT</w:t>
            </w:r>
          </w:p>
        </w:tc>
      </w:tr>
      <w:tr w:rsidR="000A34AE" w:rsidRPr="006A21DB" w:rsidTr="00BA3ACA">
        <w:trPr>
          <w:jc w:val="center"/>
        </w:trPr>
        <w:tc>
          <w:tcPr>
            <w:tcW w:w="534" w:type="dxa"/>
            <w:tcBorders>
              <w:top w:val="single" w:sz="8" w:space="0" w:color="FFFFFF"/>
              <w:left w:val="single" w:sz="8" w:space="0" w:color="FFFFFF"/>
              <w:bottom w:val="nil"/>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6</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Horizon scanning</w:t>
            </w:r>
          </w:p>
        </w:tc>
        <w:tc>
          <w:tcPr>
            <w:tcW w:w="5103"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This work package will document qualitative workforce planning in MSs by exchanging experience, practices, outputs and outcomes in horizon scanning methodologies and will support the use of horizon scanning. WP6 will also estimate the future needs in terms of skills and competencies of HWF.</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0A34AE" w:rsidRPr="006A21DB" w:rsidRDefault="000A34AE" w:rsidP="00BA3ACA">
            <w:pPr>
              <w:rPr>
                <w:rFonts w:cs="Calibri"/>
                <w:bCs/>
                <w:color w:val="000000"/>
                <w:lang w:val="en-US"/>
              </w:rPr>
            </w:pPr>
            <w:r w:rsidRPr="006A21DB">
              <w:rPr>
                <w:rFonts w:cs="Calibri"/>
                <w:bCs/>
                <w:color w:val="000000"/>
                <w:lang w:val="en-US"/>
              </w:rPr>
              <w:t>UK</w:t>
            </w:r>
          </w:p>
        </w:tc>
      </w:tr>
      <w:tr w:rsidR="000A34AE" w:rsidRPr="006A21DB" w:rsidTr="00BA3ACA">
        <w:trPr>
          <w:jc w:val="center"/>
        </w:trPr>
        <w:tc>
          <w:tcPr>
            <w:tcW w:w="534" w:type="dxa"/>
            <w:tcBorders>
              <w:left w:val="single" w:sz="8" w:space="0" w:color="FFFFFF"/>
              <w:right w:val="single" w:sz="24" w:space="0" w:color="FFFFFF"/>
            </w:tcBorders>
            <w:shd w:val="clear" w:color="auto" w:fill="4F81BD"/>
          </w:tcPr>
          <w:p w:rsidR="000A34AE" w:rsidRPr="006A21DB" w:rsidRDefault="000A34AE" w:rsidP="00BA3ACA">
            <w:pPr>
              <w:rPr>
                <w:rFonts w:cs="Calibri"/>
                <w:b/>
                <w:bCs/>
                <w:color w:val="FFFFFF"/>
                <w:lang w:val="en-US"/>
              </w:rPr>
            </w:pPr>
            <w:r w:rsidRPr="006A21DB">
              <w:rPr>
                <w:rFonts w:cs="Calibri"/>
                <w:b/>
                <w:color w:val="FFFFFF"/>
                <w:lang w:val="en-US"/>
              </w:rPr>
              <w:t>7</w:t>
            </w:r>
          </w:p>
        </w:tc>
        <w:tc>
          <w:tcPr>
            <w:tcW w:w="1559"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Sustainability of the results of the Joint Action</w:t>
            </w:r>
          </w:p>
        </w:tc>
        <w:tc>
          <w:tcPr>
            <w:tcW w:w="5103"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This WP will consolidate the JA experience &amp; results in view of continuation. It will identify the partners to continue the activities &amp; the format of the continuation for after the JA. It will elaborate a coherent plan for follow-up and reinforce impact  of HWF planning &amp; forecast on policy making.</w:t>
            </w:r>
          </w:p>
        </w:tc>
        <w:tc>
          <w:tcPr>
            <w:tcW w:w="1701" w:type="dxa"/>
            <w:shd w:val="clear" w:color="auto" w:fill="D3DFEE"/>
          </w:tcPr>
          <w:p w:rsidR="000A34AE" w:rsidRPr="006A21DB" w:rsidRDefault="000A34AE" w:rsidP="00BA3ACA">
            <w:pPr>
              <w:rPr>
                <w:rFonts w:cs="Calibri"/>
                <w:bCs/>
                <w:color w:val="000000"/>
                <w:lang w:val="en-US"/>
              </w:rPr>
            </w:pPr>
            <w:r w:rsidRPr="006A21DB">
              <w:rPr>
                <w:rFonts w:cs="Calibri"/>
                <w:bCs/>
                <w:color w:val="000000"/>
                <w:lang w:val="en-US"/>
              </w:rPr>
              <w:t>BU</w:t>
            </w:r>
          </w:p>
        </w:tc>
      </w:tr>
    </w:tbl>
    <w:p w:rsidR="000A34AE" w:rsidRPr="000A34AE" w:rsidRDefault="000A34AE" w:rsidP="000A34AE">
      <w:pPr>
        <w:jc w:val="both"/>
        <w:rPr>
          <w:color w:val="333333"/>
        </w:rPr>
      </w:pPr>
    </w:p>
    <w:p w:rsidR="000A34AE" w:rsidRPr="000A34AE" w:rsidRDefault="000A34AE" w:rsidP="000A34AE">
      <w:pPr>
        <w:jc w:val="both"/>
        <w:rPr>
          <w:rStyle w:val="longtext"/>
          <w:color w:val="333333"/>
        </w:rPr>
      </w:pPr>
      <w:r w:rsidRPr="000A34AE">
        <w:rPr>
          <w:color w:val="333333"/>
        </w:rPr>
        <w:lastRenderedPageBreak/>
        <w:t xml:space="preserve">L’Italia, tramite il Ministero della Salute, è responsabile del pacchetto di lavoro (WP) n. 5 (scambio di buone pratiche nelle metodologie di pianificazione). Il 18 maggio scorso l’Italia ha inaugurato l’azione comune, ponendo la prima tessera del mosaico: </w:t>
      </w:r>
      <w:r w:rsidRPr="000A34AE">
        <w:rPr>
          <w:rStyle w:val="hps"/>
          <w:rFonts w:cs="Arial"/>
          <w:color w:val="333333"/>
        </w:rPr>
        <w:t xml:space="preserve">Giovanni </w:t>
      </w:r>
      <w:proofErr w:type="spellStart"/>
      <w:r w:rsidRPr="000A34AE">
        <w:rPr>
          <w:rStyle w:val="hps"/>
          <w:rFonts w:cs="Arial"/>
          <w:color w:val="333333"/>
        </w:rPr>
        <w:t>Leonardi</w:t>
      </w:r>
      <w:proofErr w:type="spellEnd"/>
      <w:r w:rsidRPr="000A34AE">
        <w:rPr>
          <w:rFonts w:cs="Arial"/>
          <w:color w:val="333333"/>
        </w:rPr>
        <w:t xml:space="preserve">, </w:t>
      </w:r>
      <w:r w:rsidRPr="000A34AE">
        <w:rPr>
          <w:rStyle w:val="hps"/>
          <w:rFonts w:cs="Arial"/>
          <w:color w:val="333333"/>
        </w:rPr>
        <w:t>leader</w:t>
      </w:r>
      <w:r w:rsidRPr="000A34AE">
        <w:rPr>
          <w:rFonts w:cs="Arial"/>
          <w:color w:val="333333"/>
        </w:rPr>
        <w:t xml:space="preserve"> del WP, </w:t>
      </w:r>
      <w:r w:rsidRPr="000A34AE">
        <w:rPr>
          <w:rStyle w:val="hps"/>
          <w:rFonts w:cs="Arial"/>
          <w:color w:val="333333"/>
        </w:rPr>
        <w:t>e la sua squadra</w:t>
      </w:r>
      <w:r w:rsidRPr="000A34AE">
        <w:rPr>
          <w:rFonts w:cs="Arial"/>
          <w:color w:val="333333"/>
        </w:rPr>
        <w:t xml:space="preserve"> </w:t>
      </w:r>
      <w:r w:rsidRPr="000A34AE">
        <w:rPr>
          <w:rStyle w:val="hps"/>
          <w:rFonts w:cs="Arial"/>
          <w:color w:val="333333"/>
        </w:rPr>
        <w:t>hanno accolto un</w:t>
      </w:r>
      <w:r w:rsidRPr="000A34AE">
        <w:rPr>
          <w:rFonts w:cs="Arial"/>
          <w:color w:val="333333"/>
        </w:rPr>
        <w:t xml:space="preserve"> </w:t>
      </w:r>
      <w:r w:rsidRPr="000A34AE">
        <w:rPr>
          <w:rStyle w:val="hps"/>
          <w:rFonts w:cs="Arial"/>
          <w:color w:val="333333"/>
        </w:rPr>
        <w:t>gran numero di</w:t>
      </w:r>
      <w:r w:rsidRPr="000A34AE">
        <w:rPr>
          <w:rFonts w:cs="Arial"/>
          <w:color w:val="333333"/>
        </w:rPr>
        <w:t xml:space="preserve"> </w:t>
      </w:r>
      <w:r w:rsidRPr="000A34AE">
        <w:rPr>
          <w:rStyle w:val="hps"/>
          <w:rFonts w:cs="Arial"/>
          <w:color w:val="333333"/>
        </w:rPr>
        <w:t xml:space="preserve">partecipanti provenienti dagli Stati membri, presentando </w:t>
      </w:r>
      <w:r w:rsidRPr="000A34AE">
        <w:rPr>
          <w:rFonts w:cs="Arial"/>
          <w:color w:val="333333"/>
        </w:rPr>
        <w:t xml:space="preserve">l’impegnativa pianificazione del pacchetto n. 5. </w:t>
      </w:r>
    </w:p>
    <w:p w:rsidR="000A34AE" w:rsidRPr="000A34AE" w:rsidRDefault="000A34AE" w:rsidP="000A34AE">
      <w:pPr>
        <w:jc w:val="both"/>
        <w:rPr>
          <w:rStyle w:val="hps"/>
          <w:color w:val="333333"/>
        </w:rPr>
      </w:pPr>
      <w:r w:rsidRPr="000A34AE">
        <w:rPr>
          <w:rStyle w:val="hps"/>
          <w:color w:val="333333"/>
        </w:rPr>
        <w:t>Il dr.</w:t>
      </w:r>
      <w:r w:rsidRPr="000A34AE">
        <w:rPr>
          <w:rStyle w:val="longtext"/>
          <w:color w:val="333333"/>
        </w:rPr>
        <w:t xml:space="preserve"> </w:t>
      </w:r>
      <w:r w:rsidRPr="000A34AE">
        <w:rPr>
          <w:rStyle w:val="hps"/>
          <w:color w:val="333333"/>
        </w:rPr>
        <w:t>Daniel</w:t>
      </w:r>
      <w:r w:rsidRPr="000A34AE">
        <w:rPr>
          <w:rStyle w:val="longtext"/>
          <w:color w:val="333333"/>
        </w:rPr>
        <w:t xml:space="preserve"> </w:t>
      </w:r>
      <w:proofErr w:type="spellStart"/>
      <w:r w:rsidRPr="000A34AE">
        <w:rPr>
          <w:rStyle w:val="hps"/>
          <w:color w:val="333333"/>
        </w:rPr>
        <w:t>Widmer</w:t>
      </w:r>
      <w:proofErr w:type="spellEnd"/>
      <w:r w:rsidRPr="000A34AE">
        <w:rPr>
          <w:rStyle w:val="hps"/>
          <w:color w:val="333333"/>
        </w:rPr>
        <w:t xml:space="preserve"> (Svizzera)</w:t>
      </w:r>
      <w:r w:rsidRPr="000A34AE">
        <w:rPr>
          <w:rStyle w:val="longtext"/>
          <w:color w:val="333333"/>
        </w:rPr>
        <w:t xml:space="preserve"> </w:t>
      </w:r>
      <w:r w:rsidRPr="000A34AE">
        <w:rPr>
          <w:rStyle w:val="hps"/>
          <w:color w:val="333333"/>
        </w:rPr>
        <w:t xml:space="preserve">ha presentato </w:t>
      </w:r>
      <w:r w:rsidR="00B42B7C">
        <w:rPr>
          <w:rStyle w:val="hps"/>
          <w:color w:val="333333"/>
        </w:rPr>
        <w:t xml:space="preserve">poi </w:t>
      </w:r>
      <w:r w:rsidRPr="000A34AE">
        <w:rPr>
          <w:rStyle w:val="hps"/>
          <w:color w:val="333333"/>
        </w:rPr>
        <w:t>la bozza di un documento UEMO condiviso sul valore aggiunto del lavoro di squadra nella medicina generale/di famiglia. Analizzando le dodici macroaree di competenze che caratterizzano la definizione del medico di medicina generale della WONCA, si sono discusse le competenze da poter condividere con le infermiere. Il timore, però</w:t>
      </w:r>
      <w:r w:rsidR="00B42B7C">
        <w:rPr>
          <w:rStyle w:val="hps"/>
          <w:color w:val="333333"/>
        </w:rPr>
        <w:t>,</w:t>
      </w:r>
      <w:r w:rsidRPr="000A34AE">
        <w:rPr>
          <w:rStyle w:val="hps"/>
          <w:color w:val="333333"/>
        </w:rPr>
        <w:t xml:space="preserve"> è che questa condivisione possa essere letta, in un’ottica di restrizione di bilancio, come una delega esclusiva delle competenze condivise. Il dr. </w:t>
      </w:r>
      <w:proofErr w:type="spellStart"/>
      <w:r w:rsidRPr="000A34AE">
        <w:rPr>
          <w:rStyle w:val="hps"/>
          <w:color w:val="333333"/>
        </w:rPr>
        <w:t>Widmer</w:t>
      </w:r>
      <w:proofErr w:type="spellEnd"/>
      <w:r w:rsidRPr="000A34AE">
        <w:rPr>
          <w:rStyle w:val="hps"/>
          <w:color w:val="333333"/>
        </w:rPr>
        <w:t xml:space="preserve"> preparerà</w:t>
      </w:r>
      <w:r w:rsidRPr="000A34AE">
        <w:rPr>
          <w:rStyle w:val="longtext"/>
          <w:color w:val="333333"/>
        </w:rPr>
        <w:t xml:space="preserve"> </w:t>
      </w:r>
      <w:r w:rsidRPr="000A34AE">
        <w:rPr>
          <w:rStyle w:val="hps"/>
          <w:color w:val="333333"/>
        </w:rPr>
        <w:t>il documento finale</w:t>
      </w:r>
      <w:r w:rsidRPr="000A34AE">
        <w:rPr>
          <w:rStyle w:val="longtext"/>
          <w:color w:val="333333"/>
        </w:rPr>
        <w:t xml:space="preserve"> </w:t>
      </w:r>
      <w:r w:rsidRPr="000A34AE">
        <w:rPr>
          <w:rStyle w:val="hps"/>
          <w:color w:val="333333"/>
        </w:rPr>
        <w:t>per l'approvazione</w:t>
      </w:r>
      <w:r w:rsidRPr="000A34AE">
        <w:rPr>
          <w:rStyle w:val="longtext"/>
          <w:color w:val="333333"/>
        </w:rPr>
        <w:t xml:space="preserve"> </w:t>
      </w:r>
      <w:r w:rsidRPr="000A34AE">
        <w:rPr>
          <w:rStyle w:val="hps"/>
          <w:color w:val="333333"/>
        </w:rPr>
        <w:t>alla riunione</w:t>
      </w:r>
      <w:r w:rsidRPr="000A34AE">
        <w:rPr>
          <w:rStyle w:val="longtext"/>
          <w:color w:val="333333"/>
        </w:rPr>
        <w:t xml:space="preserve"> </w:t>
      </w:r>
      <w:r w:rsidRPr="000A34AE">
        <w:rPr>
          <w:rStyle w:val="hps"/>
          <w:color w:val="333333"/>
        </w:rPr>
        <w:t>autunnale UEMO a Istanbul.</w:t>
      </w:r>
    </w:p>
    <w:p w:rsidR="000A34AE" w:rsidRDefault="006C37E0" w:rsidP="006C37E0">
      <w:pPr>
        <w:pStyle w:val="Paragrafoelenco"/>
        <w:numPr>
          <w:ilvl w:val="0"/>
          <w:numId w:val="1"/>
        </w:numPr>
        <w:jc w:val="both"/>
        <w:rPr>
          <w:rStyle w:val="longtext"/>
          <w:b/>
          <w:color w:val="333333"/>
        </w:rPr>
      </w:pPr>
      <w:r w:rsidRPr="006C37E0">
        <w:rPr>
          <w:rStyle w:val="longtext"/>
          <w:b/>
          <w:color w:val="333333"/>
        </w:rPr>
        <w:t xml:space="preserve">Progetti </w:t>
      </w:r>
      <w:r>
        <w:rPr>
          <w:rStyle w:val="longtext"/>
          <w:b/>
          <w:color w:val="333333"/>
        </w:rPr>
        <w:t xml:space="preserve">europei </w:t>
      </w:r>
    </w:p>
    <w:p w:rsidR="00BC04A3" w:rsidRDefault="006C37E0" w:rsidP="006E6C3C">
      <w:pPr>
        <w:jc w:val="both"/>
        <w:rPr>
          <w:rStyle w:val="hps"/>
          <w:rFonts w:cs="Arial"/>
          <w:color w:val="333333"/>
        </w:rPr>
      </w:pPr>
      <w:r w:rsidRPr="006E6C3C">
        <w:rPr>
          <w:rStyle w:val="longtext"/>
          <w:color w:val="333333"/>
        </w:rPr>
        <w:t xml:space="preserve">Dopo un breve report sui progetti </w:t>
      </w:r>
      <w:r w:rsidR="006E6C3C" w:rsidRPr="006E6C3C">
        <w:rPr>
          <w:rStyle w:val="longtext"/>
          <w:color w:val="333333"/>
        </w:rPr>
        <w:t xml:space="preserve">europei a cui la UEMO e le Federazioni nazionali hanno aderito, </w:t>
      </w:r>
      <w:r w:rsidRPr="006E6C3C">
        <w:rPr>
          <w:rStyle w:val="longtext"/>
          <w:color w:val="333333"/>
        </w:rPr>
        <w:t xml:space="preserve">TELL ME e Smart, la segretaria UEMO, dr.ssa Renata </w:t>
      </w:r>
      <w:proofErr w:type="spellStart"/>
      <w:r w:rsidRPr="006E6C3C">
        <w:rPr>
          <w:rStyle w:val="longtext"/>
          <w:color w:val="333333"/>
        </w:rPr>
        <w:t>Papp</w:t>
      </w:r>
      <w:proofErr w:type="spellEnd"/>
      <w:r w:rsidRPr="006E6C3C">
        <w:rPr>
          <w:rStyle w:val="longtext"/>
          <w:color w:val="333333"/>
        </w:rPr>
        <w:t xml:space="preserve">, illustra brevemente un terzo progetto </w:t>
      </w:r>
      <w:r w:rsidR="006E6C3C" w:rsidRPr="006E6C3C">
        <w:rPr>
          <w:rStyle w:val="longtext"/>
          <w:color w:val="333333"/>
        </w:rPr>
        <w:t xml:space="preserve">sulla cui partecipazione l’assemblea è chiamata a votare per l’adesione. Si tratta di uno studio europeo sulle </w:t>
      </w:r>
      <w:r w:rsidR="006E6C3C" w:rsidRPr="006E6C3C">
        <w:rPr>
          <w:rStyle w:val="hps"/>
          <w:rFonts w:cs="Arial"/>
          <w:color w:val="333333"/>
        </w:rPr>
        <w:t>legislazioni nazionali riguardo le cartelle cliniche elettroniche:</w:t>
      </w:r>
      <w:r w:rsidR="006E6C3C" w:rsidRPr="006E6C3C">
        <w:rPr>
          <w:rStyle w:val="hps"/>
          <w:rFonts w:cs="Arial"/>
          <w:b/>
          <w:color w:val="333333"/>
        </w:rPr>
        <w:t xml:space="preserve"> “Bando di gara</w:t>
      </w:r>
      <w:r w:rsidR="006E6C3C" w:rsidRPr="006E6C3C">
        <w:rPr>
          <w:rFonts w:cs="Arial"/>
          <w:b/>
          <w:color w:val="333333"/>
        </w:rPr>
        <w:t xml:space="preserve"> </w:t>
      </w:r>
      <w:r w:rsidR="006E6C3C" w:rsidRPr="006E6C3C">
        <w:rPr>
          <w:rStyle w:val="hps"/>
          <w:rFonts w:cs="Arial"/>
          <w:b/>
          <w:color w:val="333333"/>
        </w:rPr>
        <w:t>EAHC/2013/</w:t>
      </w:r>
      <w:proofErr w:type="spellStart"/>
      <w:r w:rsidR="006E6C3C" w:rsidRPr="006E6C3C">
        <w:rPr>
          <w:rStyle w:val="hps"/>
          <w:rFonts w:cs="Arial"/>
          <w:b/>
          <w:color w:val="333333"/>
        </w:rPr>
        <w:t>Health</w:t>
      </w:r>
      <w:proofErr w:type="spellEnd"/>
      <w:r w:rsidR="006E6C3C" w:rsidRPr="006E6C3C">
        <w:rPr>
          <w:rStyle w:val="hps"/>
          <w:rFonts w:cs="Arial"/>
          <w:b/>
          <w:color w:val="333333"/>
        </w:rPr>
        <w:t>/06</w:t>
      </w:r>
      <w:r w:rsidR="006E6C3C" w:rsidRPr="006E6C3C">
        <w:rPr>
          <w:rFonts w:cs="Arial"/>
          <w:b/>
          <w:color w:val="333333"/>
        </w:rPr>
        <w:t xml:space="preserve"> </w:t>
      </w:r>
      <w:r w:rsidR="006E6C3C" w:rsidRPr="006E6C3C">
        <w:rPr>
          <w:rStyle w:val="hps"/>
          <w:rFonts w:cs="Arial"/>
          <w:b/>
          <w:color w:val="333333"/>
        </w:rPr>
        <w:t>sulla</w:t>
      </w:r>
      <w:r w:rsidR="006E6C3C" w:rsidRPr="006E6C3C">
        <w:rPr>
          <w:rFonts w:cs="Arial"/>
          <w:b/>
          <w:color w:val="333333"/>
        </w:rPr>
        <w:t xml:space="preserve"> </w:t>
      </w:r>
      <w:r w:rsidR="006E6C3C" w:rsidRPr="006E6C3C">
        <w:rPr>
          <w:rStyle w:val="hps"/>
          <w:rFonts w:cs="Arial"/>
          <w:b/>
          <w:color w:val="333333"/>
        </w:rPr>
        <w:t>legislazioni nazionali in materia di</w:t>
      </w:r>
      <w:r w:rsidR="006E6C3C" w:rsidRPr="006E6C3C">
        <w:rPr>
          <w:rFonts w:cs="Arial"/>
          <w:b/>
          <w:color w:val="333333"/>
        </w:rPr>
        <w:t xml:space="preserve"> </w:t>
      </w:r>
      <w:r w:rsidR="006E6C3C" w:rsidRPr="006E6C3C">
        <w:rPr>
          <w:rStyle w:val="hps"/>
          <w:rFonts w:cs="Arial"/>
          <w:b/>
          <w:color w:val="333333"/>
        </w:rPr>
        <w:t>cartelle cliniche elettroniche</w:t>
      </w:r>
      <w:r w:rsidR="006E6C3C" w:rsidRPr="006E6C3C">
        <w:rPr>
          <w:rFonts w:cs="Arial"/>
          <w:b/>
          <w:color w:val="333333"/>
        </w:rPr>
        <w:t xml:space="preserve"> </w:t>
      </w:r>
      <w:r w:rsidR="006E6C3C" w:rsidRPr="006E6C3C">
        <w:rPr>
          <w:rStyle w:val="hps"/>
          <w:rFonts w:cs="Arial"/>
          <w:b/>
          <w:color w:val="333333"/>
        </w:rPr>
        <w:t>negli Stati membri</w:t>
      </w:r>
      <w:r w:rsidR="006E6C3C" w:rsidRPr="006E6C3C">
        <w:rPr>
          <w:rFonts w:cs="Arial"/>
          <w:b/>
          <w:color w:val="333333"/>
        </w:rPr>
        <w:t xml:space="preserve"> </w:t>
      </w:r>
      <w:r w:rsidR="006E6C3C" w:rsidRPr="006E6C3C">
        <w:rPr>
          <w:rStyle w:val="hps"/>
          <w:rFonts w:cs="Arial"/>
          <w:b/>
          <w:color w:val="333333"/>
        </w:rPr>
        <w:t>dell'UE</w:t>
      </w:r>
      <w:r w:rsidR="006E6C3C" w:rsidRPr="006E6C3C">
        <w:rPr>
          <w:rFonts w:cs="Arial"/>
          <w:b/>
          <w:color w:val="333333"/>
        </w:rPr>
        <w:t xml:space="preserve"> </w:t>
      </w:r>
      <w:r w:rsidR="006E6C3C" w:rsidRPr="006E6C3C">
        <w:rPr>
          <w:rStyle w:val="hps"/>
          <w:rFonts w:cs="Arial"/>
          <w:b/>
          <w:color w:val="333333"/>
        </w:rPr>
        <w:t>e loro interazione</w:t>
      </w:r>
      <w:r w:rsidR="006E6C3C" w:rsidRPr="006E6C3C">
        <w:rPr>
          <w:rFonts w:cs="Arial"/>
          <w:b/>
          <w:color w:val="333333"/>
        </w:rPr>
        <w:t xml:space="preserve"> </w:t>
      </w:r>
      <w:r w:rsidR="006E6C3C" w:rsidRPr="006E6C3C">
        <w:rPr>
          <w:rStyle w:val="hps"/>
          <w:rFonts w:cs="Arial"/>
          <w:b/>
          <w:color w:val="333333"/>
        </w:rPr>
        <w:t>con</w:t>
      </w:r>
      <w:r w:rsidR="006E6C3C" w:rsidRPr="006E6C3C">
        <w:rPr>
          <w:rFonts w:cs="Arial"/>
          <w:b/>
          <w:color w:val="333333"/>
        </w:rPr>
        <w:t xml:space="preserve"> </w:t>
      </w:r>
      <w:r w:rsidR="006E6C3C" w:rsidRPr="006E6C3C">
        <w:rPr>
          <w:rStyle w:val="hps"/>
          <w:rFonts w:cs="Arial"/>
          <w:b/>
          <w:color w:val="333333"/>
        </w:rPr>
        <w:t>la fornitura di</w:t>
      </w:r>
      <w:r w:rsidR="006E6C3C" w:rsidRPr="006E6C3C">
        <w:rPr>
          <w:rFonts w:cs="Arial"/>
          <w:b/>
          <w:color w:val="333333"/>
        </w:rPr>
        <w:t xml:space="preserve"> </w:t>
      </w:r>
      <w:r w:rsidR="006E6C3C" w:rsidRPr="006E6C3C">
        <w:rPr>
          <w:rStyle w:val="hps"/>
          <w:rFonts w:cs="Arial"/>
          <w:b/>
          <w:color w:val="333333"/>
        </w:rPr>
        <w:t>servizi sanitari elettronici</w:t>
      </w:r>
      <w:r w:rsidR="006E6C3C" w:rsidRPr="006E6C3C">
        <w:rPr>
          <w:rFonts w:cs="Arial"/>
          <w:b/>
          <w:color w:val="333333"/>
        </w:rPr>
        <w:t xml:space="preserve"> </w:t>
      </w:r>
      <w:r w:rsidR="006E6C3C" w:rsidRPr="006E6C3C">
        <w:rPr>
          <w:rStyle w:val="hps"/>
          <w:rFonts w:cs="Arial"/>
          <w:b/>
          <w:color w:val="333333"/>
        </w:rPr>
        <w:t>transfrontalieri”.</w:t>
      </w:r>
      <w:r w:rsidR="006E6C3C">
        <w:rPr>
          <w:rStyle w:val="hps"/>
          <w:rFonts w:cs="Arial"/>
          <w:b/>
          <w:color w:val="333333"/>
        </w:rPr>
        <w:t xml:space="preserve"> </w:t>
      </w:r>
      <w:r w:rsidR="00BC04A3">
        <w:rPr>
          <w:rStyle w:val="hps"/>
          <w:rFonts w:cs="Arial"/>
          <w:color w:val="333333"/>
        </w:rPr>
        <w:t xml:space="preserve">L’assemblea affida a Renata </w:t>
      </w:r>
      <w:proofErr w:type="spellStart"/>
      <w:r w:rsidR="00BC04A3">
        <w:rPr>
          <w:rStyle w:val="hps"/>
          <w:rFonts w:cs="Arial"/>
          <w:color w:val="333333"/>
        </w:rPr>
        <w:t>Papp</w:t>
      </w:r>
      <w:proofErr w:type="spellEnd"/>
      <w:r w:rsidR="00BC04A3">
        <w:rPr>
          <w:rStyle w:val="hps"/>
          <w:rFonts w:cs="Arial"/>
          <w:color w:val="333333"/>
        </w:rPr>
        <w:t xml:space="preserve"> il compito di sondare la proposta </w:t>
      </w:r>
      <w:r w:rsidR="00CA0636">
        <w:rPr>
          <w:rStyle w:val="hps"/>
          <w:rFonts w:cs="Arial"/>
          <w:color w:val="333333"/>
        </w:rPr>
        <w:t xml:space="preserve">di </w:t>
      </w:r>
      <w:r w:rsidR="00BC04A3">
        <w:rPr>
          <w:rStyle w:val="hps"/>
          <w:rFonts w:cs="Arial"/>
          <w:color w:val="333333"/>
        </w:rPr>
        <w:t xml:space="preserve">partnership </w:t>
      </w:r>
      <w:r w:rsidR="00CA0636">
        <w:rPr>
          <w:rStyle w:val="hps"/>
          <w:rFonts w:cs="Arial"/>
          <w:color w:val="333333"/>
        </w:rPr>
        <w:t xml:space="preserve">inviata alla </w:t>
      </w:r>
      <w:r w:rsidR="00BC04A3">
        <w:rPr>
          <w:rStyle w:val="hps"/>
          <w:rFonts w:cs="Arial"/>
          <w:color w:val="333333"/>
        </w:rPr>
        <w:t>UEMO.</w:t>
      </w:r>
    </w:p>
    <w:p w:rsidR="00BC04A3" w:rsidRDefault="00BC04A3" w:rsidP="00BC04A3">
      <w:pPr>
        <w:pStyle w:val="Paragrafoelenco"/>
        <w:numPr>
          <w:ilvl w:val="0"/>
          <w:numId w:val="1"/>
        </w:numPr>
        <w:jc w:val="both"/>
        <w:rPr>
          <w:rStyle w:val="hps"/>
          <w:rFonts w:cs="Arial"/>
          <w:b/>
          <w:color w:val="333333"/>
        </w:rPr>
      </w:pPr>
      <w:r>
        <w:rPr>
          <w:rStyle w:val="hps"/>
          <w:rFonts w:cs="Arial"/>
          <w:b/>
          <w:color w:val="333333"/>
        </w:rPr>
        <w:t>Gruppo di lavoro sull’ECM</w:t>
      </w:r>
    </w:p>
    <w:p w:rsidR="007C2071" w:rsidRPr="00992094" w:rsidRDefault="00BC04A3" w:rsidP="007C2071">
      <w:pPr>
        <w:jc w:val="both"/>
        <w:rPr>
          <w:sz w:val="28"/>
          <w:szCs w:val="28"/>
          <w:lang w:val="hu-HU"/>
        </w:rPr>
      </w:pPr>
      <w:r>
        <w:rPr>
          <w:rStyle w:val="hps"/>
          <w:rFonts w:cs="Arial"/>
          <w:color w:val="333333"/>
        </w:rPr>
        <w:t>Il gruppo di lavoro presenta la bozza di un documento in fieri sulla formazione continua in medicina generale. I punti più discussi riguardano il ruolo dell’ECM come parte integrante del cosiddetto “</w:t>
      </w:r>
      <w:proofErr w:type="spellStart"/>
      <w:r>
        <w:rPr>
          <w:rStyle w:val="hps"/>
          <w:rFonts w:cs="Arial"/>
          <w:color w:val="333333"/>
        </w:rPr>
        <w:t>appraisal</w:t>
      </w:r>
      <w:proofErr w:type="spellEnd"/>
      <w:r>
        <w:rPr>
          <w:rStyle w:val="hps"/>
          <w:rFonts w:cs="Arial"/>
          <w:color w:val="333333"/>
        </w:rPr>
        <w:t xml:space="preserve">”(valutazione) e della </w:t>
      </w:r>
      <w:proofErr w:type="spellStart"/>
      <w:r>
        <w:rPr>
          <w:rStyle w:val="hps"/>
          <w:rFonts w:cs="Arial"/>
          <w:color w:val="333333"/>
        </w:rPr>
        <w:t>ricertificazione</w:t>
      </w:r>
      <w:proofErr w:type="spellEnd"/>
      <w:r w:rsidR="00B653D6">
        <w:rPr>
          <w:rStyle w:val="hps"/>
          <w:rFonts w:cs="Arial"/>
          <w:color w:val="333333"/>
        </w:rPr>
        <w:t>/</w:t>
      </w:r>
      <w:proofErr w:type="spellStart"/>
      <w:r w:rsidR="00B653D6">
        <w:rPr>
          <w:rStyle w:val="hps"/>
          <w:rFonts w:cs="Arial"/>
          <w:color w:val="333333"/>
        </w:rPr>
        <w:t>rivalidazione</w:t>
      </w:r>
      <w:proofErr w:type="spellEnd"/>
      <w:r w:rsidR="00B653D6">
        <w:rPr>
          <w:rStyle w:val="hps"/>
          <w:rFonts w:cs="Arial"/>
          <w:color w:val="333333"/>
        </w:rPr>
        <w:t xml:space="preserve">. L’Irlanda, che ha sperimentato un programma di </w:t>
      </w:r>
      <w:proofErr w:type="spellStart"/>
      <w:r w:rsidR="00B653D6">
        <w:rPr>
          <w:rStyle w:val="hps"/>
          <w:rFonts w:cs="Arial"/>
          <w:color w:val="333333"/>
        </w:rPr>
        <w:t>appraisal</w:t>
      </w:r>
      <w:proofErr w:type="spellEnd"/>
      <w:r w:rsidR="00B653D6">
        <w:rPr>
          <w:rStyle w:val="hps"/>
          <w:rFonts w:cs="Arial"/>
          <w:color w:val="333333"/>
        </w:rPr>
        <w:t xml:space="preserve"> a carico dell’Ordine nazionale, che si è rilevato poi essere fallimentare, ragguaglia gli altri ordini nazionali sui considerevoli oneri economici dell’operazione e sul carico di lavoro che veniva imposto ai medici is</w:t>
      </w:r>
      <w:r w:rsidR="00CA0636">
        <w:rPr>
          <w:rStyle w:val="hps"/>
          <w:rFonts w:cs="Arial"/>
          <w:color w:val="333333"/>
        </w:rPr>
        <w:t>critti.</w:t>
      </w:r>
      <w:r w:rsidR="007C2071">
        <w:rPr>
          <w:rStyle w:val="hps"/>
          <w:rFonts w:cs="Arial"/>
          <w:color w:val="333333"/>
        </w:rPr>
        <w:t xml:space="preserve"> </w:t>
      </w:r>
    </w:p>
    <w:p w:rsidR="00B42B7C" w:rsidRDefault="00B42B7C" w:rsidP="00B653D6">
      <w:pPr>
        <w:pStyle w:val="Paragrafoelenco"/>
        <w:numPr>
          <w:ilvl w:val="0"/>
          <w:numId w:val="1"/>
        </w:numPr>
        <w:jc w:val="both"/>
        <w:rPr>
          <w:rStyle w:val="hps"/>
          <w:rFonts w:cs="Arial"/>
          <w:color w:val="333333"/>
        </w:rPr>
      </w:pPr>
      <w:r w:rsidRPr="00B42B7C">
        <w:rPr>
          <w:rStyle w:val="hps"/>
          <w:rFonts w:cs="Arial"/>
          <w:b/>
          <w:color w:val="333333"/>
        </w:rPr>
        <w:t>Prossima riunione UEMO ed elezioni della presidenza</w:t>
      </w:r>
      <w:r>
        <w:rPr>
          <w:rStyle w:val="hps"/>
          <w:rFonts w:cs="Arial"/>
          <w:color w:val="333333"/>
        </w:rPr>
        <w:t xml:space="preserve"> </w:t>
      </w:r>
    </w:p>
    <w:p w:rsidR="00B653D6" w:rsidRPr="00B42B7C" w:rsidRDefault="006E6B21" w:rsidP="00B42B7C">
      <w:pPr>
        <w:jc w:val="both"/>
        <w:rPr>
          <w:rStyle w:val="hps"/>
          <w:rFonts w:cs="Arial"/>
          <w:color w:val="333333"/>
        </w:rPr>
      </w:pPr>
      <w:r w:rsidRPr="00B42B7C">
        <w:rPr>
          <w:rStyle w:val="hps"/>
          <w:rFonts w:cs="Arial"/>
          <w:color w:val="333333"/>
        </w:rPr>
        <w:t>In corrispondenza della prossima riunione UEMO, prevista a Istanbul il 15 e 16 novembre 2013, si terranno le elezioni per la presidenza UEMO. La presidenza, che diverrà effettiva</w:t>
      </w:r>
      <w:r w:rsidR="00B42B7C">
        <w:rPr>
          <w:rStyle w:val="hps"/>
          <w:rFonts w:cs="Arial"/>
          <w:color w:val="333333"/>
        </w:rPr>
        <w:t xml:space="preserve"> a partire dal </w:t>
      </w:r>
      <w:r w:rsidRPr="00B42B7C">
        <w:rPr>
          <w:rStyle w:val="hps"/>
          <w:rFonts w:cs="Arial"/>
          <w:color w:val="333333"/>
        </w:rPr>
        <w:t xml:space="preserve">gennaio 2015, ha la durata di 4 anni. </w:t>
      </w:r>
    </w:p>
    <w:p w:rsidR="00B653D6" w:rsidRPr="00BC04A3" w:rsidRDefault="00B653D6" w:rsidP="00BC04A3">
      <w:pPr>
        <w:jc w:val="both"/>
        <w:rPr>
          <w:rStyle w:val="hps"/>
          <w:rFonts w:cs="Arial"/>
          <w:color w:val="333333"/>
        </w:rPr>
      </w:pPr>
    </w:p>
    <w:p w:rsidR="006C37E0" w:rsidRPr="006E6C3C" w:rsidRDefault="006C37E0" w:rsidP="006E6C3C">
      <w:pPr>
        <w:jc w:val="both"/>
        <w:rPr>
          <w:rStyle w:val="longtext"/>
          <w:rFonts w:cs="Arial"/>
          <w:color w:val="333333"/>
        </w:rPr>
      </w:pPr>
    </w:p>
    <w:p w:rsidR="000A34AE" w:rsidRPr="000A34AE" w:rsidRDefault="00C9744A" w:rsidP="00C9744A">
      <w:pPr>
        <w:jc w:val="right"/>
        <w:rPr>
          <w:b/>
        </w:rPr>
      </w:pPr>
      <w:r>
        <w:rPr>
          <w:b/>
        </w:rPr>
        <w:t>UFFICIO ESTERO FNOMCEO</w:t>
      </w:r>
    </w:p>
    <w:sectPr w:rsidR="000A34AE" w:rsidRPr="000A34AE" w:rsidSect="000F5C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FA"/>
    <w:multiLevelType w:val="hybridMultilevel"/>
    <w:tmpl w:val="0B54F1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3513"/>
    <w:rsid w:val="000A34AE"/>
    <w:rsid w:val="000F491B"/>
    <w:rsid w:val="000F5C5A"/>
    <w:rsid w:val="001063A9"/>
    <w:rsid w:val="00147827"/>
    <w:rsid w:val="001B04D5"/>
    <w:rsid w:val="001E1C43"/>
    <w:rsid w:val="002348FD"/>
    <w:rsid w:val="002671E7"/>
    <w:rsid w:val="002A2EDE"/>
    <w:rsid w:val="00360D38"/>
    <w:rsid w:val="003C2D61"/>
    <w:rsid w:val="0044354F"/>
    <w:rsid w:val="005D25C7"/>
    <w:rsid w:val="006C37E0"/>
    <w:rsid w:val="006E3CE3"/>
    <w:rsid w:val="006E6B21"/>
    <w:rsid w:val="006E6C3C"/>
    <w:rsid w:val="007C2071"/>
    <w:rsid w:val="00936EAD"/>
    <w:rsid w:val="009414DB"/>
    <w:rsid w:val="00A27D81"/>
    <w:rsid w:val="00A772F3"/>
    <w:rsid w:val="00A831A7"/>
    <w:rsid w:val="00A85AAF"/>
    <w:rsid w:val="00B27FCC"/>
    <w:rsid w:val="00B42B7C"/>
    <w:rsid w:val="00B653D6"/>
    <w:rsid w:val="00BB19BE"/>
    <w:rsid w:val="00BB3513"/>
    <w:rsid w:val="00BC04A3"/>
    <w:rsid w:val="00C9744A"/>
    <w:rsid w:val="00CA0636"/>
    <w:rsid w:val="00D133EC"/>
    <w:rsid w:val="00D200A3"/>
    <w:rsid w:val="00D30CF0"/>
    <w:rsid w:val="00DA2790"/>
    <w:rsid w:val="00E32439"/>
    <w:rsid w:val="00E627BF"/>
    <w:rsid w:val="00EC38E0"/>
    <w:rsid w:val="00EE2902"/>
    <w:rsid w:val="00F116CE"/>
    <w:rsid w:val="00F61789"/>
    <w:rsid w:val="00F901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3513"/>
    <w:rPr>
      <w:color w:val="0000FF" w:themeColor="hyperlink"/>
      <w:u w:val="single"/>
    </w:rPr>
  </w:style>
  <w:style w:type="paragraph" w:styleId="Paragrafoelenco">
    <w:name w:val="List Paragraph"/>
    <w:basedOn w:val="Normale"/>
    <w:uiPriority w:val="34"/>
    <w:qFormat/>
    <w:rsid w:val="00360D38"/>
    <w:pPr>
      <w:ind w:left="720"/>
      <w:contextualSpacing/>
    </w:pPr>
  </w:style>
  <w:style w:type="paragraph" w:styleId="Testofumetto">
    <w:name w:val="Balloon Text"/>
    <w:basedOn w:val="Normale"/>
    <w:link w:val="TestofumettoCarattere"/>
    <w:uiPriority w:val="99"/>
    <w:semiHidden/>
    <w:unhideWhenUsed/>
    <w:rsid w:val="00E627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7BF"/>
    <w:rPr>
      <w:rFonts w:ascii="Tahoma" w:hAnsi="Tahoma" w:cs="Tahoma"/>
      <w:sz w:val="16"/>
      <w:szCs w:val="16"/>
    </w:rPr>
  </w:style>
  <w:style w:type="character" w:customStyle="1" w:styleId="longtext">
    <w:name w:val="long_text"/>
    <w:basedOn w:val="Carpredefinitoparagrafo"/>
    <w:rsid w:val="000A34AE"/>
  </w:style>
  <w:style w:type="character" w:customStyle="1" w:styleId="hps">
    <w:name w:val="hps"/>
    <w:basedOn w:val="Carpredefinitoparagrafo"/>
    <w:rsid w:val="000A3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3513"/>
    <w:rPr>
      <w:color w:val="0000FF" w:themeColor="hyperlink"/>
      <w:u w:val="single"/>
    </w:rPr>
  </w:style>
  <w:style w:type="paragraph" w:styleId="Paragrafoelenco">
    <w:name w:val="List Paragraph"/>
    <w:basedOn w:val="Normale"/>
    <w:uiPriority w:val="34"/>
    <w:qFormat/>
    <w:rsid w:val="00360D38"/>
    <w:pPr>
      <w:ind w:left="720"/>
      <w:contextualSpacing/>
    </w:pPr>
  </w:style>
  <w:style w:type="paragraph" w:styleId="Testofumetto">
    <w:name w:val="Balloon Text"/>
    <w:basedOn w:val="Normale"/>
    <w:link w:val="TestofumettoCarattere"/>
    <w:uiPriority w:val="99"/>
    <w:semiHidden/>
    <w:unhideWhenUsed/>
    <w:rsid w:val="00E627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hwforce.e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Nunzia Napoleone</cp:lastModifiedBy>
  <cp:revision>2</cp:revision>
  <cp:lastPrinted>2013-05-31T09:15:00Z</cp:lastPrinted>
  <dcterms:created xsi:type="dcterms:W3CDTF">2013-06-07T09:51:00Z</dcterms:created>
  <dcterms:modified xsi:type="dcterms:W3CDTF">2013-06-07T09:51:00Z</dcterms:modified>
</cp:coreProperties>
</file>