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0D" w:rsidRDefault="006E14D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209675" cy="1209675"/>
            <wp:effectExtent l="0" t="0" r="0" b="0"/>
            <wp:docPr id="1" name="Picture" descr="Logo alta per gra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alta per graf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0D" w:rsidRDefault="006E14DA">
      <w:pPr>
        <w:spacing w:line="100" w:lineRule="atLea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AUDIZIONE FNOMCEO </w:t>
      </w:r>
      <w:proofErr w:type="gramStart"/>
      <w:r>
        <w:rPr>
          <w:rFonts w:ascii="Arial" w:hAnsi="Arial" w:cs="Arial"/>
          <w:sz w:val="36"/>
          <w:szCs w:val="36"/>
        </w:rPr>
        <w:t>del</w:t>
      </w:r>
      <w:proofErr w:type="gramEnd"/>
      <w:r>
        <w:rPr>
          <w:rFonts w:ascii="Arial" w:hAnsi="Arial" w:cs="Arial"/>
          <w:sz w:val="36"/>
          <w:szCs w:val="36"/>
        </w:rPr>
        <w:t xml:space="preserve"> 06/12/2016 </w:t>
      </w:r>
    </w:p>
    <w:p w:rsidR="005E6A0D" w:rsidRDefault="006E14DA">
      <w:pPr>
        <w:spacing w:before="28" w:after="20" w:line="100" w:lineRule="atLea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SENATO DELLA REPUBBLICA</w:t>
      </w:r>
    </w:p>
    <w:p w:rsidR="005E6A0D" w:rsidRDefault="006E14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Commissione Igiene e Sanità</w:t>
      </w:r>
    </w:p>
    <w:p w:rsidR="005E6A0D" w:rsidRDefault="006E14D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Atto del Governo n. 358</w:t>
      </w:r>
    </w:p>
    <w:p w:rsidR="005E6A0D" w:rsidRDefault="006E14DA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it-IT"/>
        </w:rPr>
        <w:t>sullo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schema di decreto del Presidente del Consiglio dei Ministri recante definizione e aggiornamento dei livelli essenziali di assistenza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(LEA) di cui all'articolo 1, comma 7, del decreto legislativo 30 dicembre 1992, n. 502</w:t>
      </w:r>
    </w:p>
    <w:p w:rsidR="005E6A0D" w:rsidRDefault="005E6A0D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5E6A0D" w:rsidRDefault="006E14DA">
      <w:pPr>
        <w:spacing w:after="0" w:line="10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Illustre Presidente e Illustri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Componenti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della Commissione,</w:t>
      </w:r>
    </w:p>
    <w:p w:rsidR="005E6A0D" w:rsidRDefault="005E6A0D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5E6A0D" w:rsidRDefault="006E14DA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ringrazio</w:t>
      </w:r>
      <w:proofErr w:type="gramEnd"/>
      <w:r>
        <w:rPr>
          <w:rFonts w:ascii="Arial" w:hAnsi="Arial" w:cs="Arial"/>
          <w:sz w:val="24"/>
          <w:szCs w:val="24"/>
        </w:rPr>
        <w:t xml:space="preserve"> per l’invito a partecipare a questa audizione e desidero dichiarare in premessa che la Federazio</w:t>
      </w:r>
      <w:r>
        <w:rPr>
          <w:rFonts w:ascii="Arial" w:hAnsi="Arial" w:cs="Arial"/>
          <w:sz w:val="24"/>
          <w:szCs w:val="24"/>
        </w:rPr>
        <w:t>ne Nazionale degli Ordini dei Medici Chirurghi e degli Odontoiatri sottolinea l’importanza della materia in esame per la tutela della salute dei cittadini e per gli stessi operatori sanitari.</w:t>
      </w: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D.Lgs. 502/1992, all'art. 1, definisce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i LEA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come l'insieme d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elle prestazioni che vengono garantite dal SSN, a titolo gratuito o con partecipazione alla spesa, perché presentano, per specifiche condizioni cliniche, evidenze di un significativo beneficio in termini di salute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individuale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o collettiva, a fronte delle 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isorse impiegate. Pertanto, sono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escluse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dai LEA le prestazioni, i servizi e le attività che non rispondono a necessità assistenziali, le prestazioni di efficacia non dimostrabile o che sono utilizzate in modo inappropriato rispetto alle condizioni clinich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e dei pazienti e le prestazioni che, a parità di beneficio per i pazienti, sono più costose di altre. </w:t>
      </w: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nozione di livelli essenziali è stata introdotta nella Costituzione dalla legge costituzionale n. 3 del 2001, di riforma del Titolo V, con riferimento alla competenza legislativa esclusiva dello Stato nella determinazione dei livelli essenziali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delle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pr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estazioni concernenti i diritti civili e sociali da garantirsi su tutto il territorio nazionale. </w:t>
      </w: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Le prestazioni e i servizi inclusi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nei LEA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rappresentano il livello "essenziale" garantito a tutti i cittadini, ma le Regioni possono utilizzare risorse propr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ie per garantire servizi e prestazioni ulteriori rispetto a quelle incluse nei LEA. </w:t>
      </w:r>
    </w:p>
    <w:p w:rsidR="005E6A0D" w:rsidRDefault="006E14DA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D.P.C.M. del 2001 elenca, negli allegati, le attività e le prestazioni incluse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nei LEA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, le prestazioni escluse e le prestazioni che possono essere fornite dal SSN solo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 particolari condizioni. </w:t>
      </w:r>
      <w:r>
        <w:rPr>
          <w:rFonts w:ascii="Arial" w:hAnsi="Arial" w:cs="Arial"/>
          <w:sz w:val="24"/>
          <w:szCs w:val="24"/>
        </w:rPr>
        <w:t xml:space="preserve">Il citato decreto del Presidente del Consiglio dei Ministri del 29 novembre 2001, corredato di cinque allegati nei quali sono riportate le attività e le prestazioni incluse </w:t>
      </w:r>
      <w:proofErr w:type="gramStart"/>
      <w:r>
        <w:rPr>
          <w:rFonts w:ascii="Arial" w:hAnsi="Arial" w:cs="Arial"/>
          <w:sz w:val="24"/>
          <w:szCs w:val="24"/>
        </w:rPr>
        <w:t xml:space="preserve">nei </w:t>
      </w:r>
      <w:r>
        <w:rPr>
          <w:rFonts w:ascii="Arial" w:hAnsi="Arial" w:cs="Arial"/>
          <w:sz w:val="24"/>
          <w:szCs w:val="24"/>
        </w:rPr>
        <w:lastRenderedPageBreak/>
        <w:t>LEA</w:t>
      </w:r>
      <w:proofErr w:type="gramEnd"/>
      <w:r>
        <w:rPr>
          <w:rFonts w:ascii="Arial" w:hAnsi="Arial" w:cs="Arial"/>
          <w:sz w:val="24"/>
          <w:szCs w:val="24"/>
        </w:rPr>
        <w:t>, le prestazioni escluse e quelle che possono esse</w:t>
      </w:r>
      <w:r>
        <w:rPr>
          <w:rFonts w:ascii="Arial" w:hAnsi="Arial" w:cs="Arial"/>
          <w:sz w:val="24"/>
          <w:szCs w:val="24"/>
        </w:rPr>
        <w:t>re fornite dal Servizio Sanitario Nazionale solo a determinate condizioni, ha un carattere sostanzialmente ricognitivo e si limita ad una descrizione generica dei sottolivelli di assistenza, rinviando agli atti normativi vigenti alla data della sua emanazi</w:t>
      </w:r>
      <w:r>
        <w:rPr>
          <w:rFonts w:ascii="Arial" w:hAnsi="Arial" w:cs="Arial"/>
          <w:sz w:val="24"/>
          <w:szCs w:val="24"/>
        </w:rPr>
        <w:t>one (in particolare, per le prestazioni di assistenza specialistica ambulatoriale e per l'assistenza protesica, il predetto decreto fa riferimento agli allegati ai decreti ministeriali 22 luglio 1996, “Nomenclatore tariffario”, e 27 agosto 1999, n.332, “No</w:t>
      </w:r>
      <w:r>
        <w:rPr>
          <w:rFonts w:ascii="Arial" w:hAnsi="Arial" w:cs="Arial"/>
          <w:sz w:val="24"/>
          <w:szCs w:val="24"/>
        </w:rPr>
        <w:t xml:space="preserve">menclatore tariffario protesi e dispositivi”). </w:t>
      </w: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In dettaglio: </w:t>
      </w:r>
    </w:p>
    <w:p w:rsidR="005E6A0D" w:rsidRDefault="006E14DA">
      <w:pPr>
        <w:pStyle w:val="Paragrafoelenco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l'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allegato 1: riporta le prestazioni erogate dal SSN nelle tre grandi aree di offerta della "Assistenza sanitaria collettiva in ambiente di vita e di lavoro", della "Assistenza distrettuale" e </w:t>
      </w:r>
      <w:r>
        <w:rPr>
          <w:rFonts w:ascii="Arial" w:eastAsia="Times New Roman" w:hAnsi="Arial" w:cs="Arial"/>
          <w:sz w:val="24"/>
          <w:szCs w:val="24"/>
          <w:lang w:eastAsia="it-IT"/>
        </w:rPr>
        <w:t>della "Assistenza ospedaliera";</w:t>
      </w:r>
    </w:p>
    <w:p w:rsidR="005E6A0D" w:rsidRDefault="005E6A0D">
      <w:pPr>
        <w:pStyle w:val="Paragrafoelenco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6A0D" w:rsidRDefault="006E14DA">
      <w:pPr>
        <w:pStyle w:val="Paragrafoelenco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l'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>allegato 2: è composto dall’allegato 2° che elenca le prestazioni escluse dai LEA, e dagli allegati 2B e 2C che elencano le prestazioni erogabili in particolari condizioni;</w:t>
      </w:r>
    </w:p>
    <w:p w:rsidR="005E6A0D" w:rsidRDefault="005E6A0D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6A0D" w:rsidRDefault="006E14DA">
      <w:pPr>
        <w:pStyle w:val="Paragrafoelenco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l'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allegato 3: fornisce indicazioni particolari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per l'applicazione dei Lea; </w:t>
      </w:r>
    </w:p>
    <w:p w:rsidR="005E6A0D" w:rsidRDefault="005E6A0D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6A0D" w:rsidRDefault="006E14DA">
      <w:pPr>
        <w:pStyle w:val="Paragrafoelenco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l'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allegato 4: definisce le linee guida relative al ruolo delle Regioni; </w:t>
      </w:r>
    </w:p>
    <w:p w:rsidR="005E6A0D" w:rsidRDefault="005E6A0D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6A0D" w:rsidRDefault="006E14DA">
      <w:pPr>
        <w:pStyle w:val="Paragrafoelenco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l'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allegato 5: riporta gli impegni assunti dalle Regioni per la riduzione delle liste di attesa delle prestazioni specialistiche ambulatoriali e in </w:t>
      </w:r>
      <w:r>
        <w:rPr>
          <w:rFonts w:ascii="Arial" w:eastAsia="Times New Roman" w:hAnsi="Arial" w:cs="Arial"/>
          <w:sz w:val="24"/>
          <w:szCs w:val="24"/>
          <w:lang w:eastAsia="it-IT"/>
        </w:rPr>
        <w:t>regime di ricovero.</w:t>
      </w:r>
    </w:p>
    <w:p w:rsidR="005E6A0D" w:rsidRDefault="005E6A0D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Per le prestazioni di assistenza specialistica ambulatoriale e per l'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assistenza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protesica, il D.P.C.M. 29 novembre 2001 fa riferimento agli allegati al DM 22 luglio 1996 e al decreto 27 agosto 1999, n. 332.</w:t>
      </w: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L'aggiornamento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dei LEA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è at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teso da tempo, e da tempo è stato annunciato, anche a livello normativo. In attuazione dei principi di equità, innovazione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ed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appropriatezza e nel rispetto degli equilibri programmati della finanza pubblica, il nuovo Patto per la salute 2014-2016 , all'art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icolo 1, comma 3, ne ha disposto l’aggiornamento entro il 31 dicembre 2014.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Successivamente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, la legge di stabilità 2015 (legge 190/2014) ha "ratificato" in vi a normativa i contenuti del Patto della salute. </w:t>
      </w: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L'impatto economico-finanziario della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revisione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dei LEA è stato quantificato dalla legge di stabilità 2016 (commi da 553 a 564 della legge 208/2015 ) che ha previsto un incremento di spesa non superiore a 800 milioni di euro annui per la prima revisione e ha definito, anche a regime, due possibili proce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dure di revisione. </w:t>
      </w: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Nel corso della XVI Legislatura il Governo aveva proceduto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ad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una revisione dei LEA, adottando nell'aprile 2008 apposito decreto del Presidente del Consiglio dei Ministri. Il decreto, tuttavia, non è mai entrato in vigore,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in quanto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rit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irato dal Governo a seguito dei rilievi della Corte dei Conti, che vertevano sostanzialmente su profili attinenti all'equilibrio economico su cui avrebbe dovuto basarsi il provvedimento.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Successivamente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>, nel 2010 è stata elaborata una nuova proposta di agg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iornamento dei LEA, in ordine alla quale la Ragioneria Generale dello Stato aveva espresso parere favorevole circa la sostenibilità economico-finanziaria, ma anche in quell'occasione il provvedimento non è stato adottato. </w:t>
      </w:r>
    </w:p>
    <w:p w:rsidR="005E6A0D" w:rsidRDefault="006E14DA">
      <w:pPr>
        <w:spacing w:after="120" w:line="100" w:lineRule="atLeast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Atto del Governo diviene </w:t>
      </w:r>
      <w:r>
        <w:rPr>
          <w:rFonts w:ascii="Arial" w:hAnsi="Arial" w:cs="Arial"/>
          <w:b/>
          <w:i/>
          <w:sz w:val="24"/>
          <w:szCs w:val="24"/>
        </w:rPr>
        <w:t>f</w:t>
      </w:r>
      <w:r>
        <w:rPr>
          <w:rFonts w:ascii="Arial" w:hAnsi="Arial" w:cs="Arial"/>
          <w:b/>
          <w:i/>
          <w:sz w:val="24"/>
          <w:szCs w:val="24"/>
        </w:rPr>
        <w:t>onte primaria</w:t>
      </w:r>
      <w:r>
        <w:rPr>
          <w:rFonts w:ascii="Arial" w:hAnsi="Arial" w:cs="Arial"/>
          <w:b/>
          <w:sz w:val="24"/>
          <w:szCs w:val="24"/>
        </w:rPr>
        <w:t xml:space="preserve"> per l’applicazione uniforme ed equa di prestazioni essenziali, su tutto il territorio nazionale; supera la parcellizzazione degli interventi assistenziali a livello delle singole Regioni, imponendo standard minimi. </w:t>
      </w:r>
    </w:p>
    <w:p w:rsidR="005E6A0D" w:rsidRDefault="006E14DA">
      <w:pPr>
        <w:spacing w:after="120"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Aggiorna e individua diver</w:t>
      </w:r>
      <w:r>
        <w:rPr>
          <w:rFonts w:ascii="Arial" w:hAnsi="Arial" w:cs="Arial"/>
          <w:b/>
          <w:sz w:val="24"/>
          <w:szCs w:val="24"/>
        </w:rPr>
        <w:t xml:space="preserve">si modelli organizzativi di ambito ospedaliero e di </w:t>
      </w:r>
      <w:proofErr w:type="gramStart"/>
      <w:r>
        <w:rPr>
          <w:rFonts w:ascii="Arial" w:hAnsi="Arial" w:cs="Arial"/>
          <w:b/>
          <w:sz w:val="24"/>
          <w:szCs w:val="24"/>
        </w:rPr>
        <w:t>ambito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residenziale.</w:t>
      </w:r>
    </w:p>
    <w:p w:rsidR="005E6A0D" w:rsidRDefault="006E14DA">
      <w:pPr>
        <w:spacing w:after="120"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Amplia il numero delle malattie rare.</w:t>
      </w:r>
    </w:p>
    <w:p w:rsidR="005E6A0D" w:rsidRDefault="006E14DA">
      <w:pPr>
        <w:spacing w:after="120"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Amplia il numero delle malattie croniche.</w:t>
      </w:r>
    </w:p>
    <w:p w:rsidR="005E6A0D" w:rsidRDefault="006E14DA">
      <w:pPr>
        <w:spacing w:after="120"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Pone il tema della vaccinazione come vera questione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di </w:t>
      </w:r>
      <w:proofErr w:type="gramEnd"/>
      <w:r>
        <w:rPr>
          <w:rFonts w:ascii="Arial" w:hAnsi="Arial" w:cs="Arial"/>
          <w:b/>
          <w:sz w:val="24"/>
          <w:szCs w:val="24"/>
        </w:rPr>
        <w:t>interesse nazionale.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>In sostanza lo schema del D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ecreto è rimasto come concordato nel lavoro congiunto con gli Uffici del Ministero. 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>Contestualmente all’approvazione è prevista l’abrogazione del D.M. appropriatezza del 2015, che aveva creato allarme e perplessità non solo nella classe medica, ma sopratt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utto tra i malati e tra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coloro che sono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bisognosi di prestazioni diagnostiche. </w:t>
      </w:r>
    </w:p>
    <w:p w:rsidR="005E6A0D" w:rsidRDefault="006E14DA">
      <w:pPr>
        <w:spacing w:after="120"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decreto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infatti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interviene sollecitando la appropriatezza clinica in modo proattivo, responsabilizzando i medici e limitando la applicazione di rigidi criteri di prescrizion</w:t>
      </w:r>
      <w:r>
        <w:rPr>
          <w:rFonts w:ascii="Arial" w:hAnsi="Arial" w:cs="Arial"/>
          <w:b/>
          <w:sz w:val="24"/>
          <w:szCs w:val="24"/>
        </w:rPr>
        <w:t>e ed erogabilità.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 xml:space="preserve">Da segnalare in particolare la corretta distinzione tra condizioni di erogabilità e indicazioni di appropriatezza prescrittiva: per poche prestazioni di particolare impegno specialistico sono previste condizioni di erogabilità vincolanti 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e che richiedono di riportare la nota. 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 xml:space="preserve">Per le prestazioni di utilizzo corrente sono previste, nel caso, indicazioni di appropriatezza prescrittiva, che lasciano comunque la decisione al medico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in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riferimento alla sua autonomia e alla sua responsabilità. 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 xml:space="preserve">E’ apprezzabile che solo attraverso uno specifico accordo della Conferenza Stato-Regioni saranno individuati i criteri e le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modalità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di conformità prescrittiva dei medici rispetto alle condizioni di erogabilità e alle indicazioni di appropriatezza stabilit</w:t>
      </w:r>
      <w:r>
        <w:rPr>
          <w:rFonts w:ascii="Arial" w:hAnsi="Arial" w:cs="Courier"/>
          <w:b/>
          <w:sz w:val="24"/>
          <w:szCs w:val="24"/>
          <w:lang w:eastAsia="it-IT"/>
        </w:rPr>
        <w:t>e dal provvedimento in esame.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 xml:space="preserve">E’ un passo positivo in avanti rispetto alla precedente formulazione. </w:t>
      </w: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Diventa obbligatorio per il “medico prescrittore” riportare sulla ricetta la diagnosi o il sospetto diagnostico, ma questo fa parte di un iter corretto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di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it-IT"/>
        </w:rPr>
        <w:t>informazione.</w:t>
      </w:r>
    </w:p>
    <w:p w:rsidR="005E6A0D" w:rsidRDefault="006E14DA">
      <w:pPr>
        <w:spacing w:after="12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Inoltre, sono state introdotte condizioni di erogabilità e indicazioni alla prescrizione appropriata per prestazioni ad alto costo o a rischio di uso inappropriato con l'introduzione di prestazioni "reflex", vale a dire prestazioni composte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it-IT"/>
        </w:rPr>
        <w:t>d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a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2 accertamenti diagnostici o clinici dei quali il secondo viene eseguito solo se l’esito del primo lo richiede.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 xml:space="preserve">Sono state inserite anche le indicazioni della FNOMCeO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relative al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coordinamento clinico da parte del medico, e in particolare del Medico di M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edicina Generale e del Pediatra di Libera Scelta, delle attività rivolte ai soggetti cronici e fragili. 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 xml:space="preserve">La FNOMCeO avrà la possibilità di proporre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ulteriori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miglioramenti nell’ambito dell’aggiornamento costante dei LEA, essendo prevista la sua presenza ne</w:t>
      </w:r>
      <w:r>
        <w:rPr>
          <w:rFonts w:ascii="Arial" w:hAnsi="Arial" w:cs="Courier"/>
          <w:b/>
          <w:sz w:val="24"/>
          <w:szCs w:val="24"/>
          <w:lang w:eastAsia="it-IT"/>
        </w:rPr>
        <w:t>ll'apposita Commissione Ministeriale.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 xml:space="preserve">Questo provvedimento atteso dal 2001 è di particolare rilevanza ed è anche il risultato dell’accordo raggiunto con la categoria dei medici rappresentata dalla FNOMCeO e dalle organizzazioni sindacali coinvolte. 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>La FNO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MCeO auspica che si possa procedere, al fine di garantire l'attuazione dei livelli essenziali di assistenza,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ad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una deroga al blocco del turnover, da applicare </w:t>
      </w:r>
      <w:r>
        <w:rPr>
          <w:rFonts w:ascii="Arial" w:hAnsi="Arial" w:cs="Courier"/>
          <w:b/>
          <w:sz w:val="24"/>
          <w:szCs w:val="24"/>
          <w:lang w:eastAsia="it-IT"/>
        </w:rPr>
        <w:lastRenderedPageBreak/>
        <w:t>anche nelle regioni soggette a piano di rientro. La stessa Corte dei Conti ha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 xml:space="preserve"> infatti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rilevato c</w:t>
      </w:r>
      <w:r>
        <w:rPr>
          <w:rFonts w:ascii="Arial" w:hAnsi="Arial" w:cs="Courier"/>
          <w:b/>
          <w:sz w:val="24"/>
          <w:szCs w:val="24"/>
          <w:lang w:eastAsia="it-IT"/>
        </w:rPr>
        <w:t>he ulteriori risparmi ottenibili da incrementi di efficienza, se non reinvestiti prevalentemente nei settori dove è più carente l'offerta di servizi sanitari, come ad esempio nell'assistenza territoriale e domiciliare, oppure nell'ammodernamento tecnologic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o infrastrutturale, potrebbero rendere problematico il mantenimento dell'attuale assetto dei LEA, facendo emergere nel medio periodo deficit assistenziali più marcati nelle regioni meridionali, dove sono relativamente più frequenti le carenze. </w:t>
      </w:r>
    </w:p>
    <w:p w:rsidR="005E6A0D" w:rsidRDefault="005E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>La FNOMCeO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 chiede, pertanto, un aumento del finanziamento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del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SSN adeguato e coerente con le sue finalità istitutive e una sua equa ripartizione in Sanità e che questo avvenga attraverso una rivalutazione dei parametri di attribuzione del fondo sanitario. Vanno tenu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ti in considerazione fattori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socio-economici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come la povertà, la scarsa consapevolezza culturale o le condizioni ambientali, eliminando le disuguaglianze. E ciò in coerenza con l’articolo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3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della Costituzione Italiana, secondo cui è compito della Repubblic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a rimuovere gli ostacoli che limitano l’eguaglianza dei cittadini. 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 xml:space="preserve">In conclusione, la FNOMCeO condivide l’impianto dello Schema di Decreto del Presidente del Consiglio dei Ministri e ne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sottolinea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la consistenza giuridico - normativa di fonte primaria.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So</w:t>
      </w:r>
      <w:r>
        <w:rPr>
          <w:rFonts w:ascii="Arial" w:hAnsi="Arial" w:cs="Courier"/>
          <w:b/>
          <w:sz w:val="24"/>
          <w:szCs w:val="24"/>
          <w:lang w:eastAsia="it-IT"/>
        </w:rPr>
        <w:t>ttolinea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come la corretta, equa, omogenea applicazione della futura norma dipenda strettamente dalla capacità del Paese di trovare unità di intenti nella stretta relazione tra Stato e Regioni.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>Si ritiene che questo Schema di Decreto rappresenti un esercizi</w:t>
      </w:r>
      <w:r>
        <w:rPr>
          <w:rFonts w:ascii="Arial" w:hAnsi="Arial" w:cs="Courier"/>
          <w:b/>
          <w:sz w:val="24"/>
          <w:szCs w:val="24"/>
          <w:lang w:eastAsia="it-IT"/>
        </w:rPr>
        <w:t xml:space="preserve">o importante di democrazia e un indicatore delle capacità del Paese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di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rispondere ai bisogni di Salute della Popolazione.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 xml:space="preserve">Bisogna infine ricordare che senza i professionisti del Servizio Sanitario Nazionale non sarebbe possibile erogare </w:t>
      </w:r>
      <w:proofErr w:type="gramStart"/>
      <w:r>
        <w:rPr>
          <w:rFonts w:ascii="Arial" w:hAnsi="Arial" w:cs="Courier"/>
          <w:b/>
          <w:sz w:val="24"/>
          <w:szCs w:val="24"/>
          <w:lang w:eastAsia="it-IT"/>
        </w:rPr>
        <w:t>i LEA</w:t>
      </w:r>
      <w:proofErr w:type="gramEnd"/>
      <w:r>
        <w:rPr>
          <w:rFonts w:ascii="Arial" w:hAnsi="Arial" w:cs="Courier"/>
          <w:b/>
          <w:sz w:val="24"/>
          <w:szCs w:val="24"/>
          <w:lang w:eastAsia="it-IT"/>
        </w:rPr>
        <w:t xml:space="preserve"> e in questa s</w:t>
      </w:r>
      <w:r>
        <w:rPr>
          <w:rFonts w:ascii="Arial" w:hAnsi="Arial" w:cs="Courier"/>
          <w:b/>
          <w:sz w:val="24"/>
          <w:szCs w:val="24"/>
          <w:lang w:eastAsia="it-IT"/>
        </w:rPr>
        <w:t>imbiosi tra professionisti e LEA risiede la garanzia del diritto fondamentale alla salute, previsto dall'articolo 32 della Costituzione.</w:t>
      </w:r>
    </w:p>
    <w:p w:rsidR="005E6A0D" w:rsidRDefault="005E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</w:p>
    <w:p w:rsidR="005E6A0D" w:rsidRDefault="005E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</w:p>
    <w:p w:rsidR="005E6A0D" w:rsidRDefault="005E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</w:p>
    <w:p w:rsidR="005E6A0D" w:rsidRDefault="005E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</w:p>
    <w:p w:rsidR="005E6A0D" w:rsidRDefault="005E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</w:p>
    <w:p w:rsidR="005E6A0D" w:rsidRDefault="005E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both"/>
        <w:rPr>
          <w:rFonts w:ascii="Arial" w:hAnsi="Arial" w:cs="Courier"/>
          <w:b/>
          <w:sz w:val="24"/>
          <w:szCs w:val="24"/>
          <w:lang w:eastAsia="it-IT"/>
        </w:rPr>
      </w:pP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right"/>
        <w:rPr>
          <w:rFonts w:ascii="Arial" w:hAnsi="Arial" w:cs="Courier"/>
          <w:b/>
          <w:i/>
          <w:sz w:val="24"/>
          <w:szCs w:val="24"/>
          <w:lang w:eastAsia="it-IT"/>
        </w:rPr>
      </w:pPr>
      <w:r>
        <w:rPr>
          <w:rFonts w:ascii="Arial" w:hAnsi="Arial" w:cs="Courier"/>
          <w:b/>
          <w:sz w:val="24"/>
          <w:szCs w:val="24"/>
          <w:lang w:eastAsia="it-IT"/>
        </w:rPr>
        <w:tab/>
      </w:r>
      <w:r>
        <w:rPr>
          <w:rFonts w:ascii="Arial" w:hAnsi="Arial" w:cs="Courier"/>
          <w:b/>
          <w:sz w:val="24"/>
          <w:szCs w:val="24"/>
          <w:lang w:eastAsia="it-IT"/>
        </w:rPr>
        <w:tab/>
      </w:r>
      <w:r>
        <w:rPr>
          <w:rFonts w:ascii="Arial" w:hAnsi="Arial" w:cs="Courier"/>
          <w:b/>
          <w:sz w:val="24"/>
          <w:szCs w:val="24"/>
          <w:lang w:eastAsia="it-IT"/>
        </w:rPr>
        <w:tab/>
      </w:r>
      <w:r>
        <w:rPr>
          <w:rFonts w:ascii="Arial" w:hAnsi="Arial" w:cs="Courier"/>
          <w:b/>
          <w:sz w:val="24"/>
          <w:szCs w:val="24"/>
          <w:lang w:eastAsia="it-IT"/>
        </w:rPr>
        <w:tab/>
      </w:r>
      <w:r>
        <w:rPr>
          <w:rFonts w:ascii="Arial" w:hAnsi="Arial" w:cs="Courier"/>
          <w:b/>
          <w:sz w:val="24"/>
          <w:szCs w:val="24"/>
          <w:lang w:eastAsia="it-IT"/>
        </w:rPr>
        <w:tab/>
      </w:r>
      <w:r>
        <w:rPr>
          <w:rFonts w:ascii="Arial" w:hAnsi="Arial" w:cs="Courier"/>
          <w:b/>
          <w:sz w:val="24"/>
          <w:szCs w:val="24"/>
          <w:lang w:eastAsia="it-IT"/>
        </w:rPr>
        <w:tab/>
      </w:r>
      <w:r>
        <w:rPr>
          <w:rFonts w:ascii="Arial" w:hAnsi="Arial" w:cs="Courier"/>
          <w:b/>
          <w:i/>
          <w:sz w:val="24"/>
          <w:szCs w:val="24"/>
          <w:lang w:eastAsia="it-IT"/>
        </w:rPr>
        <w:t>Roberta Chersevani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right"/>
        <w:rPr>
          <w:rFonts w:ascii="Arial" w:hAnsi="Arial" w:cs="Courier"/>
          <w:i/>
          <w:sz w:val="24"/>
          <w:szCs w:val="24"/>
          <w:lang w:eastAsia="it-IT"/>
        </w:rPr>
      </w:pPr>
      <w:r>
        <w:rPr>
          <w:rFonts w:ascii="Arial" w:hAnsi="Arial" w:cs="Courier"/>
          <w:i/>
          <w:sz w:val="24"/>
          <w:szCs w:val="24"/>
          <w:lang w:eastAsia="it-IT"/>
        </w:rPr>
        <w:tab/>
      </w:r>
      <w:r>
        <w:rPr>
          <w:rFonts w:ascii="Arial" w:hAnsi="Arial" w:cs="Courier"/>
          <w:i/>
          <w:sz w:val="24"/>
          <w:szCs w:val="24"/>
          <w:lang w:eastAsia="it-IT"/>
        </w:rPr>
        <w:tab/>
      </w:r>
      <w:r>
        <w:rPr>
          <w:rFonts w:ascii="Arial" w:hAnsi="Arial" w:cs="Courier"/>
          <w:i/>
          <w:sz w:val="24"/>
          <w:szCs w:val="24"/>
          <w:lang w:eastAsia="it-IT"/>
        </w:rPr>
        <w:tab/>
      </w:r>
      <w:r>
        <w:rPr>
          <w:rFonts w:ascii="Arial" w:hAnsi="Arial" w:cs="Courier"/>
          <w:i/>
          <w:sz w:val="24"/>
          <w:szCs w:val="24"/>
          <w:lang w:eastAsia="it-IT"/>
        </w:rPr>
        <w:tab/>
      </w:r>
      <w:r>
        <w:rPr>
          <w:rFonts w:ascii="Arial" w:hAnsi="Arial" w:cs="Courier"/>
          <w:i/>
          <w:sz w:val="24"/>
          <w:szCs w:val="24"/>
          <w:lang w:eastAsia="it-IT"/>
        </w:rPr>
        <w:tab/>
        <w:t>Il Presidente</w:t>
      </w:r>
    </w:p>
    <w:p w:rsidR="005E6A0D" w:rsidRDefault="006E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right"/>
        <w:rPr>
          <w:rFonts w:ascii="Arial" w:hAnsi="Arial" w:cs="Courier"/>
          <w:sz w:val="24"/>
          <w:szCs w:val="24"/>
          <w:lang w:eastAsia="it-IT"/>
        </w:rPr>
      </w:pPr>
      <w:r>
        <w:rPr>
          <w:rFonts w:ascii="Arial" w:hAnsi="Arial" w:cs="Courier"/>
          <w:sz w:val="24"/>
          <w:szCs w:val="24"/>
          <w:lang w:eastAsia="it-IT"/>
        </w:rPr>
        <w:t>Federazione Nazionale degli Ordini dei Medici Chirurghi e degli Odont</w:t>
      </w:r>
      <w:r>
        <w:rPr>
          <w:rFonts w:ascii="Arial" w:hAnsi="Arial" w:cs="Courier"/>
          <w:sz w:val="24"/>
          <w:szCs w:val="24"/>
          <w:lang w:eastAsia="it-IT"/>
        </w:rPr>
        <w:t>oiatri</w:t>
      </w:r>
    </w:p>
    <w:p w:rsidR="005E6A0D" w:rsidRDefault="005E6A0D"/>
    <w:sectPr w:rsidR="005E6A0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14DA">
      <w:pPr>
        <w:spacing w:after="0" w:line="240" w:lineRule="auto"/>
      </w:pPr>
      <w:r>
        <w:separator/>
      </w:r>
    </w:p>
  </w:endnote>
  <w:endnote w:type="continuationSeparator" w:id="0">
    <w:p w:rsidR="00000000" w:rsidRDefault="006E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0D" w:rsidRDefault="006E14DA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5E6A0D" w:rsidRDefault="005E6A0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14DA">
      <w:pPr>
        <w:spacing w:after="0" w:line="240" w:lineRule="auto"/>
      </w:pPr>
      <w:r>
        <w:separator/>
      </w:r>
    </w:p>
  </w:footnote>
  <w:footnote w:type="continuationSeparator" w:id="0">
    <w:p w:rsidR="00000000" w:rsidRDefault="006E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0D" w:rsidRDefault="005E6A0D">
    <w:pPr>
      <w:pStyle w:val="Intestazione"/>
      <w:keepNext/>
      <w:tabs>
        <w:tab w:val="center" w:pos="4819"/>
        <w:tab w:val="right" w:pos="9638"/>
      </w:tabs>
      <w:spacing w:before="240" w:after="0" w:line="100" w:lineRule="atLeast"/>
    </w:pPr>
  </w:p>
  <w:p w:rsidR="005E6A0D" w:rsidRDefault="005E6A0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0F5"/>
    <w:multiLevelType w:val="multilevel"/>
    <w:tmpl w:val="D67017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3B465E"/>
    <w:multiLevelType w:val="multilevel"/>
    <w:tmpl w:val="7B32D33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0D"/>
    <w:rsid w:val="005E6A0D"/>
    <w:rsid w:val="006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3">
    <w:name w:val="Intestazione 3"/>
    <w:basedOn w:val="Normale"/>
    <w:pPr>
      <w:keepNext/>
      <w:keepLines/>
      <w:spacing w:before="200" w:after="0"/>
    </w:pPr>
    <w:rPr>
      <w:rFonts w:ascii="Cambria" w:hAnsi="Cambria"/>
      <w:b/>
      <w:bCs/>
      <w:color w:val="4F81BD"/>
    </w:rPr>
  </w:style>
  <w:style w:type="character" w:customStyle="1" w:styleId="Titolo3Carattere">
    <w:name w:val="Titolo 3 Carattere"/>
    <w:basedOn w:val="Caratterepredefinitoparagrafo"/>
    <w:rPr>
      <w:rFonts w:ascii="Cambria" w:hAnsi="Cambria"/>
      <w:b/>
      <w:bCs/>
      <w:color w:val="4F81BD"/>
    </w:rPr>
  </w:style>
  <w:style w:type="character" w:customStyle="1" w:styleId="IntestazioneCarattere">
    <w:name w:val="Intestazione Carattere"/>
    <w:basedOn w:val="Caratterepredefinitoparagrafo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atterepredefinitoparagrafo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atterepredefinitoparagrafo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styleId="Intestazione">
    <w:name w:val="header"/>
    <w:basedOn w:val="Normale"/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ind w:left="720"/>
      <w:contextualSpacing/>
    </w:pPr>
    <w:rPr>
      <w:rFonts w:cs="Calibr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3">
    <w:name w:val="Intestazione 3"/>
    <w:basedOn w:val="Normale"/>
    <w:pPr>
      <w:keepNext/>
      <w:keepLines/>
      <w:spacing w:before="200" w:after="0"/>
    </w:pPr>
    <w:rPr>
      <w:rFonts w:ascii="Cambria" w:hAnsi="Cambria"/>
      <w:b/>
      <w:bCs/>
      <w:color w:val="4F81BD"/>
    </w:rPr>
  </w:style>
  <w:style w:type="character" w:customStyle="1" w:styleId="Titolo3Carattere">
    <w:name w:val="Titolo 3 Carattere"/>
    <w:basedOn w:val="Caratterepredefinitoparagrafo"/>
    <w:rPr>
      <w:rFonts w:ascii="Cambria" w:hAnsi="Cambria"/>
      <w:b/>
      <w:bCs/>
      <w:color w:val="4F81BD"/>
    </w:rPr>
  </w:style>
  <w:style w:type="character" w:customStyle="1" w:styleId="IntestazioneCarattere">
    <w:name w:val="Intestazione Carattere"/>
    <w:basedOn w:val="Caratterepredefinitoparagrafo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atterepredefinitoparagrafo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atterepredefinitoparagrafo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styleId="Intestazione">
    <w:name w:val="header"/>
    <w:basedOn w:val="Normale"/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ind w:left="720"/>
      <w:contextualSpacing/>
    </w:pPr>
    <w:rPr>
      <w:rFonts w:cs="Calibr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1619</Words>
  <Characters>9234</Characters>
  <Application>Microsoft Macintosh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r.procino</dc:creator>
  <cp:lastModifiedBy>rosa</cp:lastModifiedBy>
  <cp:revision>2</cp:revision>
  <cp:lastPrinted>2016-12-06T11:40:00Z</cp:lastPrinted>
  <dcterms:created xsi:type="dcterms:W3CDTF">2016-12-06T18:27:00Z</dcterms:created>
  <dcterms:modified xsi:type="dcterms:W3CDTF">2016-12-06T18:27:00Z</dcterms:modified>
</cp:coreProperties>
</file>