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C7E" w:rsidRDefault="00493C63">
      <w:pPr>
        <w:spacing w:after="20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200785" cy="120078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20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00785" cy="1200785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20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C7E" w:rsidRDefault="001D2C7E">
      <w:pPr>
        <w:spacing w:after="200"/>
        <w:jc w:val="center"/>
        <w:rPr>
          <w:rFonts w:ascii="Arial" w:eastAsia="Arial" w:hAnsi="Arial" w:cs="Arial"/>
          <w:b/>
          <w:sz w:val="36"/>
        </w:rPr>
      </w:pPr>
    </w:p>
    <w:p w:rsidR="001D2C7E" w:rsidRDefault="001D2C7E">
      <w:pPr>
        <w:spacing w:after="200"/>
        <w:jc w:val="center"/>
        <w:rPr>
          <w:rFonts w:ascii="Arial" w:eastAsia="Arial" w:hAnsi="Arial" w:cs="Arial"/>
          <w:b/>
          <w:sz w:val="36"/>
        </w:rPr>
      </w:pPr>
    </w:p>
    <w:p w:rsidR="001D2C7E" w:rsidRDefault="001D2C7E">
      <w:pPr>
        <w:spacing w:after="200"/>
        <w:jc w:val="center"/>
        <w:rPr>
          <w:rFonts w:ascii="Arial" w:eastAsia="Arial" w:hAnsi="Arial" w:cs="Arial"/>
          <w:b/>
          <w:sz w:val="36"/>
        </w:rPr>
      </w:pPr>
    </w:p>
    <w:p w:rsidR="001D2C7E" w:rsidRDefault="00493C63">
      <w:pPr>
        <w:spacing w:after="200"/>
        <w:jc w:val="center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t xml:space="preserve">AUDIZIONE DELLA </w:t>
      </w:r>
    </w:p>
    <w:p w:rsidR="001D2C7E" w:rsidRDefault="00493C63">
      <w:pPr>
        <w:spacing w:after="200"/>
        <w:jc w:val="center"/>
        <w:rPr>
          <w:rFonts w:ascii="Arial" w:eastAsia="Arial" w:hAnsi="Arial" w:cs="Arial"/>
          <w:b/>
          <w:sz w:val="36"/>
        </w:rPr>
      </w:pPr>
      <w:proofErr w:type="gramStart"/>
      <w:r>
        <w:rPr>
          <w:rFonts w:ascii="Arial" w:eastAsia="Arial" w:hAnsi="Arial" w:cs="Arial"/>
          <w:b/>
          <w:sz w:val="36"/>
        </w:rPr>
        <w:t>COMPONENTE</w:t>
      </w:r>
      <w:proofErr w:type="gramEnd"/>
      <w:r>
        <w:rPr>
          <w:rFonts w:ascii="Arial" w:eastAsia="Arial" w:hAnsi="Arial" w:cs="Arial"/>
          <w:b/>
          <w:sz w:val="36"/>
        </w:rPr>
        <w:t xml:space="preserve"> ODONTOIATRICA FEDERAZIONE NAZIONALE DEGLI ORDINI DEI MEDICI CHIRURGHI E DEGLI ODONTOIATRI </w:t>
      </w:r>
    </w:p>
    <w:p w:rsidR="001D2C7E" w:rsidRDefault="00493C63">
      <w:pPr>
        <w:spacing w:after="200"/>
        <w:jc w:val="center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t xml:space="preserve">ALLA </w:t>
      </w:r>
    </w:p>
    <w:p w:rsidR="001D2C7E" w:rsidRDefault="00493C63">
      <w:pPr>
        <w:spacing w:after="200"/>
        <w:jc w:val="center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t xml:space="preserve">COMMISSIONE IGIENE E SANITA' DEL </w:t>
      </w:r>
    </w:p>
    <w:p w:rsidR="001D2C7E" w:rsidRDefault="00493C63">
      <w:pPr>
        <w:spacing w:after="200"/>
        <w:jc w:val="center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t xml:space="preserve">SENATO DELLA REPUBBLICA </w:t>
      </w:r>
    </w:p>
    <w:p w:rsidR="001D2C7E" w:rsidRDefault="001D2C7E">
      <w:pPr>
        <w:spacing w:after="200"/>
        <w:jc w:val="center"/>
        <w:rPr>
          <w:rFonts w:ascii="Arial" w:eastAsia="Arial" w:hAnsi="Arial" w:cs="Arial"/>
          <w:b/>
          <w:sz w:val="36"/>
        </w:rPr>
      </w:pPr>
    </w:p>
    <w:p w:rsidR="001D2C7E" w:rsidRDefault="001D2C7E">
      <w:pPr>
        <w:spacing w:after="200" w:line="276" w:lineRule="auto"/>
        <w:ind w:left="-540" w:right="459"/>
        <w:jc w:val="both"/>
        <w:rPr>
          <w:rFonts w:ascii="Arial" w:eastAsia="Arial" w:hAnsi="Arial" w:cs="Arial"/>
          <w:b/>
          <w:sz w:val="28"/>
        </w:rPr>
      </w:pPr>
    </w:p>
    <w:p w:rsidR="001D2C7E" w:rsidRDefault="001D2C7E">
      <w:pPr>
        <w:spacing w:after="200"/>
        <w:jc w:val="center"/>
        <w:rPr>
          <w:rFonts w:ascii="Arial" w:eastAsia="Arial" w:hAnsi="Arial" w:cs="Arial"/>
          <w:b/>
          <w:color w:val="002060"/>
          <w:sz w:val="36"/>
        </w:rPr>
      </w:pPr>
    </w:p>
    <w:p w:rsidR="001D2C7E" w:rsidRDefault="00493C63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"Schema di decreto del Presidente del Consiglio dei ministri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recante definizione e aggiornamento dei livelli essenziali di assistenza (LEA) di cui all'articolo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, comma 7, del decreto legislativo 30 dicembre 1992, n. 502"</w:t>
      </w:r>
    </w:p>
    <w:p w:rsidR="001D2C7E" w:rsidRDefault="001D2C7E">
      <w:pPr>
        <w:spacing w:after="200"/>
        <w:jc w:val="center"/>
        <w:rPr>
          <w:rFonts w:ascii="Arial" w:eastAsia="Arial" w:hAnsi="Arial" w:cs="Arial"/>
          <w:b/>
          <w:color w:val="002060"/>
          <w:sz w:val="36"/>
        </w:rPr>
      </w:pPr>
    </w:p>
    <w:p w:rsidR="001D2C7E" w:rsidRDefault="001D2C7E">
      <w:pPr>
        <w:spacing w:after="200"/>
        <w:jc w:val="center"/>
        <w:rPr>
          <w:rFonts w:ascii="Arial" w:eastAsia="Arial" w:hAnsi="Arial" w:cs="Arial"/>
          <w:b/>
          <w:color w:val="002060"/>
          <w:sz w:val="36"/>
        </w:rPr>
      </w:pPr>
    </w:p>
    <w:p w:rsidR="001D2C7E" w:rsidRDefault="00493C63">
      <w:pPr>
        <w:spacing w:after="200"/>
        <w:jc w:val="center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Roma, 6 DICEMBRE 2016</w:t>
      </w:r>
    </w:p>
    <w:p w:rsidR="001D2C7E" w:rsidRDefault="001D2C7E">
      <w:pPr>
        <w:spacing w:after="200"/>
        <w:jc w:val="center"/>
        <w:rPr>
          <w:rFonts w:ascii="Times New Roman" w:eastAsia="Arial" w:hAnsi="Times New Roman" w:cs="Times New Roman"/>
          <w:b/>
        </w:rPr>
      </w:pPr>
    </w:p>
    <w:p w:rsidR="001D2C7E" w:rsidRDefault="00493C63">
      <w:pPr>
        <w:spacing w:after="200"/>
        <w:jc w:val="center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 xml:space="preserve">    </w:t>
      </w:r>
    </w:p>
    <w:p w:rsidR="001D2C7E" w:rsidRDefault="001D2C7E">
      <w:pPr>
        <w:spacing w:after="200"/>
        <w:jc w:val="center"/>
        <w:rPr>
          <w:rFonts w:ascii="Times New Roman" w:eastAsia="Arial" w:hAnsi="Times New Roman" w:cs="Times New Roman"/>
          <w:b/>
        </w:rPr>
      </w:pPr>
    </w:p>
    <w:p w:rsidR="001D2C7E" w:rsidRDefault="001D2C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00" w:line="276" w:lineRule="auto"/>
        <w:jc w:val="both"/>
        <w:rPr>
          <w:rFonts w:ascii="Times New Roman" w:eastAsia="Arial" w:hAnsi="Times New Roman" w:cs="Times New Roman"/>
          <w:color w:val="000000"/>
        </w:rPr>
      </w:pPr>
    </w:p>
    <w:p w:rsidR="001D2C7E" w:rsidRDefault="00493C63">
      <w:pPr>
        <w:spacing w:after="200" w:line="276" w:lineRule="auto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lastRenderedPageBreak/>
        <w:t xml:space="preserve">Illustre Presidente e Illustri </w:t>
      </w:r>
      <w:proofErr w:type="gramStart"/>
      <w:r>
        <w:rPr>
          <w:rFonts w:ascii="Times New Roman" w:eastAsia="Arial" w:hAnsi="Times New Roman" w:cs="Times New Roman"/>
          <w:b/>
        </w:rPr>
        <w:t>Componenti</w:t>
      </w:r>
      <w:proofErr w:type="gramEnd"/>
      <w:r>
        <w:rPr>
          <w:rFonts w:ascii="Times New Roman" w:eastAsia="Arial" w:hAnsi="Times New Roman" w:cs="Times New Roman"/>
          <w:b/>
        </w:rPr>
        <w:t xml:space="preserve"> della Commissione, </w:t>
      </w:r>
    </w:p>
    <w:p w:rsidR="001D2C7E" w:rsidRDefault="00493C63">
      <w:pPr>
        <w:spacing w:after="200" w:line="276" w:lineRule="auto"/>
        <w:jc w:val="both"/>
        <w:rPr>
          <w:rFonts w:ascii="Times New Roman" w:eastAsia="Arial" w:hAnsi="Times New Roman" w:cs="Times New Roman"/>
        </w:rPr>
      </w:pPr>
      <w:proofErr w:type="gramStart"/>
      <w:r>
        <w:rPr>
          <w:rFonts w:ascii="Times New Roman" w:eastAsia="Arial" w:hAnsi="Times New Roman" w:cs="Times New Roman"/>
        </w:rPr>
        <w:t>grazie</w:t>
      </w:r>
      <w:proofErr w:type="gramEnd"/>
      <w:r>
        <w:rPr>
          <w:rFonts w:ascii="Times New Roman" w:eastAsia="Arial" w:hAnsi="Times New Roman" w:cs="Times New Roman"/>
        </w:rPr>
        <w:t xml:space="preserve"> per questo invito in audizione su una questione che riveste una estrema rilevanza per la Professione Odontoiatrica. </w:t>
      </w:r>
    </w:p>
    <w:p w:rsidR="001D2C7E" w:rsidRDefault="00493C63">
      <w:pPr>
        <w:spacing w:after="200"/>
        <w:jc w:val="center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VALUTAZIONI GENERALI</w:t>
      </w:r>
    </w:p>
    <w:p w:rsidR="001D2C7E" w:rsidRDefault="001D2C7E">
      <w:pPr>
        <w:spacing w:after="200"/>
        <w:jc w:val="center"/>
        <w:rPr>
          <w:rFonts w:ascii="Times New Roman" w:eastAsia="Arial" w:hAnsi="Times New Roman" w:cs="Times New Roman"/>
          <w:b/>
        </w:rPr>
      </w:pPr>
    </w:p>
    <w:p w:rsidR="001D2C7E" w:rsidRDefault="00493C63">
      <w:pPr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La definizione dei livelli essenziali di assistenza (LEA) costituisce un elemento centrale per garantire </w:t>
      </w:r>
      <w:proofErr w:type="gramStart"/>
      <w:r>
        <w:rPr>
          <w:rFonts w:ascii="Times New Roman" w:eastAsia="Arial" w:hAnsi="Times New Roman" w:cs="Times New Roman"/>
        </w:rPr>
        <w:t xml:space="preserve">una </w:t>
      </w:r>
      <w:proofErr w:type="gramEnd"/>
      <w:r>
        <w:rPr>
          <w:rFonts w:ascii="Times New Roman" w:eastAsia="Arial" w:hAnsi="Times New Roman" w:cs="Times New Roman"/>
        </w:rPr>
        <w:t>a</w:t>
      </w:r>
      <w:r>
        <w:rPr>
          <w:rFonts w:ascii="Times New Roman" w:eastAsia="Arial" w:hAnsi="Times New Roman" w:cs="Times New Roman"/>
        </w:rPr>
        <w:t>ssistenza sanitaria efficace e rappresenta uno degli aspetti fondamentali di un sistema di welfare.</w:t>
      </w:r>
    </w:p>
    <w:p w:rsidR="001D2C7E" w:rsidRDefault="001D2C7E">
      <w:pPr>
        <w:jc w:val="both"/>
        <w:rPr>
          <w:rFonts w:ascii="Times New Roman" w:eastAsia="Arial" w:hAnsi="Times New Roman" w:cs="Times New Roman"/>
        </w:rPr>
      </w:pPr>
    </w:p>
    <w:p w:rsidR="001D2C7E" w:rsidRDefault="00493C63">
      <w:pPr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Per quanto concerne, in particolare, la professione odontoiatrica è utile ricordare che la perdurante crisi economica ha provocato una consistente, </w:t>
      </w:r>
      <w:r>
        <w:rPr>
          <w:rFonts w:ascii="Times New Roman" w:eastAsia="Arial" w:hAnsi="Times New Roman" w:cs="Times New Roman"/>
        </w:rPr>
        <w:t>pericolosa rinuncia all'accesso alle cure da parte di quelle fasce della popolazione che si trovano in una situazione di disagio economico e sociale.</w:t>
      </w:r>
    </w:p>
    <w:p w:rsidR="001D2C7E" w:rsidRDefault="001D2C7E">
      <w:pPr>
        <w:jc w:val="both"/>
        <w:rPr>
          <w:rFonts w:ascii="Times New Roman" w:eastAsia="Arial" w:hAnsi="Times New Roman" w:cs="Times New Roman"/>
        </w:rPr>
      </w:pPr>
    </w:p>
    <w:p w:rsidR="001D2C7E" w:rsidRDefault="00493C63">
      <w:pPr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Inoltre, in considerazione a quanto previsto nel Decreto, appare concreta la possibilità che le prestazio</w:t>
      </w:r>
      <w:r>
        <w:rPr>
          <w:rFonts w:ascii="Times New Roman" w:eastAsia="Arial" w:hAnsi="Times New Roman" w:cs="Times New Roman"/>
        </w:rPr>
        <w:t xml:space="preserve">ni previste </w:t>
      </w:r>
      <w:proofErr w:type="gramStart"/>
      <w:r>
        <w:rPr>
          <w:rFonts w:ascii="Times New Roman" w:eastAsia="Arial" w:hAnsi="Times New Roman" w:cs="Times New Roman"/>
        </w:rPr>
        <w:t>nei LEA</w:t>
      </w:r>
      <w:proofErr w:type="gramEnd"/>
      <w:r>
        <w:rPr>
          <w:rFonts w:ascii="Times New Roman" w:eastAsia="Arial" w:hAnsi="Times New Roman" w:cs="Times New Roman"/>
        </w:rPr>
        <w:t xml:space="preserve"> possano essere erogate nei diversi Sistemi Sanitari Regionali con differenti modalità e costi per la popolazione in rapporto alle differenze economiche esistenti tra Regioni, precostituendo una sperequazione all’accesso alle cure dei ci</w:t>
      </w:r>
      <w:r>
        <w:rPr>
          <w:rFonts w:ascii="Times New Roman" w:eastAsia="Arial" w:hAnsi="Times New Roman" w:cs="Times New Roman"/>
        </w:rPr>
        <w:t xml:space="preserve">ttadini e ledendo così il diritto alla salute costituzionalmente riconosciuto a tutta la collettività. </w:t>
      </w:r>
    </w:p>
    <w:p w:rsidR="001D2C7E" w:rsidRDefault="001D2C7E">
      <w:pPr>
        <w:jc w:val="both"/>
        <w:rPr>
          <w:rFonts w:ascii="Times New Roman" w:eastAsia="Arial" w:hAnsi="Times New Roman" w:cs="Times New Roman"/>
        </w:rPr>
      </w:pPr>
    </w:p>
    <w:p w:rsidR="001D2C7E" w:rsidRDefault="00493C63">
      <w:pPr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Un Paese moderno non può dimenticarsi dei più deboli e deve, nell’ambito di una corretta programmazione, saper dimostrare capacità </w:t>
      </w:r>
      <w:proofErr w:type="gramStart"/>
      <w:r>
        <w:rPr>
          <w:rFonts w:ascii="Times New Roman" w:eastAsia="Arial" w:hAnsi="Times New Roman" w:cs="Times New Roman"/>
        </w:rPr>
        <w:t xml:space="preserve">di </w:t>
      </w:r>
      <w:proofErr w:type="gramEnd"/>
      <w:r>
        <w:rPr>
          <w:rFonts w:ascii="Times New Roman" w:eastAsia="Arial" w:hAnsi="Times New Roman" w:cs="Times New Roman"/>
        </w:rPr>
        <w:t>intervento risolu</w:t>
      </w:r>
      <w:r>
        <w:rPr>
          <w:rFonts w:ascii="Times New Roman" w:eastAsia="Arial" w:hAnsi="Times New Roman" w:cs="Times New Roman"/>
        </w:rPr>
        <w:t>tive.</w:t>
      </w:r>
    </w:p>
    <w:p w:rsidR="001D2C7E" w:rsidRDefault="001D2C7E">
      <w:pPr>
        <w:jc w:val="both"/>
        <w:rPr>
          <w:rFonts w:ascii="Times New Roman" w:eastAsia="Arial" w:hAnsi="Times New Roman" w:cs="Times New Roman"/>
        </w:rPr>
      </w:pPr>
    </w:p>
    <w:p w:rsidR="001D2C7E" w:rsidRDefault="00493C63">
      <w:pPr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Le cure odontoiatriche sono considerate onerose, tuttavia, il loro valore deriva tra l’altro dai costi incomprimibili dei materiali, delle attrezzature e dei vari ausili protesici necessari e non certamente per la cattiva volontà dei professionisti </w:t>
      </w:r>
      <w:r>
        <w:rPr>
          <w:rFonts w:ascii="Times New Roman" w:eastAsia="Arial" w:hAnsi="Times New Roman" w:cs="Times New Roman"/>
        </w:rPr>
        <w:t xml:space="preserve">interessati, secondo alcune letture interessate e denigratorie, soprattutto al guadagno. </w:t>
      </w:r>
    </w:p>
    <w:p w:rsidR="001D2C7E" w:rsidRDefault="00493C63">
      <w:pPr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L’assenza </w:t>
      </w:r>
      <w:proofErr w:type="gramStart"/>
      <w:r>
        <w:rPr>
          <w:rFonts w:ascii="Times New Roman" w:eastAsia="Arial" w:hAnsi="Times New Roman" w:cs="Times New Roman"/>
        </w:rPr>
        <w:t>nei LEA</w:t>
      </w:r>
      <w:proofErr w:type="gramEnd"/>
      <w:r>
        <w:rPr>
          <w:rFonts w:ascii="Times New Roman" w:eastAsia="Arial" w:hAnsi="Times New Roman" w:cs="Times New Roman"/>
        </w:rPr>
        <w:t xml:space="preserve"> delle cure odontoiatriche o la loro sottovalutazione trova spiegazione in queste considerazione e nella difficoltà che l'Amministrazione statale tro</w:t>
      </w:r>
      <w:r>
        <w:rPr>
          <w:rFonts w:ascii="Times New Roman" w:eastAsia="Arial" w:hAnsi="Times New Roman" w:cs="Times New Roman"/>
        </w:rPr>
        <w:t>va nel sostenere gli oneri economici relativi.</w:t>
      </w:r>
    </w:p>
    <w:p w:rsidR="001D2C7E" w:rsidRDefault="001D2C7E">
      <w:pPr>
        <w:jc w:val="both"/>
        <w:rPr>
          <w:rFonts w:ascii="Times New Roman" w:eastAsia="Arial" w:hAnsi="Times New Roman" w:cs="Times New Roman"/>
        </w:rPr>
      </w:pPr>
    </w:p>
    <w:p w:rsidR="001D2C7E" w:rsidRDefault="00493C63">
      <w:pPr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Siamo convinti che questa situazione possa avviarsi a soluzione attraverso due diversi indirizzi. La prima, più complessa, è quella di </w:t>
      </w:r>
      <w:proofErr w:type="gramStart"/>
      <w:r>
        <w:rPr>
          <w:rFonts w:ascii="Times New Roman" w:eastAsia="Arial" w:hAnsi="Times New Roman" w:cs="Times New Roman"/>
        </w:rPr>
        <w:t>reperire</w:t>
      </w:r>
      <w:proofErr w:type="gramEnd"/>
      <w:r>
        <w:rPr>
          <w:rFonts w:ascii="Times New Roman" w:eastAsia="Arial" w:hAnsi="Times New Roman" w:cs="Times New Roman"/>
        </w:rPr>
        <w:t xml:space="preserve"> risorse aggiuntive considerando che la salute del cavo orale non</w:t>
      </w:r>
      <w:r>
        <w:rPr>
          <w:rFonts w:ascii="Times New Roman" w:eastAsia="Arial" w:hAnsi="Times New Roman" w:cs="Times New Roman"/>
        </w:rPr>
        <w:t xml:space="preserve"> è un elemento secondario nella salute di una persona e che trascurare le cure e la prevenzione è particolarmente pericoloso per il ritardo che si determina nell’intercettare gravissime patologie quali i tumori del cavo orale che nell’ultimo periodo hanno </w:t>
      </w:r>
      <w:r>
        <w:rPr>
          <w:rFonts w:ascii="Times New Roman" w:eastAsia="Arial" w:hAnsi="Times New Roman" w:cs="Times New Roman"/>
        </w:rPr>
        <w:t>mostrato un trend in aumento.</w:t>
      </w:r>
    </w:p>
    <w:p w:rsidR="001D2C7E" w:rsidRDefault="001D2C7E">
      <w:pPr>
        <w:jc w:val="both"/>
        <w:rPr>
          <w:rFonts w:ascii="Times New Roman" w:eastAsia="Arial" w:hAnsi="Times New Roman" w:cs="Times New Roman"/>
        </w:rPr>
      </w:pPr>
    </w:p>
    <w:p w:rsidR="001D2C7E" w:rsidRDefault="00493C63">
      <w:pPr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La via maestra però è quella dell'incentivazione della cultura </w:t>
      </w:r>
      <w:proofErr w:type="gramStart"/>
      <w:r>
        <w:rPr>
          <w:rFonts w:ascii="Times New Roman" w:eastAsia="Arial" w:hAnsi="Times New Roman" w:cs="Times New Roman"/>
        </w:rPr>
        <w:t>della</w:t>
      </w:r>
      <w:proofErr w:type="gramEnd"/>
      <w:r>
        <w:rPr>
          <w:rFonts w:ascii="Times New Roman" w:eastAsia="Arial" w:hAnsi="Times New Roman" w:cs="Times New Roman"/>
        </w:rPr>
        <w:t xml:space="preserve"> prevenzione che, anche in campo odontoiatrico, si rivela fondamentale per migliorare la salute orale della popolazione e consente di evitare interventi comp</w:t>
      </w:r>
      <w:r>
        <w:rPr>
          <w:rFonts w:ascii="Times New Roman" w:eastAsia="Arial" w:hAnsi="Times New Roman" w:cs="Times New Roman"/>
        </w:rPr>
        <w:t>lessi in patologie ormai conclamate, con ovvi benefici anche di natura economica.</w:t>
      </w:r>
    </w:p>
    <w:p w:rsidR="001D2C7E" w:rsidRDefault="001D2C7E">
      <w:pPr>
        <w:jc w:val="both"/>
        <w:rPr>
          <w:rFonts w:ascii="Times New Roman" w:eastAsia="Arial" w:hAnsi="Times New Roman" w:cs="Times New Roman"/>
        </w:rPr>
      </w:pPr>
    </w:p>
    <w:p w:rsidR="001D2C7E" w:rsidRDefault="00493C63">
      <w:pPr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Riteniamo quindi, da un lato, e lo spiegheremo nella parte tecnica di questa relazione, che sia ormai necessario una </w:t>
      </w:r>
      <w:proofErr w:type="gramStart"/>
      <w:r>
        <w:rPr>
          <w:rFonts w:ascii="Times New Roman" w:eastAsia="Arial" w:hAnsi="Times New Roman" w:cs="Times New Roman"/>
        </w:rPr>
        <w:t>revisione</w:t>
      </w:r>
      <w:proofErr w:type="gramEnd"/>
      <w:r>
        <w:rPr>
          <w:rFonts w:ascii="Times New Roman" w:eastAsia="Arial" w:hAnsi="Times New Roman" w:cs="Times New Roman"/>
        </w:rPr>
        <w:t xml:space="preserve"> profonda delle modalità di erogazione delle pr</w:t>
      </w:r>
      <w:r>
        <w:rPr>
          <w:rFonts w:ascii="Times New Roman" w:eastAsia="Arial" w:hAnsi="Times New Roman" w:cs="Times New Roman"/>
        </w:rPr>
        <w:t>estazioni sanitarie odontoiatriche previste nei LEA e dall'altro rivendichiamo la capacità della nostra professione di promuovere in modo concreto e sul campo la cultura della prevenzione.</w:t>
      </w:r>
    </w:p>
    <w:p w:rsidR="001D2C7E" w:rsidRDefault="001D2C7E">
      <w:pPr>
        <w:jc w:val="both"/>
        <w:rPr>
          <w:rFonts w:ascii="Times New Roman" w:eastAsia="Arial" w:hAnsi="Times New Roman" w:cs="Times New Roman"/>
        </w:rPr>
      </w:pPr>
    </w:p>
    <w:p w:rsidR="001D2C7E" w:rsidRDefault="00493C63">
      <w:pPr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In </w:t>
      </w:r>
      <w:proofErr w:type="gramStart"/>
      <w:r>
        <w:rPr>
          <w:rFonts w:ascii="Times New Roman" w:eastAsia="Arial" w:hAnsi="Times New Roman" w:cs="Times New Roman"/>
        </w:rPr>
        <w:t>questo</w:t>
      </w:r>
      <w:proofErr w:type="gramEnd"/>
      <w:r>
        <w:rPr>
          <w:rFonts w:ascii="Times New Roman" w:eastAsia="Arial" w:hAnsi="Times New Roman" w:cs="Times New Roman"/>
        </w:rPr>
        <w:t xml:space="preserve"> ambito, infatti, gli Odontoiatri italiani con il coordin</w:t>
      </w:r>
      <w:r>
        <w:rPr>
          <w:rFonts w:ascii="Times New Roman" w:eastAsia="Arial" w:hAnsi="Times New Roman" w:cs="Times New Roman"/>
        </w:rPr>
        <w:t xml:space="preserve">amento della Commissione Albo Odontoiatri della FNOMCeO  si sono già concretamente impegnati, come dimostrano i risultati di </w:t>
      </w:r>
      <w:r>
        <w:rPr>
          <w:rFonts w:ascii="Times New Roman" w:eastAsia="Arial" w:hAnsi="Times New Roman" w:cs="Times New Roman"/>
        </w:rPr>
        <w:lastRenderedPageBreak/>
        <w:t>cui siamo orgogliosi, in due progetti di prevenzione autofinanziati e condotti a livello nazionale su base volontaria che hanno vis</w:t>
      </w:r>
      <w:r>
        <w:rPr>
          <w:rFonts w:ascii="Times New Roman" w:eastAsia="Arial" w:hAnsi="Times New Roman" w:cs="Times New Roman"/>
        </w:rPr>
        <w:t>to l’organizzazione di una rete assistenziale e di un programma nazionale di prevenzione dei tumori del cavo orale e delle osteonecrosi delle ossa mascellari associate a farmaci.</w:t>
      </w:r>
    </w:p>
    <w:p w:rsidR="001D2C7E" w:rsidRDefault="001D2C7E">
      <w:pPr>
        <w:jc w:val="both"/>
        <w:rPr>
          <w:rFonts w:ascii="Times New Roman" w:eastAsia="Arial" w:hAnsi="Times New Roman" w:cs="Times New Roman"/>
        </w:rPr>
      </w:pPr>
    </w:p>
    <w:p w:rsidR="001D2C7E" w:rsidRDefault="00493C63">
      <w:pPr>
        <w:pStyle w:val="Nessunaspaziatura"/>
        <w:jc w:val="center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RELAZIONE TECNICA</w:t>
      </w:r>
    </w:p>
    <w:p w:rsidR="001D2C7E" w:rsidRDefault="001D2C7E">
      <w:pPr>
        <w:jc w:val="both"/>
        <w:rPr>
          <w:rFonts w:ascii="Times New Roman" w:eastAsia="Arial" w:hAnsi="Times New Roman" w:cs="Times New Roman"/>
        </w:rPr>
      </w:pPr>
    </w:p>
    <w:p w:rsidR="001D2C7E" w:rsidRDefault="00493C63">
      <w:pPr>
        <w:jc w:val="both"/>
        <w:rPr>
          <w:rFonts w:ascii="Times New Roman" w:eastAsia="Arial" w:hAnsi="Times New Roman" w:cs="Times New Roman"/>
        </w:rPr>
      </w:pPr>
      <w:proofErr w:type="gramStart"/>
      <w:r>
        <w:rPr>
          <w:rFonts w:ascii="Times New Roman" w:eastAsia="Arial" w:hAnsi="Times New Roman" w:cs="Times New Roman"/>
        </w:rPr>
        <w:t>I LEA</w:t>
      </w:r>
      <w:proofErr w:type="gramEnd"/>
      <w:r>
        <w:rPr>
          <w:rFonts w:ascii="Times New Roman" w:eastAsia="Arial" w:hAnsi="Times New Roman" w:cs="Times New Roman"/>
        </w:rPr>
        <w:t>, licenziati dalla Conferenza Stato-Regioni, definis</w:t>
      </w:r>
      <w:r>
        <w:rPr>
          <w:rFonts w:ascii="Times New Roman" w:eastAsia="Arial" w:hAnsi="Times New Roman" w:cs="Times New Roman"/>
        </w:rPr>
        <w:t xml:space="preserve">cono i criteri di erogabilità delle prestazioni odontoiatriche, utilizzando lo schema dell’appropriatezza prescrittiva inapplicato dopo un confronto con la controparte medica che ne ha a suo tempo evidenziato l’inadeguatezza. </w:t>
      </w:r>
    </w:p>
    <w:p w:rsidR="001D2C7E" w:rsidRDefault="001D2C7E">
      <w:pPr>
        <w:jc w:val="both"/>
        <w:rPr>
          <w:rFonts w:ascii="Times New Roman" w:eastAsia="Arial" w:hAnsi="Times New Roman" w:cs="Times New Roman"/>
        </w:rPr>
      </w:pPr>
    </w:p>
    <w:p w:rsidR="001D2C7E" w:rsidRDefault="00493C63">
      <w:pPr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Non si può disconoscere che</w:t>
      </w:r>
      <w:r>
        <w:rPr>
          <w:rFonts w:ascii="Times New Roman" w:hAnsi="Times New Roman" w:cs="Times New Roman"/>
        </w:rPr>
        <w:t xml:space="preserve"> le terapie comprese nel nomenclatore </w:t>
      </w:r>
      <w:proofErr w:type="gramStart"/>
      <w:r>
        <w:rPr>
          <w:rFonts w:ascii="Times New Roman" w:hAnsi="Times New Roman" w:cs="Times New Roman"/>
        </w:rPr>
        <w:t>del</w:t>
      </w:r>
      <w:proofErr w:type="gramEnd"/>
      <w:r>
        <w:rPr>
          <w:rFonts w:ascii="Times New Roman" w:hAnsi="Times New Roman" w:cs="Times New Roman"/>
        </w:rPr>
        <w:t xml:space="preserve"> SSN rappresentano tutte prestazioni atte a tutelare la salute orale e generale e si pongono l’obiettivo fondamentale della riabilitazione orale della popolazione.</w:t>
      </w:r>
    </w:p>
    <w:p w:rsidR="001D2C7E" w:rsidRDefault="001D2C7E">
      <w:pPr>
        <w:jc w:val="both"/>
        <w:rPr>
          <w:rFonts w:ascii="Times New Roman" w:hAnsi="Times New Roman" w:cs="Times New Roman"/>
        </w:rPr>
      </w:pPr>
    </w:p>
    <w:p w:rsidR="001D2C7E" w:rsidRDefault="00493C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Tuttavia, considerando la necessità di una raziona</w:t>
      </w:r>
      <w:r>
        <w:rPr>
          <w:rFonts w:ascii="Times New Roman" w:hAnsi="Times New Roman" w:cs="Times New Roman"/>
        </w:rPr>
        <w:t xml:space="preserve">lizzazione della spesa, essenziale anche per fornire la continuità del servizio, il legislatore ha inteso di limitare fortemente la platea di soggetti tutelati </w:t>
      </w:r>
      <w:proofErr w:type="gramStart"/>
      <w:r>
        <w:rPr>
          <w:rFonts w:ascii="Times New Roman" w:hAnsi="Times New Roman" w:cs="Times New Roman"/>
        </w:rPr>
        <w:t>dal</w:t>
      </w:r>
      <w:proofErr w:type="gramEnd"/>
      <w:r>
        <w:rPr>
          <w:rFonts w:ascii="Times New Roman" w:hAnsi="Times New Roman" w:cs="Times New Roman"/>
        </w:rPr>
        <w:t xml:space="preserve"> SSN e la tipologia di prestazioni erogate.</w:t>
      </w:r>
    </w:p>
    <w:p w:rsidR="001D2C7E" w:rsidRDefault="00493C63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Si </w:t>
      </w:r>
      <w:proofErr w:type="gramEnd"/>
      <w:r>
        <w:rPr>
          <w:rFonts w:ascii="Times New Roman" w:hAnsi="Times New Roman" w:cs="Times New Roman"/>
        </w:rPr>
        <w:t>interviene quindi nell’offerta di assistenza d</w:t>
      </w:r>
      <w:r>
        <w:rPr>
          <w:rFonts w:ascii="Times New Roman" w:hAnsi="Times New Roman" w:cs="Times New Roman"/>
        </w:rPr>
        <w:t>emandando al privato buona parte delle prestazioni effettuabili. In un modello ideale questo passaggio non dovrebbe comportare alcuna variazione nella spesa e nella qualità dell’assistenza complessiva.</w:t>
      </w:r>
    </w:p>
    <w:p w:rsidR="001D2C7E" w:rsidRDefault="001D2C7E">
      <w:pPr>
        <w:jc w:val="both"/>
        <w:rPr>
          <w:rFonts w:ascii="Times New Roman" w:hAnsi="Times New Roman" w:cs="Times New Roman"/>
        </w:rPr>
      </w:pPr>
    </w:p>
    <w:p w:rsidR="001D2C7E" w:rsidRDefault="00493C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Nella realtà, l’ovvio incremento dei costi sostenuti </w:t>
      </w:r>
      <w:r>
        <w:rPr>
          <w:rFonts w:ascii="Times New Roman" w:hAnsi="Times New Roman" w:cs="Times New Roman"/>
        </w:rPr>
        <w:t xml:space="preserve">dai pazienti, legati alla limitazione delle prestazioni per le fasce protette e all’eliminazione di prestazioni erogate </w:t>
      </w:r>
      <w:proofErr w:type="gramStart"/>
      <w:r>
        <w:rPr>
          <w:rFonts w:ascii="Times New Roman" w:hAnsi="Times New Roman" w:cs="Times New Roman"/>
        </w:rPr>
        <w:t>dal</w:t>
      </w:r>
      <w:proofErr w:type="gramEnd"/>
      <w:r>
        <w:rPr>
          <w:rFonts w:ascii="Times New Roman" w:hAnsi="Times New Roman" w:cs="Times New Roman"/>
        </w:rPr>
        <w:t xml:space="preserve"> SSN per le fasce non protette, non può consentire di mantenere un elevato standard di salute della popolazione. L</w:t>
      </w:r>
      <w:r>
        <w:rPr>
          <w:rFonts w:ascii="Times New Roman" w:hAnsi="Times New Roman" w:cs="Times New Roman"/>
          <w:u w:val="single"/>
        </w:rPr>
        <w:t>’incremento del num</w:t>
      </w:r>
      <w:r>
        <w:rPr>
          <w:rFonts w:ascii="Times New Roman" w:hAnsi="Times New Roman" w:cs="Times New Roman"/>
          <w:u w:val="single"/>
        </w:rPr>
        <w:t xml:space="preserve">ero e della gravità delle complicanze delle patologie non trattate, determinerà un aggravio delle spese </w:t>
      </w:r>
      <w:proofErr w:type="gramStart"/>
      <w:r>
        <w:rPr>
          <w:rFonts w:ascii="Times New Roman" w:hAnsi="Times New Roman" w:cs="Times New Roman"/>
          <w:u w:val="single"/>
        </w:rPr>
        <w:t>del</w:t>
      </w:r>
      <w:proofErr w:type="gramEnd"/>
      <w:r>
        <w:rPr>
          <w:rFonts w:ascii="Times New Roman" w:hAnsi="Times New Roman" w:cs="Times New Roman"/>
          <w:u w:val="single"/>
        </w:rPr>
        <w:t xml:space="preserve"> SSN, che dovrà gestire queste situazioni cliniche in regime di ricovero.</w:t>
      </w:r>
      <w:r>
        <w:rPr>
          <w:rFonts w:ascii="Times New Roman" w:hAnsi="Times New Roman" w:cs="Times New Roman"/>
        </w:rPr>
        <w:t xml:space="preserve"> </w:t>
      </w:r>
    </w:p>
    <w:p w:rsidR="001D2C7E" w:rsidRDefault="001D2C7E">
      <w:pPr>
        <w:jc w:val="both"/>
        <w:rPr>
          <w:rFonts w:ascii="Times New Roman" w:hAnsi="Times New Roman" w:cs="Times New Roman"/>
        </w:rPr>
      </w:pPr>
    </w:p>
    <w:p w:rsidR="001D2C7E" w:rsidRDefault="00493C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Seppure la salute dei cittadini e una corretta razionalizzazione della sp</w:t>
      </w:r>
      <w:r>
        <w:rPr>
          <w:rFonts w:ascii="Times New Roman" w:hAnsi="Times New Roman" w:cs="Times New Roman"/>
        </w:rPr>
        <w:t xml:space="preserve">esa vadano di pari passo, un depotenziamento della prevenzione secondaria (terapie tempestive prima dell’insorgenza di complicazioni) nel lungo periodo non permette di ridurre in maniera incisiva la spesa e al contempo causa una </w:t>
      </w:r>
      <w:proofErr w:type="gramStart"/>
      <w:r>
        <w:rPr>
          <w:rFonts w:ascii="Times New Roman" w:hAnsi="Times New Roman" w:cs="Times New Roman"/>
        </w:rPr>
        <w:t>drastica</w:t>
      </w:r>
      <w:proofErr w:type="gramEnd"/>
      <w:r>
        <w:rPr>
          <w:rFonts w:ascii="Times New Roman" w:hAnsi="Times New Roman" w:cs="Times New Roman"/>
        </w:rPr>
        <w:t>, quasi assoluta, r</w:t>
      </w:r>
      <w:r>
        <w:rPr>
          <w:rFonts w:ascii="Times New Roman" w:hAnsi="Times New Roman" w:cs="Times New Roman"/>
        </w:rPr>
        <w:t>iduzione del servizio al cittadino.</w:t>
      </w:r>
    </w:p>
    <w:p w:rsidR="001D2C7E" w:rsidRDefault="001D2C7E">
      <w:pPr>
        <w:jc w:val="both"/>
        <w:rPr>
          <w:rFonts w:ascii="Times New Roman" w:hAnsi="Times New Roman" w:cs="Times New Roman"/>
        </w:rPr>
      </w:pPr>
    </w:p>
    <w:p w:rsidR="001D2C7E" w:rsidRDefault="00493C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Entrando nel merito, </w:t>
      </w:r>
      <w:proofErr w:type="gramStart"/>
      <w:r>
        <w:rPr>
          <w:rFonts w:ascii="Times New Roman" w:hAnsi="Times New Roman" w:cs="Times New Roman"/>
        </w:rPr>
        <w:t xml:space="preserve">si </w:t>
      </w:r>
      <w:proofErr w:type="gramEnd"/>
      <w:r>
        <w:rPr>
          <w:rFonts w:ascii="Times New Roman" w:hAnsi="Times New Roman" w:cs="Times New Roman"/>
        </w:rPr>
        <w:t>individuano, nell’ambito dei soggetti con vulnerabilità sanitaria (che sono un’esigua minoranza rispetto all’attuale platea che beneficia di assistenza), solo alcune patologie mentre non sono inc</w:t>
      </w:r>
      <w:r>
        <w:rPr>
          <w:rFonts w:ascii="Times New Roman" w:hAnsi="Times New Roman" w:cs="Times New Roman"/>
        </w:rPr>
        <w:t>lusi pazienti affetti da patologie inserite nello stesso schema di Decreto (Allegato 8) come malattie croniche e invalidanti</w:t>
      </w:r>
    </w:p>
    <w:p w:rsidR="001D2C7E" w:rsidRDefault="001D2C7E">
      <w:pPr>
        <w:jc w:val="both"/>
        <w:rPr>
          <w:rFonts w:ascii="Times New Roman" w:hAnsi="Times New Roman" w:cs="Times New Roman"/>
        </w:rPr>
      </w:pPr>
    </w:p>
    <w:p w:rsidR="001D2C7E" w:rsidRDefault="00493C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titolo esplicativo indichiamo il diabete mellito, la patologia cardiovascolare, la </w:t>
      </w:r>
      <w:proofErr w:type="gramStart"/>
      <w:r>
        <w:rPr>
          <w:rFonts w:ascii="Times New Roman" w:hAnsi="Times New Roman" w:cs="Times New Roman"/>
        </w:rPr>
        <w:t>patologia</w:t>
      </w:r>
      <w:proofErr w:type="gramEnd"/>
      <w:r>
        <w:rPr>
          <w:rFonts w:ascii="Times New Roman" w:hAnsi="Times New Roman" w:cs="Times New Roman"/>
        </w:rPr>
        <w:t xml:space="preserve"> cerebrovascolare, le patologie infi</w:t>
      </w:r>
      <w:r>
        <w:rPr>
          <w:rFonts w:ascii="Times New Roman" w:hAnsi="Times New Roman" w:cs="Times New Roman"/>
        </w:rPr>
        <w:t xml:space="preserve">ammatorie croniche, le immunodeficienze. Resta inoltre esclusa l’assistenza odontoiatrica durante la gravidanza. </w:t>
      </w:r>
      <w:proofErr w:type="gramStart"/>
      <w:r>
        <w:rPr>
          <w:rFonts w:ascii="Times New Roman" w:hAnsi="Times New Roman" w:cs="Times New Roman"/>
        </w:rPr>
        <w:t>Problematiche peraltro evidenziate anche nel parere del CSS.</w:t>
      </w:r>
      <w:proofErr w:type="gramEnd"/>
    </w:p>
    <w:p w:rsidR="001D2C7E" w:rsidRDefault="001D2C7E">
      <w:pPr>
        <w:jc w:val="both"/>
        <w:rPr>
          <w:rFonts w:ascii="Times New Roman" w:hAnsi="Times New Roman" w:cs="Times New Roman"/>
        </w:rPr>
      </w:pPr>
    </w:p>
    <w:p w:rsidR="001D2C7E" w:rsidRDefault="00493C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letteratura scientifica è ampiamente dimostrato come la presenza di patologie </w:t>
      </w:r>
      <w:r>
        <w:rPr>
          <w:rFonts w:ascii="Times New Roman" w:hAnsi="Times New Roman" w:cs="Times New Roman"/>
        </w:rPr>
        <w:t xml:space="preserve">odontoiatriche peggiori </w:t>
      </w:r>
      <w:proofErr w:type="gramStart"/>
      <w:r>
        <w:rPr>
          <w:rFonts w:ascii="Times New Roman" w:hAnsi="Times New Roman" w:cs="Times New Roman"/>
        </w:rPr>
        <w:t>l’</w:t>
      </w:r>
      <w:proofErr w:type="gramEnd"/>
      <w:r>
        <w:rPr>
          <w:rFonts w:ascii="Times New Roman" w:hAnsi="Times New Roman" w:cs="Times New Roman"/>
        </w:rPr>
        <w:t xml:space="preserve">outcome e la prognosi quo ad vitam di questi tipi di pazienti. È poi facile ipotizzare che l’assistenza di questi pazienti, laddove </w:t>
      </w:r>
      <w:proofErr w:type="gramStart"/>
      <w:r>
        <w:rPr>
          <w:rFonts w:ascii="Times New Roman" w:hAnsi="Times New Roman" w:cs="Times New Roman"/>
        </w:rPr>
        <w:t>necessitino di</w:t>
      </w:r>
      <w:proofErr w:type="gramEnd"/>
      <w:r>
        <w:rPr>
          <w:rFonts w:ascii="Times New Roman" w:hAnsi="Times New Roman" w:cs="Times New Roman"/>
        </w:rPr>
        <w:t xml:space="preserve"> terapie in ambiente protetto, si sposterà necessariamente nell’ambito dei DH e DS c</w:t>
      </w:r>
      <w:r>
        <w:rPr>
          <w:rFonts w:ascii="Times New Roman" w:hAnsi="Times New Roman" w:cs="Times New Roman"/>
        </w:rPr>
        <w:t>on ovvi aggravi economici per il sistema.</w:t>
      </w:r>
    </w:p>
    <w:p w:rsidR="001D2C7E" w:rsidRDefault="001D2C7E">
      <w:pPr>
        <w:rPr>
          <w:rFonts w:ascii="Times New Roman" w:hAnsi="Times New Roman" w:cs="Times New Roman"/>
        </w:rPr>
      </w:pPr>
    </w:p>
    <w:p w:rsidR="001D2C7E" w:rsidRDefault="00493C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Inoltre la discrezionalità introdotta nella definizione di vulnerabilità sociale e sanitaria, potrà determinare notevoli differenze nelle varie articolazioni regionali </w:t>
      </w:r>
      <w:proofErr w:type="gramStart"/>
      <w:r>
        <w:rPr>
          <w:rFonts w:ascii="Times New Roman" w:hAnsi="Times New Roman" w:cs="Times New Roman"/>
        </w:rPr>
        <w:t>del</w:t>
      </w:r>
      <w:proofErr w:type="gramEnd"/>
      <w:r>
        <w:rPr>
          <w:rFonts w:ascii="Times New Roman" w:hAnsi="Times New Roman" w:cs="Times New Roman"/>
        </w:rPr>
        <w:t xml:space="preserve"> SSN.</w:t>
      </w:r>
    </w:p>
    <w:p w:rsidR="001D2C7E" w:rsidRDefault="00493C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Tutelare la salute odontoiatrica nei</w:t>
      </w:r>
      <w:r>
        <w:rPr>
          <w:rFonts w:ascii="Times New Roman" w:hAnsi="Times New Roman" w:cs="Times New Roman"/>
        </w:rPr>
        <w:t xml:space="preserve"> bambini è un obiettivo serio e le premesse in </w:t>
      </w:r>
      <w:proofErr w:type="gramStart"/>
      <w:r>
        <w:rPr>
          <w:rFonts w:ascii="Times New Roman" w:hAnsi="Times New Roman" w:cs="Times New Roman"/>
        </w:rPr>
        <w:t>decreto</w:t>
      </w:r>
      <w:proofErr w:type="gramEnd"/>
      <w:r>
        <w:rPr>
          <w:rFonts w:ascii="Times New Roman" w:hAnsi="Times New Roman" w:cs="Times New Roman"/>
        </w:rPr>
        <w:t xml:space="preserve"> individuano l’obiettivo, per la classe di età 0-14, di trattare la patologia cariosa.</w:t>
      </w:r>
    </w:p>
    <w:p w:rsidR="001D2C7E" w:rsidRDefault="001D2C7E">
      <w:pPr>
        <w:rPr>
          <w:rFonts w:ascii="Times New Roman" w:hAnsi="Times New Roman" w:cs="Times New Roman"/>
        </w:rPr>
      </w:pPr>
    </w:p>
    <w:p w:rsidR="001D2C7E" w:rsidRDefault="00493C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Appare quindi singolare che, dall’analisi dell’All. </w:t>
      </w:r>
      <w:proofErr w:type="gramStart"/>
      <w:r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 xml:space="preserve"> che individua prestazioni e modalità di erogazione, venga pr</w:t>
      </w:r>
      <w:r>
        <w:rPr>
          <w:rFonts w:ascii="Times New Roman" w:hAnsi="Times New Roman" w:cs="Times New Roman"/>
        </w:rPr>
        <w:t>evista la cura della carie solo in caso di evento traumatico. Inoltre per i bambini non sono previste le terapie dei denti definitivi come il primo molare (presente in arcata dai sei anni) e, se non parzialmente, le terapie della polpa (endodontiche) compl</w:t>
      </w:r>
      <w:r>
        <w:rPr>
          <w:rFonts w:ascii="Times New Roman" w:hAnsi="Times New Roman" w:cs="Times New Roman"/>
        </w:rPr>
        <w:t>icanza della carie.</w:t>
      </w:r>
    </w:p>
    <w:p w:rsidR="001D2C7E" w:rsidRDefault="001D2C7E">
      <w:pPr>
        <w:rPr>
          <w:rFonts w:ascii="Times New Roman" w:hAnsi="Times New Roman" w:cs="Times New Roman"/>
        </w:rPr>
      </w:pPr>
    </w:p>
    <w:p w:rsidR="001D2C7E" w:rsidRDefault="00493C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L’utilizzo dell’indice IOTN, (individuato in maniera differente nello stesso decreto) consente infine, per le prestazioni di tipo ortodontico probabilmente una discrezionalità notevole, considerando anche che la terapia finale di conte</w:t>
      </w:r>
      <w:r>
        <w:rPr>
          <w:rFonts w:ascii="Times New Roman" w:hAnsi="Times New Roman" w:cs="Times New Roman"/>
        </w:rPr>
        <w:t xml:space="preserve">nzione di ogni trattamento ortodontico non è compresa nelle prestazioni offerte </w:t>
      </w:r>
      <w:proofErr w:type="gramStart"/>
      <w:r>
        <w:rPr>
          <w:rFonts w:ascii="Times New Roman" w:hAnsi="Times New Roman" w:cs="Times New Roman"/>
        </w:rPr>
        <w:t>dal</w:t>
      </w:r>
      <w:proofErr w:type="gramEnd"/>
      <w:r>
        <w:rPr>
          <w:rFonts w:ascii="Times New Roman" w:hAnsi="Times New Roman" w:cs="Times New Roman"/>
        </w:rPr>
        <w:t xml:space="preserve"> SSN ai bambini. Inoltre non si comprende perché per le prestazioni ortodontiche le premesse (erogabilità per i gradi </w:t>
      </w:r>
      <w:proofErr w:type="gramStart"/>
      <w:r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>, 5) vengano poi nello stesso paragrafo ristrette alla</w:t>
      </w:r>
      <w:r>
        <w:rPr>
          <w:rFonts w:ascii="Times New Roman" w:hAnsi="Times New Roman" w:cs="Times New Roman"/>
        </w:rPr>
        <w:t xml:space="preserve"> sola classe 5. </w:t>
      </w:r>
    </w:p>
    <w:p w:rsidR="001D2C7E" w:rsidRDefault="001D2C7E">
      <w:pPr>
        <w:jc w:val="both"/>
        <w:rPr>
          <w:rFonts w:ascii="Times New Roman" w:hAnsi="Times New Roman" w:cs="Times New Roman"/>
        </w:rPr>
      </w:pPr>
    </w:p>
    <w:p w:rsidR="001D2C7E" w:rsidRDefault="00493C63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Singolare infine distinguere, per lo stesso tipo di trattamento (cure endodontica), differenti note in rapporto al numero delle radici, all’</w:t>
      </w:r>
      <w:proofErr w:type="gramEnd"/>
      <w:r>
        <w:rPr>
          <w:rFonts w:ascii="Times New Roman" w:hAnsi="Times New Roman" w:cs="Times New Roman"/>
        </w:rPr>
        <w:t>età e alla causa. Un paziente in disagio sociale non può eseguire gratuitamente la terapia endodon</w:t>
      </w:r>
      <w:r>
        <w:rPr>
          <w:rFonts w:ascii="Times New Roman" w:hAnsi="Times New Roman" w:cs="Times New Roman"/>
        </w:rPr>
        <w:t xml:space="preserve">tica dei molari o del primo premolare superiore ma può eseguire quella del secondo premolare superiore o dei </w:t>
      </w:r>
      <w:proofErr w:type="gramStart"/>
      <w:r>
        <w:rPr>
          <w:rFonts w:ascii="Times New Roman" w:hAnsi="Times New Roman" w:cs="Times New Roman"/>
        </w:rPr>
        <w:t>premolari</w:t>
      </w:r>
      <w:proofErr w:type="gramEnd"/>
      <w:r>
        <w:rPr>
          <w:rFonts w:ascii="Times New Roman" w:hAnsi="Times New Roman" w:cs="Times New Roman"/>
        </w:rPr>
        <w:t xml:space="preserve"> inferiori.</w:t>
      </w:r>
    </w:p>
    <w:p w:rsidR="001D2C7E" w:rsidRDefault="001D2C7E">
      <w:pPr>
        <w:jc w:val="both"/>
        <w:rPr>
          <w:rFonts w:ascii="Times New Roman" w:hAnsi="Times New Roman" w:cs="Times New Roman"/>
        </w:rPr>
      </w:pPr>
    </w:p>
    <w:p w:rsidR="001D2C7E" w:rsidRDefault="00493C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fatto si esclude la popolazione generale dall’assistenza odontoiatrica. </w:t>
      </w:r>
      <w:proofErr w:type="gramStart"/>
      <w:r>
        <w:rPr>
          <w:rFonts w:ascii="Times New Roman" w:hAnsi="Times New Roman" w:cs="Times New Roman"/>
        </w:rPr>
        <w:t>Ad</w:t>
      </w:r>
      <w:proofErr w:type="gramEnd"/>
      <w:r>
        <w:rPr>
          <w:rFonts w:ascii="Times New Roman" w:hAnsi="Times New Roman" w:cs="Times New Roman"/>
        </w:rPr>
        <w:t xml:space="preserve"> oggi la popolazione generale, che non rientra i</w:t>
      </w:r>
      <w:r>
        <w:rPr>
          <w:rFonts w:ascii="Times New Roman" w:hAnsi="Times New Roman" w:cs="Times New Roman"/>
        </w:rPr>
        <w:t xml:space="preserve">n alcuna categoria di protezione, gode di un’assistenza odontoiatrica in compartecipazione con il SSN, tramite il pagamento di un ticket e di un contributo sulla ricetta. </w:t>
      </w:r>
    </w:p>
    <w:p w:rsidR="001D2C7E" w:rsidRDefault="00493C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Questa fascia di popolazione perderebbe tale assistenza e si vedrebbe riconosciuta s</w:t>
      </w:r>
      <w:r>
        <w:rPr>
          <w:rFonts w:ascii="Times New Roman" w:hAnsi="Times New Roman" w:cs="Times New Roman"/>
        </w:rPr>
        <w:t>olo la visita odontoiatrica e il trattamento immediato delle urgenze odontostomatologiche. Resta comunque, laddove fosse accettata l’idea di escludere la popolazione definita “generica” dall’assistenza odontoiatrica, il fatto che queste terapie non possono</w:t>
      </w:r>
      <w:r>
        <w:rPr>
          <w:rFonts w:ascii="Times New Roman" w:hAnsi="Times New Roman" w:cs="Times New Roman"/>
        </w:rPr>
        <w:t xml:space="preserve"> essere parziali o semplificazioni, non essendo certamente etico e deontologico intraprendere e non completare una terapia.</w:t>
      </w:r>
    </w:p>
    <w:p w:rsidR="001D2C7E" w:rsidRDefault="001D2C7E">
      <w:pPr>
        <w:jc w:val="both"/>
        <w:rPr>
          <w:rFonts w:ascii="Times New Roman" w:hAnsi="Times New Roman" w:cs="Times New Roman"/>
        </w:rPr>
      </w:pPr>
    </w:p>
    <w:p w:rsidR="001D2C7E" w:rsidRDefault="00493C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Infine non è stato previsto in quale regime o </w:t>
      </w:r>
      <w:proofErr w:type="gramStart"/>
      <w:r>
        <w:rPr>
          <w:rFonts w:ascii="Times New Roman" w:hAnsi="Times New Roman" w:cs="Times New Roman"/>
        </w:rPr>
        <w:t>modalità</w:t>
      </w:r>
      <w:proofErr w:type="gramEnd"/>
      <w:r>
        <w:rPr>
          <w:rFonts w:ascii="Times New Roman" w:hAnsi="Times New Roman" w:cs="Times New Roman"/>
        </w:rPr>
        <w:t xml:space="preserve"> le prestazioni non più prescrivibili possano essere erogate dal SSN e come i</w:t>
      </w:r>
      <w:r>
        <w:rPr>
          <w:rFonts w:ascii="Times New Roman" w:hAnsi="Times New Roman" w:cs="Times New Roman"/>
        </w:rPr>
        <w:t>l personale in carico al SSN, che può effettuare solo prestazioni odontoiatriche per il tipo di laurea, e le strutture esistenti debbano essere utilizzati alla contrazione dell’offerta conseguente all’introduzione dei LEA.</w:t>
      </w:r>
    </w:p>
    <w:p w:rsidR="001D2C7E" w:rsidRDefault="001D2C7E">
      <w:pPr>
        <w:jc w:val="both"/>
        <w:rPr>
          <w:rFonts w:ascii="Times New Roman" w:hAnsi="Times New Roman" w:cs="Times New Roman"/>
        </w:rPr>
      </w:pPr>
    </w:p>
    <w:p w:rsidR="001D2C7E" w:rsidRDefault="00493C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Qualora si volesse mantenere </w:t>
      </w:r>
      <w:r>
        <w:rPr>
          <w:rFonts w:ascii="Times New Roman" w:hAnsi="Times New Roman" w:cs="Times New Roman"/>
        </w:rPr>
        <w:t xml:space="preserve">elevata la qualità di salute e di servizi del paziente, riducendo la spesa attuale e la spesa futura, appare opportuna la costituzione di un gruppo che rivaluti il numero delle prestazioni presenti nel nomenclatore conservando </w:t>
      </w:r>
      <w:proofErr w:type="gramStart"/>
      <w:r>
        <w:rPr>
          <w:rFonts w:ascii="Times New Roman" w:hAnsi="Times New Roman" w:cs="Times New Roman"/>
        </w:rPr>
        <w:t>quelle essenziali</w:t>
      </w:r>
      <w:proofErr w:type="gramEnd"/>
      <w:r>
        <w:rPr>
          <w:rFonts w:ascii="Times New Roman" w:hAnsi="Times New Roman" w:cs="Times New Roman"/>
        </w:rPr>
        <w:t xml:space="preserve"> e includend</w:t>
      </w:r>
      <w:r>
        <w:rPr>
          <w:rFonts w:ascii="Times New Roman" w:hAnsi="Times New Roman" w:cs="Times New Roman"/>
        </w:rPr>
        <w:t xml:space="preserve">o solo le riabilitazioni protesiche di base. La riconsiderazione degli aspetti economici poi potrebbe rendere infine l’erogazione di </w:t>
      </w:r>
      <w:proofErr w:type="gramStart"/>
      <w:r>
        <w:rPr>
          <w:rFonts w:ascii="Times New Roman" w:hAnsi="Times New Roman" w:cs="Times New Roman"/>
        </w:rPr>
        <w:t>queste prestazioni effettivamente sostenibile</w:t>
      </w:r>
      <w:proofErr w:type="gramEnd"/>
      <w:r>
        <w:rPr>
          <w:rFonts w:ascii="Times New Roman" w:hAnsi="Times New Roman" w:cs="Times New Roman"/>
        </w:rPr>
        <w:t xml:space="preserve"> da parte delle strutture del sistema SSN, con un rilancio della missione del </w:t>
      </w:r>
      <w:r>
        <w:rPr>
          <w:rFonts w:ascii="Times New Roman" w:hAnsi="Times New Roman" w:cs="Times New Roman"/>
        </w:rPr>
        <w:t>SSN di tutela della salute dei cittadini.</w:t>
      </w:r>
    </w:p>
    <w:p w:rsidR="001D2C7E" w:rsidRDefault="001D2C7E">
      <w:pPr>
        <w:jc w:val="both"/>
        <w:rPr>
          <w:rFonts w:ascii="Arial" w:eastAsia="Arial" w:hAnsi="Arial" w:cs="Arial"/>
        </w:rPr>
      </w:pPr>
    </w:p>
    <w:p w:rsidR="001D2C7E" w:rsidRDefault="001D2C7E"/>
    <w:sectPr w:rsidR="001D2C7E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7E"/>
    <w:rsid w:val="001D2C7E"/>
    <w:rsid w:val="0049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rFonts w:ascii="Calibri" w:eastAsia="SimSun" w:hAnsi="Calibri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essunaspaziatura">
    <w:name w:val="No Spacing"/>
    <w:pPr>
      <w:suppressAutoHyphens/>
    </w:pPr>
    <w:rPr>
      <w:rFonts w:ascii="Calibri" w:eastAsia="SimSun" w:hAnsi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3C6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93C63"/>
    <w:rPr>
      <w:rFonts w:ascii="Lucida Grande" w:eastAsia="SimSun" w:hAnsi="Lucida Grande" w:cs="Lucida Grande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rFonts w:ascii="Calibri" w:eastAsia="SimSun" w:hAnsi="Calibri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essunaspaziatura">
    <w:name w:val="No Spacing"/>
    <w:pPr>
      <w:suppressAutoHyphens/>
    </w:pPr>
    <w:rPr>
      <w:rFonts w:ascii="Calibri" w:eastAsia="SimSun" w:hAnsi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3C6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93C63"/>
    <w:rPr>
      <w:rFonts w:ascii="Lucida Grande" w:eastAsia="SimSun" w:hAnsi="Lucida Grande" w:cs="Lucida Grande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1532</Words>
  <Characters>8738</Characters>
  <Application>Microsoft Macintosh Word</Application>
  <DocSecurity>0</DocSecurity>
  <Lines>72</Lines>
  <Paragraphs>20</Paragraphs>
  <ScaleCrop>false</ScaleCrop>
  <Company/>
  <LinksUpToDate>false</LinksUpToDate>
  <CharactersWithSpaces>10250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Virna Lisai</dc:creator>
  <cp:lastModifiedBy>rosa</cp:lastModifiedBy>
  <cp:revision>2</cp:revision>
  <cp:lastPrinted>2016-12-06T07:01:00Z</cp:lastPrinted>
  <dcterms:created xsi:type="dcterms:W3CDTF">2016-12-06T18:27:00Z</dcterms:created>
  <dcterms:modified xsi:type="dcterms:W3CDTF">2016-12-06T18:27:00Z</dcterms:modified>
</cp:coreProperties>
</file>