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A5" w:rsidRDefault="009629A5">
      <w:r>
        <w:t xml:space="preserve">Allegato n. </w:t>
      </w:r>
      <w:r w:rsidR="00742342">
        <w:t>2</w:t>
      </w:r>
    </w:p>
    <w:p w:rsidR="009629A5" w:rsidRPr="009629A5" w:rsidRDefault="00742342" w:rsidP="009629A5">
      <w:pPr>
        <w:spacing w:after="0" w:line="240" w:lineRule="auto"/>
        <w:jc w:val="center"/>
        <w:rPr>
          <w:b/>
          <w:sz w:val="28"/>
          <w:szCs w:val="28"/>
        </w:rPr>
      </w:pPr>
      <w:r>
        <w:rPr>
          <w:b/>
          <w:sz w:val="28"/>
          <w:szCs w:val="28"/>
        </w:rPr>
        <w:t>ASSICURAZIONE CONTRO GLI</w:t>
      </w:r>
      <w:r w:rsidR="009629A5" w:rsidRPr="009629A5">
        <w:rPr>
          <w:b/>
          <w:sz w:val="28"/>
          <w:szCs w:val="28"/>
        </w:rPr>
        <w:t xml:space="preserve"> INFORTUNI </w:t>
      </w:r>
    </w:p>
    <w:p w:rsidR="009629A5" w:rsidRDefault="00742342" w:rsidP="009629A5">
      <w:pPr>
        <w:jc w:val="center"/>
        <w:rPr>
          <w:b/>
          <w:sz w:val="28"/>
          <w:szCs w:val="28"/>
        </w:rPr>
      </w:pPr>
      <w:r>
        <w:rPr>
          <w:b/>
          <w:sz w:val="28"/>
          <w:szCs w:val="28"/>
        </w:rPr>
        <w:t>Comitato Centrale</w:t>
      </w:r>
    </w:p>
    <w:p w:rsidR="009629A5" w:rsidRDefault="009629A5" w:rsidP="009629A5">
      <w:pPr>
        <w:jc w:val="both"/>
        <w:rPr>
          <w:b/>
          <w:sz w:val="28"/>
          <w:szCs w:val="28"/>
        </w:rPr>
      </w:pPr>
    </w:p>
    <w:p w:rsidR="009629A5" w:rsidRDefault="00281559" w:rsidP="006A278F">
      <w:pPr>
        <w:jc w:val="center"/>
        <w:rPr>
          <w:b/>
          <w:sz w:val="28"/>
          <w:szCs w:val="28"/>
        </w:rPr>
      </w:pPr>
      <w:r>
        <w:rPr>
          <w:b/>
          <w:sz w:val="28"/>
          <w:szCs w:val="28"/>
        </w:rPr>
        <w:t>CONDIZIONI PARTICOLARI</w:t>
      </w:r>
    </w:p>
    <w:p w:rsidR="00281559" w:rsidRDefault="00281559" w:rsidP="00281559">
      <w:pPr>
        <w:pStyle w:val="Paragrafoelenco"/>
        <w:numPr>
          <w:ilvl w:val="0"/>
          <w:numId w:val="1"/>
        </w:numPr>
        <w:spacing w:after="0" w:line="240" w:lineRule="auto"/>
        <w:jc w:val="both"/>
        <w:rPr>
          <w:sz w:val="28"/>
          <w:szCs w:val="28"/>
        </w:rPr>
      </w:pPr>
      <w:r>
        <w:rPr>
          <w:sz w:val="28"/>
          <w:szCs w:val="28"/>
        </w:rPr>
        <w:t xml:space="preserve">L’assicurazione prestata con la presente polizza deve intendersi operante per i componenti gli Organi istituzionali </w:t>
      </w:r>
      <w:r w:rsidR="006A278F">
        <w:rPr>
          <w:sz w:val="28"/>
          <w:szCs w:val="28"/>
        </w:rPr>
        <w:t>della contraente:</w:t>
      </w:r>
    </w:p>
    <w:p w:rsidR="00281559" w:rsidRPr="006A278F" w:rsidRDefault="00281559" w:rsidP="006A278F">
      <w:pPr>
        <w:pStyle w:val="Paragrafoelenco"/>
        <w:numPr>
          <w:ilvl w:val="0"/>
          <w:numId w:val="2"/>
        </w:numPr>
        <w:spacing w:after="0" w:line="240" w:lineRule="auto"/>
        <w:jc w:val="both"/>
        <w:rPr>
          <w:sz w:val="28"/>
          <w:szCs w:val="28"/>
        </w:rPr>
      </w:pPr>
      <w:r w:rsidRPr="006A278F">
        <w:rPr>
          <w:sz w:val="28"/>
          <w:szCs w:val="28"/>
        </w:rPr>
        <w:t>Presidente</w:t>
      </w:r>
    </w:p>
    <w:p w:rsidR="00281559" w:rsidRDefault="00281559" w:rsidP="006A278F">
      <w:pPr>
        <w:spacing w:after="0" w:line="240" w:lineRule="auto"/>
        <w:ind w:left="851" w:firstLine="425"/>
        <w:jc w:val="both"/>
        <w:rPr>
          <w:sz w:val="28"/>
          <w:szCs w:val="28"/>
        </w:rPr>
      </w:pPr>
      <w:r>
        <w:rPr>
          <w:sz w:val="28"/>
          <w:szCs w:val="28"/>
        </w:rPr>
        <w:t>Vice Presidente</w:t>
      </w:r>
    </w:p>
    <w:p w:rsidR="00281559" w:rsidRDefault="00281559" w:rsidP="006A278F">
      <w:pPr>
        <w:spacing w:after="0" w:line="240" w:lineRule="auto"/>
        <w:ind w:left="851" w:firstLine="425"/>
        <w:jc w:val="both"/>
        <w:rPr>
          <w:sz w:val="28"/>
          <w:szCs w:val="28"/>
        </w:rPr>
      </w:pPr>
      <w:r>
        <w:rPr>
          <w:sz w:val="28"/>
          <w:szCs w:val="28"/>
        </w:rPr>
        <w:t>Segretario</w:t>
      </w:r>
    </w:p>
    <w:p w:rsidR="00281559" w:rsidRDefault="00281559" w:rsidP="006A278F">
      <w:pPr>
        <w:spacing w:after="0" w:line="240" w:lineRule="auto"/>
        <w:ind w:left="851" w:firstLine="425"/>
        <w:jc w:val="both"/>
        <w:rPr>
          <w:sz w:val="28"/>
          <w:szCs w:val="28"/>
        </w:rPr>
      </w:pPr>
      <w:r>
        <w:rPr>
          <w:sz w:val="28"/>
          <w:szCs w:val="28"/>
        </w:rPr>
        <w:t>Tesoriere</w:t>
      </w:r>
    </w:p>
    <w:p w:rsidR="00281559" w:rsidRDefault="006A278F" w:rsidP="006A278F">
      <w:pPr>
        <w:pStyle w:val="Paragrafoelenco"/>
        <w:numPr>
          <w:ilvl w:val="0"/>
          <w:numId w:val="2"/>
        </w:numPr>
        <w:spacing w:after="120" w:line="240" w:lineRule="auto"/>
        <w:jc w:val="both"/>
        <w:rPr>
          <w:sz w:val="28"/>
          <w:szCs w:val="28"/>
        </w:rPr>
      </w:pPr>
      <w:r>
        <w:rPr>
          <w:sz w:val="28"/>
          <w:szCs w:val="28"/>
        </w:rPr>
        <w:t>N. 18 membri del Comitato Centrale  (*)</w:t>
      </w:r>
    </w:p>
    <w:p w:rsidR="006A278F" w:rsidRDefault="006A278F" w:rsidP="006A278F">
      <w:pPr>
        <w:pStyle w:val="Paragrafoelenco"/>
        <w:numPr>
          <w:ilvl w:val="0"/>
          <w:numId w:val="2"/>
        </w:numPr>
        <w:spacing w:after="120" w:line="240" w:lineRule="auto"/>
        <w:jc w:val="both"/>
        <w:rPr>
          <w:sz w:val="28"/>
          <w:szCs w:val="28"/>
        </w:rPr>
      </w:pPr>
      <w:r>
        <w:rPr>
          <w:sz w:val="28"/>
          <w:szCs w:val="28"/>
        </w:rPr>
        <w:t>N. 6 componenti la delegazione per l’estero</w:t>
      </w:r>
    </w:p>
    <w:p w:rsidR="00864819" w:rsidRDefault="00864819" w:rsidP="00864819">
      <w:pPr>
        <w:pStyle w:val="Paragrafoelenco"/>
        <w:spacing w:after="120" w:line="240" w:lineRule="auto"/>
        <w:ind w:left="1211"/>
        <w:jc w:val="both"/>
        <w:rPr>
          <w:sz w:val="28"/>
          <w:szCs w:val="28"/>
        </w:rPr>
      </w:pPr>
    </w:p>
    <w:p w:rsidR="006A278F" w:rsidRPr="006A278F" w:rsidRDefault="006A278F" w:rsidP="006A278F">
      <w:pPr>
        <w:pStyle w:val="Paragrafoelenco"/>
        <w:numPr>
          <w:ilvl w:val="0"/>
          <w:numId w:val="1"/>
        </w:numPr>
        <w:spacing w:after="120" w:line="240" w:lineRule="auto"/>
        <w:jc w:val="both"/>
        <w:rPr>
          <w:sz w:val="28"/>
          <w:szCs w:val="28"/>
        </w:rPr>
      </w:pPr>
      <w:r>
        <w:rPr>
          <w:sz w:val="28"/>
          <w:szCs w:val="28"/>
        </w:rPr>
        <w:t>Ciascuna delle persone sopra indicate si intende garantita per le seguenti somme:</w:t>
      </w:r>
    </w:p>
    <w:p w:rsidR="002938BF" w:rsidRDefault="002938BF" w:rsidP="006A278F">
      <w:pPr>
        <w:pStyle w:val="Paragrafoelenco"/>
        <w:spacing w:after="0" w:line="240" w:lineRule="auto"/>
        <w:jc w:val="both"/>
        <w:rPr>
          <w:sz w:val="28"/>
          <w:szCs w:val="28"/>
        </w:rPr>
      </w:pPr>
    </w:p>
    <w:p w:rsidR="002938BF" w:rsidRDefault="002938BF" w:rsidP="002938BF">
      <w:pPr>
        <w:spacing w:after="0" w:line="240" w:lineRule="auto"/>
        <w:ind w:left="709"/>
        <w:jc w:val="both"/>
        <w:rPr>
          <w:sz w:val="28"/>
          <w:szCs w:val="28"/>
        </w:rPr>
      </w:pPr>
      <w:r>
        <w:rPr>
          <w:sz w:val="28"/>
          <w:szCs w:val="28"/>
        </w:rPr>
        <w:t xml:space="preserve">€ </w:t>
      </w:r>
      <w:r w:rsidR="006A278F">
        <w:rPr>
          <w:sz w:val="28"/>
          <w:szCs w:val="28"/>
        </w:rPr>
        <w:t>5</w:t>
      </w:r>
      <w:r>
        <w:rPr>
          <w:sz w:val="28"/>
          <w:szCs w:val="28"/>
        </w:rPr>
        <w:t>00.000,00 per il caso di morte</w:t>
      </w:r>
    </w:p>
    <w:p w:rsidR="002938BF" w:rsidRDefault="002938BF" w:rsidP="002938BF">
      <w:pPr>
        <w:spacing w:after="0" w:line="240" w:lineRule="auto"/>
        <w:ind w:left="709"/>
        <w:jc w:val="both"/>
        <w:rPr>
          <w:sz w:val="28"/>
          <w:szCs w:val="28"/>
        </w:rPr>
      </w:pPr>
      <w:r>
        <w:rPr>
          <w:sz w:val="28"/>
          <w:szCs w:val="28"/>
        </w:rPr>
        <w:t xml:space="preserve">€ </w:t>
      </w:r>
      <w:r w:rsidR="006A278F">
        <w:rPr>
          <w:sz w:val="28"/>
          <w:szCs w:val="28"/>
        </w:rPr>
        <w:t>5</w:t>
      </w:r>
      <w:r>
        <w:rPr>
          <w:sz w:val="28"/>
          <w:szCs w:val="28"/>
        </w:rPr>
        <w:t>00.000,00 per il caso di invalidità permanente</w:t>
      </w:r>
      <w:r w:rsidR="006A278F">
        <w:rPr>
          <w:sz w:val="28"/>
          <w:szCs w:val="28"/>
        </w:rPr>
        <w:t xml:space="preserve"> totale</w:t>
      </w:r>
    </w:p>
    <w:p w:rsidR="006A278F" w:rsidRDefault="006F2426" w:rsidP="002938BF">
      <w:pPr>
        <w:spacing w:after="0" w:line="240" w:lineRule="auto"/>
        <w:ind w:left="709"/>
        <w:jc w:val="both"/>
        <w:rPr>
          <w:sz w:val="28"/>
          <w:szCs w:val="28"/>
        </w:rPr>
      </w:pPr>
      <w:r>
        <w:rPr>
          <w:sz w:val="28"/>
          <w:szCs w:val="28"/>
        </w:rPr>
        <w:t xml:space="preserve">€            </w:t>
      </w:r>
      <w:r w:rsidR="006A278F">
        <w:rPr>
          <w:sz w:val="28"/>
          <w:szCs w:val="28"/>
        </w:rPr>
        <w:t>50,00 al giorno in caso di inabilità temporanea</w:t>
      </w:r>
    </w:p>
    <w:p w:rsidR="006A278F" w:rsidRDefault="006F2426" w:rsidP="002938BF">
      <w:pPr>
        <w:spacing w:after="0" w:line="240" w:lineRule="auto"/>
        <w:ind w:left="709"/>
        <w:jc w:val="both"/>
        <w:rPr>
          <w:sz w:val="28"/>
          <w:szCs w:val="28"/>
        </w:rPr>
      </w:pPr>
      <w:r>
        <w:rPr>
          <w:sz w:val="28"/>
          <w:szCs w:val="28"/>
        </w:rPr>
        <w:t xml:space="preserve">€           </w:t>
      </w:r>
      <w:r w:rsidR="006A278F">
        <w:rPr>
          <w:sz w:val="28"/>
          <w:szCs w:val="28"/>
        </w:rPr>
        <w:t xml:space="preserve"> 50,00 al giorno per il caso di ricovero ospedaliero</w:t>
      </w:r>
    </w:p>
    <w:p w:rsidR="006A278F" w:rsidRDefault="006F2426" w:rsidP="002938BF">
      <w:pPr>
        <w:spacing w:after="0" w:line="240" w:lineRule="auto"/>
        <w:ind w:left="709"/>
        <w:jc w:val="both"/>
        <w:rPr>
          <w:sz w:val="28"/>
          <w:szCs w:val="28"/>
        </w:rPr>
      </w:pPr>
      <w:r>
        <w:rPr>
          <w:sz w:val="28"/>
          <w:szCs w:val="28"/>
        </w:rPr>
        <w:t xml:space="preserve">€  </w:t>
      </w:r>
      <w:r w:rsidR="006A278F">
        <w:rPr>
          <w:sz w:val="28"/>
          <w:szCs w:val="28"/>
        </w:rPr>
        <w:t xml:space="preserve"> 15,000,00 per rimborso spese di cura a seguito infortunio</w:t>
      </w:r>
    </w:p>
    <w:p w:rsidR="002938BF" w:rsidRDefault="002938BF" w:rsidP="002938BF">
      <w:pPr>
        <w:spacing w:after="0" w:line="240" w:lineRule="auto"/>
        <w:ind w:left="709"/>
        <w:jc w:val="both"/>
        <w:rPr>
          <w:sz w:val="28"/>
          <w:szCs w:val="28"/>
        </w:rPr>
      </w:pPr>
    </w:p>
    <w:p w:rsidR="002938BF" w:rsidRDefault="002E2325" w:rsidP="004F291E">
      <w:pPr>
        <w:pStyle w:val="Paragrafoelenco"/>
        <w:spacing w:after="0" w:line="240" w:lineRule="auto"/>
        <w:ind w:left="709" w:hanging="283"/>
        <w:jc w:val="both"/>
        <w:rPr>
          <w:sz w:val="28"/>
          <w:szCs w:val="28"/>
        </w:rPr>
      </w:pPr>
      <w:r>
        <w:rPr>
          <w:sz w:val="28"/>
          <w:szCs w:val="28"/>
        </w:rPr>
        <w:t xml:space="preserve">3. </w:t>
      </w:r>
      <w:r w:rsidR="006A278F">
        <w:rPr>
          <w:sz w:val="28"/>
          <w:szCs w:val="28"/>
        </w:rPr>
        <w:t>Limitatamente alle persone di cui ai punti 1B) e 1C), la garanzia viene prestata per la partecipazione alle riunioni consiliari e comunque nello svolgimento di ogni incarico conferito inerente al mandato ricoperto, compresi i rischi della circolazione stradale.</w:t>
      </w:r>
    </w:p>
    <w:p w:rsidR="002938BF" w:rsidRDefault="002938BF" w:rsidP="002938BF">
      <w:pPr>
        <w:pStyle w:val="Paragrafoelenco"/>
        <w:spacing w:after="0" w:line="240" w:lineRule="auto"/>
        <w:jc w:val="both"/>
        <w:rPr>
          <w:sz w:val="28"/>
          <w:szCs w:val="28"/>
        </w:rPr>
      </w:pPr>
    </w:p>
    <w:p w:rsidR="002938BF" w:rsidRDefault="002E2325" w:rsidP="004F291E">
      <w:pPr>
        <w:pStyle w:val="Paragrafoelenco"/>
        <w:numPr>
          <w:ilvl w:val="0"/>
          <w:numId w:val="3"/>
        </w:numPr>
        <w:spacing w:after="0" w:line="240" w:lineRule="auto"/>
        <w:ind w:left="709" w:hanging="283"/>
        <w:jc w:val="both"/>
        <w:rPr>
          <w:sz w:val="28"/>
          <w:szCs w:val="28"/>
        </w:rPr>
      </w:pPr>
      <w:r>
        <w:rPr>
          <w:sz w:val="28"/>
          <w:szCs w:val="28"/>
        </w:rPr>
        <w:t>Per le persone di cui ai punti 1A) e 1B), la contraente è esonerata dall’obbligo della preventiva denuncia delle generalità degli assicurati, essendo questi rilevabili da atti ufficiali. E’ tenuta, invece, a denunciare per iscritto alla Compagnia le variazioni numeriche che si verificassero. Se la variazione implica un aumento di premio, l’assicurazione sarà valida rispetto al nuovo stato di cose dalle ore 24 del giorno di perfezionamento dell’appendice con pagamento del maggior premio dovuto. Se invece implica riduzione di premio, questa avrà luogo a partire dalla prossima scadenza annuale.</w:t>
      </w:r>
    </w:p>
    <w:p w:rsidR="002E2325" w:rsidRDefault="002E2325" w:rsidP="004F291E">
      <w:pPr>
        <w:pStyle w:val="Paragrafoelenco"/>
        <w:spacing w:after="0" w:line="240" w:lineRule="auto"/>
        <w:ind w:left="709"/>
        <w:jc w:val="both"/>
        <w:rPr>
          <w:sz w:val="28"/>
          <w:szCs w:val="28"/>
        </w:rPr>
      </w:pPr>
      <w:r>
        <w:rPr>
          <w:sz w:val="28"/>
          <w:szCs w:val="28"/>
        </w:rPr>
        <w:t>Per le persone di cui al punto 1C), al fine dell’attivazione della garanzia, la contraente è tenuta a comunicare preventivamente, in occasione delle riunioni.</w:t>
      </w:r>
    </w:p>
    <w:p w:rsidR="002E2325" w:rsidRDefault="002E2325" w:rsidP="002E2325">
      <w:pPr>
        <w:pStyle w:val="Paragrafoelenco"/>
        <w:numPr>
          <w:ilvl w:val="0"/>
          <w:numId w:val="3"/>
        </w:numPr>
        <w:spacing w:after="0" w:line="240" w:lineRule="auto"/>
        <w:ind w:left="851" w:hanging="425"/>
        <w:jc w:val="both"/>
        <w:rPr>
          <w:sz w:val="28"/>
          <w:szCs w:val="28"/>
        </w:rPr>
      </w:pPr>
      <w:r>
        <w:rPr>
          <w:sz w:val="28"/>
          <w:szCs w:val="28"/>
        </w:rPr>
        <w:lastRenderedPageBreak/>
        <w:t>A deroga dell’art. 23 delle condizioni generali di assicurazioni – invalidità permanente – e dell’art. 1 delle condizioni speciali di polizza – franchigia per invalidità permanente – si precisa che gli stessi si intendono sostituiti come da tabella riportata nell’all. 1</w:t>
      </w:r>
    </w:p>
    <w:p w:rsidR="00864819" w:rsidRPr="00864819" w:rsidRDefault="00864819" w:rsidP="00864819">
      <w:pPr>
        <w:spacing w:after="0" w:line="240" w:lineRule="auto"/>
        <w:jc w:val="both"/>
        <w:rPr>
          <w:sz w:val="28"/>
          <w:szCs w:val="28"/>
        </w:rPr>
      </w:pPr>
    </w:p>
    <w:p w:rsidR="002E2325" w:rsidRDefault="002E2325" w:rsidP="002E2325">
      <w:pPr>
        <w:pStyle w:val="Paragrafoelenco"/>
        <w:numPr>
          <w:ilvl w:val="0"/>
          <w:numId w:val="3"/>
        </w:numPr>
        <w:spacing w:after="0" w:line="240" w:lineRule="auto"/>
        <w:ind w:left="851" w:hanging="425"/>
        <w:jc w:val="both"/>
        <w:rPr>
          <w:sz w:val="28"/>
          <w:szCs w:val="28"/>
        </w:rPr>
      </w:pPr>
      <w:r>
        <w:rPr>
          <w:sz w:val="28"/>
          <w:szCs w:val="28"/>
        </w:rPr>
        <w:t>I premi lordi annui sono stati così convenuti:</w:t>
      </w:r>
    </w:p>
    <w:p w:rsidR="002E2325" w:rsidRDefault="002E2325" w:rsidP="002E2325">
      <w:pPr>
        <w:pStyle w:val="Paragrafoelenco"/>
        <w:numPr>
          <w:ilvl w:val="0"/>
          <w:numId w:val="4"/>
        </w:numPr>
        <w:spacing w:after="0" w:line="240" w:lineRule="auto"/>
        <w:ind w:firstLine="131"/>
        <w:jc w:val="both"/>
        <w:rPr>
          <w:sz w:val="28"/>
          <w:szCs w:val="28"/>
        </w:rPr>
      </w:pPr>
      <w:r>
        <w:rPr>
          <w:sz w:val="28"/>
          <w:szCs w:val="28"/>
        </w:rPr>
        <w:t xml:space="preserve">-   € </w:t>
      </w:r>
      <w:r>
        <w:rPr>
          <w:sz w:val="28"/>
          <w:szCs w:val="28"/>
        </w:rPr>
        <w:tab/>
      </w:r>
      <w:r>
        <w:rPr>
          <w:sz w:val="28"/>
          <w:szCs w:val="28"/>
        </w:rPr>
        <w:tab/>
        <w:t>x n.   4  =  €</w:t>
      </w:r>
    </w:p>
    <w:p w:rsidR="002E2325" w:rsidRDefault="002E2325" w:rsidP="002E2325">
      <w:pPr>
        <w:pStyle w:val="Paragrafoelenco"/>
        <w:numPr>
          <w:ilvl w:val="0"/>
          <w:numId w:val="4"/>
        </w:numPr>
        <w:spacing w:after="0" w:line="240" w:lineRule="auto"/>
        <w:ind w:firstLine="131"/>
        <w:jc w:val="both"/>
        <w:rPr>
          <w:sz w:val="28"/>
          <w:szCs w:val="28"/>
        </w:rPr>
      </w:pPr>
      <w:r>
        <w:rPr>
          <w:sz w:val="28"/>
          <w:szCs w:val="28"/>
        </w:rPr>
        <w:t>-   €</w:t>
      </w:r>
      <w:r>
        <w:rPr>
          <w:sz w:val="28"/>
          <w:szCs w:val="28"/>
        </w:rPr>
        <w:tab/>
      </w:r>
      <w:r>
        <w:rPr>
          <w:sz w:val="28"/>
          <w:szCs w:val="28"/>
        </w:rPr>
        <w:tab/>
        <w:t>x n. 18  =  €</w:t>
      </w:r>
    </w:p>
    <w:p w:rsidR="002E2325" w:rsidRDefault="002E2325" w:rsidP="002E2325">
      <w:pPr>
        <w:pStyle w:val="Paragrafoelenco"/>
        <w:numPr>
          <w:ilvl w:val="0"/>
          <w:numId w:val="4"/>
        </w:numPr>
        <w:spacing w:after="0" w:line="240" w:lineRule="auto"/>
        <w:ind w:firstLine="131"/>
        <w:jc w:val="both"/>
        <w:rPr>
          <w:sz w:val="28"/>
          <w:szCs w:val="28"/>
        </w:rPr>
      </w:pPr>
      <w:r>
        <w:rPr>
          <w:sz w:val="28"/>
          <w:szCs w:val="28"/>
        </w:rPr>
        <w:t>-   €</w:t>
      </w:r>
      <w:r>
        <w:rPr>
          <w:sz w:val="28"/>
          <w:szCs w:val="28"/>
        </w:rPr>
        <w:tab/>
      </w:r>
      <w:r>
        <w:rPr>
          <w:sz w:val="28"/>
          <w:szCs w:val="28"/>
        </w:rPr>
        <w:tab/>
        <w:t>x n.   6   =  €</w:t>
      </w:r>
    </w:p>
    <w:p w:rsidR="002E2325" w:rsidRDefault="002E2325" w:rsidP="002E2325">
      <w:pPr>
        <w:spacing w:after="0" w:line="240" w:lineRule="auto"/>
        <w:jc w:val="both"/>
        <w:rPr>
          <w:sz w:val="28"/>
          <w:szCs w:val="28"/>
        </w:rPr>
      </w:pPr>
    </w:p>
    <w:p w:rsidR="002E2325" w:rsidRDefault="002E2325" w:rsidP="002E2325">
      <w:pPr>
        <w:spacing w:after="0" w:line="240" w:lineRule="auto"/>
        <w:ind w:left="851"/>
        <w:jc w:val="both"/>
        <w:rPr>
          <w:sz w:val="28"/>
          <w:szCs w:val="28"/>
        </w:rPr>
      </w:pPr>
      <w:r>
        <w:rPr>
          <w:sz w:val="28"/>
          <w:szCs w:val="28"/>
        </w:rPr>
        <w:t>PREMIO TOTALE</w:t>
      </w:r>
      <w:r>
        <w:rPr>
          <w:sz w:val="28"/>
          <w:szCs w:val="28"/>
        </w:rPr>
        <w:tab/>
      </w:r>
      <w:r>
        <w:rPr>
          <w:sz w:val="28"/>
          <w:szCs w:val="28"/>
        </w:rPr>
        <w:tab/>
        <w:t>€</w:t>
      </w:r>
    </w:p>
    <w:p w:rsidR="002E2325" w:rsidRDefault="002E2325" w:rsidP="002E2325">
      <w:pPr>
        <w:spacing w:after="0" w:line="240" w:lineRule="auto"/>
        <w:ind w:left="851"/>
        <w:jc w:val="both"/>
        <w:rPr>
          <w:sz w:val="28"/>
          <w:szCs w:val="28"/>
        </w:rPr>
      </w:pPr>
    </w:p>
    <w:p w:rsidR="002E2325" w:rsidRDefault="002E2325" w:rsidP="002E2325">
      <w:pPr>
        <w:spacing w:after="0" w:line="240" w:lineRule="auto"/>
        <w:ind w:left="851"/>
        <w:jc w:val="both"/>
        <w:rPr>
          <w:sz w:val="28"/>
          <w:szCs w:val="28"/>
        </w:rPr>
      </w:pPr>
    </w:p>
    <w:p w:rsidR="002E2325" w:rsidRDefault="002E2325" w:rsidP="002E2325">
      <w:pPr>
        <w:spacing w:after="0" w:line="240" w:lineRule="auto"/>
        <w:ind w:left="851"/>
        <w:jc w:val="both"/>
        <w:rPr>
          <w:sz w:val="28"/>
          <w:szCs w:val="28"/>
        </w:rPr>
      </w:pPr>
    </w:p>
    <w:p w:rsidR="002E2325" w:rsidRDefault="002E2325"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864819" w:rsidRDefault="00864819" w:rsidP="002E2325">
      <w:pPr>
        <w:spacing w:after="0" w:line="240" w:lineRule="auto"/>
        <w:jc w:val="both"/>
        <w:rPr>
          <w:sz w:val="28"/>
          <w:szCs w:val="28"/>
        </w:rPr>
      </w:pPr>
    </w:p>
    <w:p w:rsidR="002E2325" w:rsidRDefault="002E2325" w:rsidP="002E2325">
      <w:pPr>
        <w:spacing w:after="0" w:line="240" w:lineRule="auto"/>
        <w:jc w:val="both"/>
        <w:rPr>
          <w:sz w:val="28"/>
          <w:szCs w:val="28"/>
        </w:rPr>
      </w:pPr>
    </w:p>
    <w:p w:rsidR="002E2325" w:rsidRPr="002E2325" w:rsidRDefault="002E2325" w:rsidP="002E2325">
      <w:pPr>
        <w:spacing w:after="0" w:line="240" w:lineRule="auto"/>
        <w:ind w:left="567" w:hanging="567"/>
        <w:jc w:val="both"/>
        <w:rPr>
          <w:sz w:val="28"/>
          <w:szCs w:val="28"/>
        </w:rPr>
      </w:pPr>
      <w:r>
        <w:rPr>
          <w:sz w:val="28"/>
          <w:szCs w:val="28"/>
        </w:rPr>
        <w:t>(*)  18 membri ci cui al punto 1B) sono componenti gli Organi Istituzionali e cioè Comitato Centrale, Commissione per gli Iscritti all’Albo dei Medici, Commissione per gli Iscritti all’Albo degli Odontoiatri e Collegio dei Revisori dei Conti.</w:t>
      </w:r>
    </w:p>
    <w:p w:rsidR="00513668" w:rsidRDefault="00513668" w:rsidP="00513668">
      <w:pPr>
        <w:spacing w:after="0" w:line="240" w:lineRule="auto"/>
        <w:jc w:val="both"/>
        <w:rPr>
          <w:sz w:val="28"/>
          <w:szCs w:val="28"/>
        </w:rPr>
      </w:pPr>
    </w:p>
    <w:sectPr w:rsidR="00513668" w:rsidSect="007350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429D"/>
    <w:multiLevelType w:val="hybridMultilevel"/>
    <w:tmpl w:val="8ECC97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05B1719"/>
    <w:multiLevelType w:val="hybridMultilevel"/>
    <w:tmpl w:val="99D6444E"/>
    <w:lvl w:ilvl="0" w:tplc="3E72FDB4">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
    <w:nsid w:val="6DCE41DF"/>
    <w:multiLevelType w:val="hybridMultilevel"/>
    <w:tmpl w:val="00C4CA7E"/>
    <w:lvl w:ilvl="0" w:tplc="2A067C96">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6E655708"/>
    <w:multiLevelType w:val="hybridMultilevel"/>
    <w:tmpl w:val="983E0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629A5"/>
    <w:rsid w:val="00281559"/>
    <w:rsid w:val="002938BF"/>
    <w:rsid w:val="002E2325"/>
    <w:rsid w:val="004F291E"/>
    <w:rsid w:val="00513668"/>
    <w:rsid w:val="005B6147"/>
    <w:rsid w:val="006A278F"/>
    <w:rsid w:val="006F2426"/>
    <w:rsid w:val="007350DA"/>
    <w:rsid w:val="00742342"/>
    <w:rsid w:val="00864819"/>
    <w:rsid w:val="009629A5"/>
    <w:rsid w:val="00B76AD2"/>
    <w:rsid w:val="00BD67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0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15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361</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g.malagigi</dc:creator>
  <cp:keywords/>
  <dc:description/>
  <cp:lastModifiedBy>g.malagigi</cp:lastModifiedBy>
  <cp:revision>5</cp:revision>
  <dcterms:created xsi:type="dcterms:W3CDTF">2010-11-11T08:50:00Z</dcterms:created>
  <dcterms:modified xsi:type="dcterms:W3CDTF">2010-11-11T09:12:00Z</dcterms:modified>
</cp:coreProperties>
</file>