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88" w:rsidRDefault="008C0ECA" w:rsidP="00DB3840">
      <w:pPr>
        <w:rPr>
          <w:b/>
          <w:sz w:val="28"/>
          <w:szCs w:val="28"/>
        </w:rPr>
      </w:pPr>
      <w:r>
        <w:rPr>
          <w:b/>
          <w:sz w:val="44"/>
          <w:szCs w:val="44"/>
        </w:rPr>
        <w:t xml:space="preserve">                          </w:t>
      </w:r>
      <w:r w:rsidR="00307B69" w:rsidRPr="00F37988">
        <w:rPr>
          <w:b/>
          <w:sz w:val="44"/>
          <w:szCs w:val="44"/>
        </w:rPr>
        <w:t>Federazione Nazionale</w:t>
      </w:r>
      <w:r w:rsidR="00307B69" w:rsidRPr="00307B69">
        <w:rPr>
          <w:b/>
          <w:sz w:val="28"/>
          <w:szCs w:val="28"/>
        </w:rPr>
        <w:t xml:space="preserve"> </w:t>
      </w:r>
    </w:p>
    <w:p w:rsidR="00307B69" w:rsidRDefault="00307B69" w:rsidP="00F37988">
      <w:pPr>
        <w:jc w:val="center"/>
        <w:rPr>
          <w:b/>
          <w:sz w:val="28"/>
          <w:szCs w:val="28"/>
        </w:rPr>
      </w:pPr>
      <w:r w:rsidRPr="00F37988">
        <w:rPr>
          <w:b/>
          <w:sz w:val="32"/>
          <w:szCs w:val="32"/>
        </w:rPr>
        <w:t xml:space="preserve">degli Ordini </w:t>
      </w:r>
      <w:r w:rsidRPr="00307B69">
        <w:rPr>
          <w:b/>
          <w:sz w:val="28"/>
          <w:szCs w:val="28"/>
        </w:rPr>
        <w:t>dei Medici Chirurghi e degli Odontoiatri</w:t>
      </w:r>
    </w:p>
    <w:p w:rsidR="006E4192" w:rsidRPr="00F37988" w:rsidRDefault="006E4192" w:rsidP="00F37988">
      <w:pPr>
        <w:jc w:val="center"/>
        <w:rPr>
          <w:b/>
          <w:sz w:val="32"/>
          <w:szCs w:val="32"/>
        </w:rPr>
      </w:pPr>
    </w:p>
    <w:p w:rsidR="00307B69" w:rsidRDefault="00307B69" w:rsidP="00307B69">
      <w:pPr>
        <w:jc w:val="both"/>
        <w:rPr>
          <w:sz w:val="40"/>
          <w:szCs w:val="40"/>
        </w:rPr>
      </w:pPr>
      <w:r>
        <w:rPr>
          <w:sz w:val="40"/>
          <w:szCs w:val="40"/>
        </w:rPr>
        <w:t xml:space="preserve">                </w:t>
      </w:r>
      <w:r w:rsidRPr="00307B69">
        <w:rPr>
          <w:noProof/>
          <w:sz w:val="40"/>
          <w:szCs w:val="40"/>
          <w:lang w:eastAsia="it-IT"/>
        </w:rPr>
        <w:drawing>
          <wp:inline distT="0" distB="0" distL="0" distR="0">
            <wp:extent cx="1366275" cy="1362075"/>
            <wp:effectExtent l="19050" t="0" r="5325" b="0"/>
            <wp:docPr id="5" name="Immagine 1" descr="D:\Pictures\LOGHI\logo FNOMCeO.jpg"/>
            <wp:cNvGraphicFramePr/>
            <a:graphic xmlns:a="http://schemas.openxmlformats.org/drawingml/2006/main">
              <a:graphicData uri="http://schemas.openxmlformats.org/drawingml/2006/picture">
                <pic:pic xmlns:pic="http://schemas.openxmlformats.org/drawingml/2006/picture">
                  <pic:nvPicPr>
                    <pic:cNvPr id="1026" name="Picture 2" descr="D:\Pictures\LOGHI\logo FNOMCeO.jpg"/>
                    <pic:cNvPicPr>
                      <a:picLocks noChangeAspect="1" noChangeArrowheads="1"/>
                    </pic:cNvPicPr>
                  </pic:nvPicPr>
                  <pic:blipFill>
                    <a:blip r:embed="rId5" cstate="print"/>
                    <a:srcRect l="2503" r="2503"/>
                    <a:stretch>
                      <a:fillRect/>
                    </a:stretch>
                  </pic:blipFill>
                  <pic:spPr bwMode="auto">
                    <a:xfrm>
                      <a:off x="0" y="0"/>
                      <a:ext cx="1366275" cy="1362075"/>
                    </a:xfrm>
                    <a:prstGeom prst="rect">
                      <a:avLst/>
                    </a:prstGeom>
                    <a:noFill/>
                  </pic:spPr>
                </pic:pic>
              </a:graphicData>
            </a:graphic>
          </wp:inline>
        </w:drawing>
      </w:r>
      <w:r>
        <w:rPr>
          <w:sz w:val="40"/>
          <w:szCs w:val="40"/>
        </w:rPr>
        <w:t xml:space="preserve">                       </w:t>
      </w:r>
      <w:r w:rsidRPr="00307B69">
        <w:rPr>
          <w:noProof/>
          <w:sz w:val="40"/>
          <w:szCs w:val="40"/>
          <w:lang w:eastAsia="it-IT"/>
        </w:rPr>
        <w:drawing>
          <wp:inline distT="0" distB="0" distL="0" distR="0">
            <wp:extent cx="1368000" cy="1368000"/>
            <wp:effectExtent l="19050" t="0" r="3600" b="0"/>
            <wp:docPr id="4" name="Immagine 2" descr="D:\Pictures\LOGHI\FNOMCeO.jpg"/>
            <wp:cNvGraphicFramePr/>
            <a:graphic xmlns:a="http://schemas.openxmlformats.org/drawingml/2006/main">
              <a:graphicData uri="http://schemas.openxmlformats.org/drawingml/2006/picture">
                <pic:pic xmlns:pic="http://schemas.openxmlformats.org/drawingml/2006/picture">
                  <pic:nvPicPr>
                    <pic:cNvPr id="1027" name="Picture 3" descr="D:\Pictures\LOGHI\FNOMCeO.jpg"/>
                    <pic:cNvPicPr>
                      <a:picLocks noChangeAspect="1" noChangeArrowheads="1"/>
                    </pic:cNvPicPr>
                  </pic:nvPicPr>
                  <pic:blipFill>
                    <a:blip r:embed="rId6" cstate="print"/>
                    <a:srcRect/>
                    <a:stretch>
                      <a:fillRect/>
                    </a:stretch>
                  </pic:blipFill>
                  <pic:spPr bwMode="auto">
                    <a:xfrm>
                      <a:off x="0" y="0"/>
                      <a:ext cx="1368000" cy="1368000"/>
                    </a:xfrm>
                    <a:prstGeom prst="rect">
                      <a:avLst/>
                    </a:prstGeom>
                    <a:noFill/>
                  </pic:spPr>
                </pic:pic>
              </a:graphicData>
            </a:graphic>
          </wp:inline>
        </w:drawing>
      </w:r>
      <w:r>
        <w:rPr>
          <w:sz w:val="40"/>
          <w:szCs w:val="40"/>
        </w:rPr>
        <w:t xml:space="preserve">  </w:t>
      </w:r>
      <w:r w:rsidR="00B6210F">
        <w:rPr>
          <w:sz w:val="40"/>
          <w:szCs w:val="40"/>
        </w:rPr>
        <w:t>\</w:t>
      </w:r>
    </w:p>
    <w:p w:rsidR="006E4192" w:rsidRDefault="006E4192" w:rsidP="00307B69">
      <w:pPr>
        <w:jc w:val="center"/>
        <w:rPr>
          <w:b/>
          <w:sz w:val="72"/>
          <w:szCs w:val="72"/>
        </w:rPr>
      </w:pPr>
    </w:p>
    <w:p w:rsidR="00307B69" w:rsidRDefault="00307B69" w:rsidP="00307B69">
      <w:pPr>
        <w:jc w:val="center"/>
        <w:rPr>
          <w:b/>
          <w:sz w:val="72"/>
          <w:szCs w:val="72"/>
        </w:rPr>
      </w:pPr>
      <w:r w:rsidRPr="00307B69">
        <w:rPr>
          <w:b/>
          <w:sz w:val="72"/>
          <w:szCs w:val="72"/>
        </w:rPr>
        <w:t xml:space="preserve">BILANCIO </w:t>
      </w:r>
      <w:r w:rsidR="00B96A37">
        <w:rPr>
          <w:b/>
          <w:sz w:val="72"/>
          <w:szCs w:val="72"/>
        </w:rPr>
        <w:t xml:space="preserve"> </w:t>
      </w:r>
      <w:proofErr w:type="spellStart"/>
      <w:r w:rsidRPr="00307B69">
        <w:rPr>
          <w:b/>
          <w:sz w:val="72"/>
          <w:szCs w:val="72"/>
        </w:rPr>
        <w:t>DI</w:t>
      </w:r>
      <w:proofErr w:type="spellEnd"/>
      <w:r w:rsidRPr="00307B69">
        <w:rPr>
          <w:b/>
          <w:sz w:val="72"/>
          <w:szCs w:val="72"/>
        </w:rPr>
        <w:t xml:space="preserve"> </w:t>
      </w:r>
      <w:r w:rsidR="00B96A37">
        <w:rPr>
          <w:b/>
          <w:sz w:val="72"/>
          <w:szCs w:val="72"/>
        </w:rPr>
        <w:t xml:space="preserve"> </w:t>
      </w:r>
      <w:r w:rsidRPr="00307B69">
        <w:rPr>
          <w:b/>
          <w:sz w:val="72"/>
          <w:szCs w:val="72"/>
        </w:rPr>
        <w:t>PREVISIONE 2011</w:t>
      </w:r>
    </w:p>
    <w:p w:rsidR="00F37988" w:rsidRPr="00F37988" w:rsidRDefault="00F37988" w:rsidP="00307B69">
      <w:pPr>
        <w:jc w:val="center"/>
        <w:rPr>
          <w:sz w:val="56"/>
          <w:szCs w:val="56"/>
        </w:rPr>
      </w:pPr>
      <w:r w:rsidRPr="00F37988">
        <w:rPr>
          <w:sz w:val="56"/>
          <w:szCs w:val="56"/>
        </w:rPr>
        <w:t>RELAZIONE DEL TESORIERE</w:t>
      </w:r>
    </w:p>
    <w:p w:rsidR="006E4192" w:rsidRDefault="006E4192" w:rsidP="00307B69">
      <w:pPr>
        <w:jc w:val="both"/>
        <w:rPr>
          <w:sz w:val="26"/>
          <w:szCs w:val="26"/>
        </w:rPr>
      </w:pPr>
    </w:p>
    <w:p w:rsidR="006E4192" w:rsidRDefault="006E4192" w:rsidP="00307B69">
      <w:pPr>
        <w:jc w:val="both"/>
        <w:rPr>
          <w:sz w:val="26"/>
          <w:szCs w:val="26"/>
        </w:rPr>
      </w:pPr>
    </w:p>
    <w:p w:rsidR="00CD5B8D" w:rsidRPr="006E4192" w:rsidRDefault="00307B69" w:rsidP="00307B69">
      <w:pPr>
        <w:jc w:val="both"/>
        <w:rPr>
          <w:sz w:val="26"/>
          <w:szCs w:val="26"/>
        </w:rPr>
      </w:pPr>
      <w:r w:rsidRPr="006E4192">
        <w:rPr>
          <w:sz w:val="26"/>
          <w:szCs w:val="26"/>
        </w:rPr>
        <w:t>Questa relazione vuole essere, nei miei intendimenti, non solo una programmatica</w:t>
      </w:r>
      <w:r w:rsidR="005F728E" w:rsidRPr="006E4192">
        <w:rPr>
          <w:sz w:val="26"/>
          <w:szCs w:val="26"/>
        </w:rPr>
        <w:t xml:space="preserve"> enunciazione</w:t>
      </w:r>
      <w:r w:rsidRPr="006E4192">
        <w:rPr>
          <w:sz w:val="26"/>
          <w:szCs w:val="26"/>
        </w:rPr>
        <w:t xml:space="preserve"> economico-finanziaria dell’ attività del nostro Ente per l’ anno in corso, ma anche un collegamento ideale con l’ analoga relazione dello scorso anno, nell’ ambito della quale vennero delineati alcuni obiettivi programmatici di cui mi piace evidenziare oggi la effettiva realizzazione o “</w:t>
      </w:r>
      <w:r w:rsidR="00B96A37" w:rsidRPr="006E4192">
        <w:rPr>
          <w:sz w:val="26"/>
          <w:szCs w:val="26"/>
        </w:rPr>
        <w:t>lo stadio</w:t>
      </w:r>
      <w:r w:rsidRPr="006E4192">
        <w:rPr>
          <w:sz w:val="26"/>
          <w:szCs w:val="26"/>
        </w:rPr>
        <w:t xml:space="preserve"> di avanzamento dei lavori in corso”.</w:t>
      </w:r>
    </w:p>
    <w:p w:rsidR="00B85D55" w:rsidRPr="006E4192" w:rsidRDefault="00B85D55" w:rsidP="00307B69">
      <w:pPr>
        <w:jc w:val="both"/>
        <w:rPr>
          <w:sz w:val="26"/>
          <w:szCs w:val="26"/>
        </w:rPr>
      </w:pPr>
      <w:r w:rsidRPr="006E4192">
        <w:rPr>
          <w:sz w:val="26"/>
          <w:szCs w:val="26"/>
        </w:rPr>
        <w:t xml:space="preserve">L’ </w:t>
      </w:r>
      <w:r w:rsidRPr="006E4192">
        <w:rPr>
          <w:b/>
          <w:sz w:val="26"/>
          <w:szCs w:val="26"/>
        </w:rPr>
        <w:t>avanzo di amministrazione</w:t>
      </w:r>
      <w:r w:rsidRPr="006E4192">
        <w:rPr>
          <w:sz w:val="26"/>
          <w:szCs w:val="26"/>
        </w:rPr>
        <w:t xml:space="preserve">  presunto 2010 risulta di € </w:t>
      </w:r>
      <w:r w:rsidRPr="006E4192">
        <w:rPr>
          <w:b/>
          <w:sz w:val="26"/>
          <w:szCs w:val="26"/>
        </w:rPr>
        <w:t>4.399.156</w:t>
      </w:r>
      <w:r w:rsidRPr="006E4192">
        <w:rPr>
          <w:sz w:val="26"/>
          <w:szCs w:val="26"/>
        </w:rPr>
        <w:t xml:space="preserve">, a cui vanno sommati i </w:t>
      </w:r>
      <w:r w:rsidRPr="006E4192">
        <w:rPr>
          <w:b/>
          <w:sz w:val="26"/>
          <w:szCs w:val="26"/>
        </w:rPr>
        <w:t>due milioni</w:t>
      </w:r>
      <w:r w:rsidR="00B6210F" w:rsidRPr="006E4192">
        <w:rPr>
          <w:b/>
          <w:sz w:val="26"/>
          <w:szCs w:val="26"/>
        </w:rPr>
        <w:t xml:space="preserve"> di euro</w:t>
      </w:r>
      <w:r w:rsidRPr="006E4192">
        <w:rPr>
          <w:sz w:val="26"/>
          <w:szCs w:val="26"/>
        </w:rPr>
        <w:t xml:space="preserve"> ad oggi collocati in un conto di deposito. </w:t>
      </w:r>
    </w:p>
    <w:p w:rsidR="00EB29F6" w:rsidRPr="006E4192" w:rsidRDefault="00DB3840" w:rsidP="00171CD6">
      <w:pPr>
        <w:jc w:val="both"/>
        <w:rPr>
          <w:sz w:val="26"/>
          <w:szCs w:val="26"/>
        </w:rPr>
      </w:pPr>
      <w:r w:rsidRPr="006E4192">
        <w:rPr>
          <w:sz w:val="26"/>
          <w:szCs w:val="26"/>
        </w:rPr>
        <w:t xml:space="preserve">Le </w:t>
      </w:r>
      <w:r w:rsidRPr="006E4192">
        <w:rPr>
          <w:b/>
          <w:sz w:val="26"/>
          <w:szCs w:val="26"/>
        </w:rPr>
        <w:t>ENTRATE</w:t>
      </w:r>
      <w:r w:rsidRPr="006E4192">
        <w:rPr>
          <w:sz w:val="26"/>
          <w:szCs w:val="26"/>
        </w:rPr>
        <w:t xml:space="preserve"> consistono soprattutto nel </w:t>
      </w:r>
      <w:r w:rsidRPr="006E4192">
        <w:rPr>
          <w:b/>
          <w:sz w:val="26"/>
          <w:szCs w:val="26"/>
        </w:rPr>
        <w:t>contributo</w:t>
      </w:r>
      <w:r w:rsidRPr="006E4192">
        <w:rPr>
          <w:sz w:val="26"/>
          <w:szCs w:val="26"/>
        </w:rPr>
        <w:t xml:space="preserve"> relativo agli </w:t>
      </w:r>
      <w:r w:rsidRPr="006E4192">
        <w:rPr>
          <w:b/>
          <w:sz w:val="26"/>
          <w:szCs w:val="26"/>
        </w:rPr>
        <w:t>iscritti</w:t>
      </w:r>
      <w:r w:rsidRPr="006E4192">
        <w:rPr>
          <w:sz w:val="26"/>
          <w:szCs w:val="26"/>
        </w:rPr>
        <w:t xml:space="preserve">, previsti in misura di </w:t>
      </w:r>
      <w:r w:rsidRPr="006E4192">
        <w:rPr>
          <w:b/>
          <w:sz w:val="26"/>
          <w:szCs w:val="26"/>
        </w:rPr>
        <w:t>399.000</w:t>
      </w:r>
      <w:r w:rsidRPr="006E4192">
        <w:rPr>
          <w:sz w:val="26"/>
          <w:szCs w:val="26"/>
        </w:rPr>
        <w:t xml:space="preserve"> nel 2011, per un totale di € </w:t>
      </w:r>
      <w:r w:rsidRPr="006E4192">
        <w:rPr>
          <w:b/>
          <w:sz w:val="26"/>
          <w:szCs w:val="26"/>
        </w:rPr>
        <w:t>9.177.000</w:t>
      </w:r>
      <w:r w:rsidRPr="006E4192">
        <w:rPr>
          <w:sz w:val="26"/>
          <w:szCs w:val="26"/>
        </w:rPr>
        <w:t xml:space="preserve">. Altri capitoli  da evidenziare sono quello degli </w:t>
      </w:r>
      <w:r w:rsidRPr="006E4192">
        <w:rPr>
          <w:b/>
          <w:sz w:val="26"/>
          <w:szCs w:val="26"/>
        </w:rPr>
        <w:t>interessi attivi</w:t>
      </w:r>
      <w:r w:rsidRPr="006E4192">
        <w:rPr>
          <w:sz w:val="26"/>
          <w:szCs w:val="26"/>
        </w:rPr>
        <w:t xml:space="preserve"> per circa  € 110.000 e quello dei </w:t>
      </w:r>
      <w:r w:rsidRPr="006E4192">
        <w:rPr>
          <w:b/>
          <w:sz w:val="26"/>
          <w:szCs w:val="26"/>
        </w:rPr>
        <w:t>rimborsi di mutui</w:t>
      </w:r>
      <w:r w:rsidR="00171CD6" w:rsidRPr="006E4192">
        <w:rPr>
          <w:b/>
          <w:sz w:val="26"/>
          <w:szCs w:val="26"/>
        </w:rPr>
        <w:t xml:space="preserve"> </w:t>
      </w:r>
      <w:r w:rsidRPr="006E4192">
        <w:rPr>
          <w:b/>
          <w:sz w:val="26"/>
          <w:szCs w:val="26"/>
        </w:rPr>
        <w:t xml:space="preserve"> e </w:t>
      </w:r>
      <w:r w:rsidR="00171CD6" w:rsidRPr="006E4192">
        <w:rPr>
          <w:b/>
          <w:sz w:val="26"/>
          <w:szCs w:val="26"/>
        </w:rPr>
        <w:t xml:space="preserve"> </w:t>
      </w:r>
      <w:r w:rsidRPr="006E4192">
        <w:rPr>
          <w:b/>
          <w:sz w:val="26"/>
          <w:szCs w:val="26"/>
        </w:rPr>
        <w:t>prestiti</w:t>
      </w:r>
      <w:r w:rsidRPr="006E4192">
        <w:rPr>
          <w:sz w:val="26"/>
          <w:szCs w:val="26"/>
        </w:rPr>
        <w:t xml:space="preserve"> al </w:t>
      </w:r>
      <w:r w:rsidR="00171CD6" w:rsidRPr="006E4192">
        <w:rPr>
          <w:sz w:val="26"/>
          <w:szCs w:val="26"/>
        </w:rPr>
        <w:t xml:space="preserve"> </w:t>
      </w:r>
      <w:r w:rsidRPr="006E4192">
        <w:rPr>
          <w:sz w:val="26"/>
          <w:szCs w:val="26"/>
        </w:rPr>
        <w:t xml:space="preserve">personale </w:t>
      </w:r>
      <w:r w:rsidR="00171CD6" w:rsidRPr="006E4192">
        <w:rPr>
          <w:sz w:val="26"/>
          <w:szCs w:val="26"/>
        </w:rPr>
        <w:t xml:space="preserve"> </w:t>
      </w:r>
      <w:r w:rsidRPr="006E4192">
        <w:rPr>
          <w:sz w:val="26"/>
          <w:szCs w:val="26"/>
        </w:rPr>
        <w:t>dipendente</w:t>
      </w:r>
      <w:r w:rsidR="00171CD6" w:rsidRPr="006E4192">
        <w:rPr>
          <w:sz w:val="26"/>
          <w:szCs w:val="26"/>
        </w:rPr>
        <w:t xml:space="preserve">  </w:t>
      </w:r>
      <w:r w:rsidRPr="006E4192">
        <w:rPr>
          <w:sz w:val="26"/>
          <w:szCs w:val="26"/>
        </w:rPr>
        <w:t xml:space="preserve"> per € 205.000 euro.</w:t>
      </w:r>
    </w:p>
    <w:p w:rsidR="00EB29F6" w:rsidRPr="006E4192" w:rsidRDefault="00EB29F6" w:rsidP="00307B69">
      <w:pPr>
        <w:jc w:val="both"/>
        <w:rPr>
          <w:sz w:val="26"/>
          <w:szCs w:val="26"/>
        </w:rPr>
      </w:pPr>
      <w:r w:rsidRPr="006E4192">
        <w:rPr>
          <w:sz w:val="26"/>
          <w:szCs w:val="26"/>
        </w:rPr>
        <w:lastRenderedPageBreak/>
        <w:t xml:space="preserve">Veniamo ora all’ esposizione delle </w:t>
      </w:r>
      <w:r w:rsidRPr="006E4192">
        <w:rPr>
          <w:b/>
          <w:sz w:val="26"/>
          <w:szCs w:val="26"/>
        </w:rPr>
        <w:t>USCITE</w:t>
      </w:r>
      <w:r w:rsidRPr="006E4192">
        <w:rPr>
          <w:sz w:val="26"/>
          <w:szCs w:val="26"/>
        </w:rPr>
        <w:t>, contenente significativi spunti relativi alla politica economica, e non solo, della Federazione.</w:t>
      </w:r>
    </w:p>
    <w:p w:rsidR="007C5D9E" w:rsidRPr="006E4192" w:rsidRDefault="007C5D9E" w:rsidP="00307B69">
      <w:pPr>
        <w:jc w:val="both"/>
        <w:rPr>
          <w:sz w:val="26"/>
          <w:szCs w:val="26"/>
        </w:rPr>
      </w:pPr>
      <w:r w:rsidRPr="006E4192">
        <w:rPr>
          <w:sz w:val="26"/>
          <w:szCs w:val="26"/>
        </w:rPr>
        <w:t xml:space="preserve">Restano costanti le </w:t>
      </w:r>
      <w:r w:rsidRPr="006E4192">
        <w:rPr>
          <w:b/>
          <w:sz w:val="26"/>
          <w:szCs w:val="26"/>
        </w:rPr>
        <w:t>attività degli Organi istituzionali</w:t>
      </w:r>
      <w:r w:rsidRPr="006E4192">
        <w:rPr>
          <w:sz w:val="26"/>
          <w:szCs w:val="26"/>
        </w:rPr>
        <w:t xml:space="preserve"> e le </w:t>
      </w:r>
      <w:r w:rsidRPr="006E4192">
        <w:rPr>
          <w:b/>
          <w:sz w:val="26"/>
          <w:szCs w:val="26"/>
        </w:rPr>
        <w:t xml:space="preserve">attività </w:t>
      </w:r>
      <w:proofErr w:type="spellStart"/>
      <w:r w:rsidRPr="006E4192">
        <w:rPr>
          <w:b/>
          <w:sz w:val="26"/>
          <w:szCs w:val="26"/>
        </w:rPr>
        <w:t>convegnistiche</w:t>
      </w:r>
      <w:proofErr w:type="spellEnd"/>
      <w:r w:rsidRPr="006E4192">
        <w:rPr>
          <w:sz w:val="26"/>
          <w:szCs w:val="26"/>
        </w:rPr>
        <w:t xml:space="preserve"> ad esse collegate, ivi compresa l’ </w:t>
      </w:r>
      <w:r w:rsidRPr="006E4192">
        <w:rPr>
          <w:b/>
          <w:sz w:val="26"/>
          <w:szCs w:val="26"/>
        </w:rPr>
        <w:t>attività di</w:t>
      </w:r>
      <w:r w:rsidRPr="006E4192">
        <w:rPr>
          <w:sz w:val="26"/>
          <w:szCs w:val="26"/>
        </w:rPr>
        <w:t xml:space="preserve"> </w:t>
      </w:r>
      <w:r w:rsidRPr="006E4192">
        <w:rPr>
          <w:b/>
          <w:sz w:val="26"/>
          <w:szCs w:val="26"/>
        </w:rPr>
        <w:t>coordinamento dei Presidenti CAO</w:t>
      </w:r>
      <w:r w:rsidRPr="006E4192">
        <w:rPr>
          <w:sz w:val="26"/>
          <w:szCs w:val="26"/>
        </w:rPr>
        <w:t>.</w:t>
      </w:r>
    </w:p>
    <w:p w:rsidR="007C5D9E" w:rsidRPr="006E4192" w:rsidRDefault="007C5D9E" w:rsidP="00307B69">
      <w:pPr>
        <w:jc w:val="both"/>
        <w:rPr>
          <w:sz w:val="26"/>
          <w:szCs w:val="26"/>
        </w:rPr>
      </w:pPr>
      <w:r w:rsidRPr="006E4192">
        <w:rPr>
          <w:sz w:val="26"/>
          <w:szCs w:val="26"/>
        </w:rPr>
        <w:t>Peraltro viene previsto un budget aggiuntivo per organizzare eventi mirati</w:t>
      </w:r>
      <w:r w:rsidR="00323B71" w:rsidRPr="006E4192">
        <w:rPr>
          <w:sz w:val="26"/>
          <w:szCs w:val="26"/>
        </w:rPr>
        <w:t>,</w:t>
      </w:r>
      <w:r w:rsidRPr="006E4192">
        <w:rPr>
          <w:sz w:val="26"/>
          <w:szCs w:val="26"/>
        </w:rPr>
        <w:t xml:space="preserve"> in occasione di</w:t>
      </w:r>
      <w:r w:rsidR="00323B71" w:rsidRPr="006E4192">
        <w:rPr>
          <w:sz w:val="26"/>
          <w:szCs w:val="26"/>
        </w:rPr>
        <w:t xml:space="preserve"> riunioni istituzionali, anche in città che sono state capitali  d’ Italia, al fine di portare un contributo ideale alle </w:t>
      </w:r>
      <w:r w:rsidR="00323B71" w:rsidRPr="006E4192">
        <w:rPr>
          <w:b/>
          <w:sz w:val="26"/>
          <w:szCs w:val="26"/>
        </w:rPr>
        <w:t>celebrazioni de</w:t>
      </w:r>
      <w:r w:rsidR="00570A42" w:rsidRPr="006E4192">
        <w:rPr>
          <w:b/>
          <w:sz w:val="26"/>
          <w:szCs w:val="26"/>
        </w:rPr>
        <w:t>i 150 anni dell’ Unità d’Italia</w:t>
      </w:r>
      <w:r w:rsidR="00570A42" w:rsidRPr="006E4192">
        <w:rPr>
          <w:sz w:val="26"/>
          <w:szCs w:val="26"/>
        </w:rPr>
        <w:t xml:space="preserve"> (cap. 10.3).</w:t>
      </w:r>
    </w:p>
    <w:p w:rsidR="00570A42" w:rsidRPr="006E4192" w:rsidRDefault="00570A42" w:rsidP="00307B69">
      <w:pPr>
        <w:jc w:val="both"/>
        <w:rPr>
          <w:sz w:val="26"/>
          <w:szCs w:val="26"/>
        </w:rPr>
      </w:pPr>
      <w:r w:rsidRPr="006E4192">
        <w:rPr>
          <w:sz w:val="26"/>
          <w:szCs w:val="26"/>
        </w:rPr>
        <w:t xml:space="preserve">Inoltre nel capitolo 10.2 viene prevista una voce dedicata alla realizzazione di </w:t>
      </w:r>
      <w:r w:rsidRPr="006E4192">
        <w:rPr>
          <w:b/>
          <w:sz w:val="26"/>
          <w:szCs w:val="26"/>
        </w:rPr>
        <w:t>Convegni nazionali</w:t>
      </w:r>
      <w:r w:rsidRPr="006E4192">
        <w:rPr>
          <w:sz w:val="26"/>
          <w:szCs w:val="26"/>
        </w:rPr>
        <w:t xml:space="preserve"> organizzati dalla Federazione.</w:t>
      </w:r>
    </w:p>
    <w:p w:rsidR="00323B71" w:rsidRPr="006E4192" w:rsidRDefault="00570A42" w:rsidP="00307B69">
      <w:pPr>
        <w:jc w:val="both"/>
        <w:rPr>
          <w:sz w:val="26"/>
          <w:szCs w:val="26"/>
        </w:rPr>
      </w:pPr>
      <w:r w:rsidRPr="006E4192">
        <w:rPr>
          <w:sz w:val="26"/>
          <w:szCs w:val="26"/>
        </w:rPr>
        <w:t>Alcuni nuovi capitoli</w:t>
      </w:r>
      <w:r w:rsidR="00323B71" w:rsidRPr="006E4192">
        <w:rPr>
          <w:sz w:val="26"/>
          <w:szCs w:val="26"/>
        </w:rPr>
        <w:t xml:space="preserve"> si riferiscono all’ ausilio destinato all’ </w:t>
      </w:r>
      <w:r w:rsidR="00323B71" w:rsidRPr="006E4192">
        <w:rPr>
          <w:b/>
          <w:sz w:val="26"/>
          <w:szCs w:val="26"/>
        </w:rPr>
        <w:t>attività</w:t>
      </w:r>
      <w:r w:rsidR="00D60744" w:rsidRPr="006E4192">
        <w:rPr>
          <w:b/>
          <w:sz w:val="26"/>
          <w:szCs w:val="26"/>
        </w:rPr>
        <w:t xml:space="preserve"> degli Ordini</w:t>
      </w:r>
      <w:r w:rsidRPr="006E4192">
        <w:rPr>
          <w:b/>
          <w:sz w:val="26"/>
          <w:szCs w:val="26"/>
        </w:rPr>
        <w:t xml:space="preserve"> Provinciali</w:t>
      </w:r>
      <w:r w:rsidRPr="006E4192">
        <w:rPr>
          <w:sz w:val="26"/>
          <w:szCs w:val="26"/>
        </w:rPr>
        <w:t>. In particolare :</w:t>
      </w:r>
    </w:p>
    <w:p w:rsidR="00570A42" w:rsidRPr="006E4192" w:rsidRDefault="00570A42" w:rsidP="00307B69">
      <w:pPr>
        <w:jc w:val="both"/>
        <w:rPr>
          <w:sz w:val="26"/>
          <w:szCs w:val="26"/>
        </w:rPr>
      </w:pPr>
      <w:r w:rsidRPr="006E4192">
        <w:rPr>
          <w:sz w:val="26"/>
          <w:szCs w:val="26"/>
        </w:rPr>
        <w:t xml:space="preserve">-11.0 </w:t>
      </w:r>
      <w:r w:rsidRPr="006E4192">
        <w:rPr>
          <w:b/>
          <w:sz w:val="26"/>
          <w:szCs w:val="26"/>
        </w:rPr>
        <w:t xml:space="preserve">Attività </w:t>
      </w:r>
      <w:proofErr w:type="spellStart"/>
      <w:r w:rsidRPr="006E4192">
        <w:rPr>
          <w:b/>
          <w:sz w:val="26"/>
          <w:szCs w:val="26"/>
        </w:rPr>
        <w:t>convegnistica</w:t>
      </w:r>
      <w:proofErr w:type="spellEnd"/>
    </w:p>
    <w:p w:rsidR="00570A42" w:rsidRPr="006E4192" w:rsidRDefault="00570A42" w:rsidP="00307B69">
      <w:pPr>
        <w:jc w:val="both"/>
        <w:rPr>
          <w:sz w:val="26"/>
          <w:szCs w:val="26"/>
        </w:rPr>
      </w:pPr>
      <w:r w:rsidRPr="006E4192">
        <w:rPr>
          <w:sz w:val="26"/>
          <w:szCs w:val="26"/>
        </w:rPr>
        <w:t xml:space="preserve">-71.0 </w:t>
      </w:r>
      <w:r w:rsidRPr="006E4192">
        <w:rPr>
          <w:b/>
          <w:sz w:val="26"/>
          <w:szCs w:val="26"/>
        </w:rPr>
        <w:t>Formazione e aggiornamento dei dipendenti</w:t>
      </w:r>
      <w:r w:rsidRPr="006E4192">
        <w:rPr>
          <w:sz w:val="26"/>
          <w:szCs w:val="26"/>
        </w:rPr>
        <w:t xml:space="preserve"> su funzioni amministrative</w:t>
      </w:r>
    </w:p>
    <w:p w:rsidR="00570A42" w:rsidRPr="006E4192" w:rsidRDefault="00570A42" w:rsidP="00307B69">
      <w:pPr>
        <w:jc w:val="both"/>
        <w:rPr>
          <w:sz w:val="26"/>
          <w:szCs w:val="26"/>
        </w:rPr>
      </w:pPr>
      <w:r w:rsidRPr="006E4192">
        <w:rPr>
          <w:sz w:val="26"/>
          <w:szCs w:val="26"/>
        </w:rPr>
        <w:t xml:space="preserve">-76.0 Certificazione dei </w:t>
      </w:r>
      <w:r w:rsidRPr="006E4192">
        <w:rPr>
          <w:b/>
          <w:sz w:val="26"/>
          <w:szCs w:val="26"/>
        </w:rPr>
        <w:t>crediti formativi</w:t>
      </w:r>
    </w:p>
    <w:p w:rsidR="00570A42" w:rsidRPr="006E4192" w:rsidRDefault="00570A42" w:rsidP="00307B69">
      <w:pPr>
        <w:jc w:val="both"/>
        <w:rPr>
          <w:sz w:val="26"/>
          <w:szCs w:val="26"/>
        </w:rPr>
      </w:pPr>
      <w:r w:rsidRPr="006E4192">
        <w:rPr>
          <w:sz w:val="26"/>
          <w:szCs w:val="26"/>
        </w:rPr>
        <w:t xml:space="preserve">-76.1 Procedure di cui alla </w:t>
      </w:r>
      <w:r w:rsidRPr="006E4192">
        <w:rPr>
          <w:b/>
          <w:sz w:val="26"/>
          <w:szCs w:val="26"/>
        </w:rPr>
        <w:t>direttiva 36/2005</w:t>
      </w:r>
      <w:r w:rsidR="008C0ECA" w:rsidRPr="006E4192">
        <w:rPr>
          <w:sz w:val="26"/>
          <w:szCs w:val="26"/>
        </w:rPr>
        <w:t xml:space="preserve"> (riconoscimento qualifiche professionali a livello europeo)</w:t>
      </w:r>
    </w:p>
    <w:p w:rsidR="00570A42" w:rsidRPr="006E4192" w:rsidRDefault="00570A42" w:rsidP="00307B69">
      <w:pPr>
        <w:jc w:val="both"/>
        <w:rPr>
          <w:sz w:val="26"/>
          <w:szCs w:val="26"/>
        </w:rPr>
      </w:pPr>
      <w:r w:rsidRPr="006E4192">
        <w:rPr>
          <w:sz w:val="26"/>
          <w:szCs w:val="26"/>
        </w:rPr>
        <w:t xml:space="preserve">-77.0 Allineamento </w:t>
      </w:r>
      <w:r w:rsidRPr="006E4192">
        <w:rPr>
          <w:b/>
          <w:sz w:val="26"/>
          <w:szCs w:val="26"/>
        </w:rPr>
        <w:t>dati anagrafici</w:t>
      </w:r>
      <w:r w:rsidRPr="006E4192">
        <w:rPr>
          <w:sz w:val="26"/>
          <w:szCs w:val="26"/>
        </w:rPr>
        <w:t xml:space="preserve"> – Attrezzature </w:t>
      </w:r>
      <w:r w:rsidRPr="006E4192">
        <w:rPr>
          <w:b/>
          <w:sz w:val="26"/>
          <w:szCs w:val="26"/>
        </w:rPr>
        <w:t>informatiche</w:t>
      </w:r>
      <w:r w:rsidRPr="006E4192">
        <w:rPr>
          <w:sz w:val="26"/>
          <w:szCs w:val="26"/>
        </w:rPr>
        <w:t xml:space="preserve"> – </w:t>
      </w:r>
      <w:r w:rsidRPr="006E4192">
        <w:rPr>
          <w:b/>
          <w:sz w:val="26"/>
          <w:szCs w:val="26"/>
        </w:rPr>
        <w:t>Servizi</w:t>
      </w:r>
      <w:r w:rsidRPr="006E4192">
        <w:rPr>
          <w:sz w:val="26"/>
          <w:szCs w:val="26"/>
        </w:rPr>
        <w:t xml:space="preserve"> - </w:t>
      </w:r>
      <w:r w:rsidRPr="006E4192">
        <w:rPr>
          <w:b/>
          <w:sz w:val="26"/>
          <w:szCs w:val="26"/>
        </w:rPr>
        <w:t>Formazione e assistenza</w:t>
      </w:r>
    </w:p>
    <w:p w:rsidR="008C0ECA" w:rsidRPr="006E4192" w:rsidRDefault="008C0ECA" w:rsidP="00307B69">
      <w:pPr>
        <w:jc w:val="both"/>
        <w:rPr>
          <w:sz w:val="26"/>
          <w:szCs w:val="26"/>
        </w:rPr>
      </w:pPr>
      <w:r w:rsidRPr="006E4192">
        <w:rPr>
          <w:sz w:val="26"/>
          <w:szCs w:val="26"/>
        </w:rPr>
        <w:t xml:space="preserve">78.2 Attività connesse al </w:t>
      </w:r>
      <w:r w:rsidRPr="006E4192">
        <w:rPr>
          <w:b/>
          <w:sz w:val="26"/>
          <w:szCs w:val="26"/>
        </w:rPr>
        <w:t>D.L. 28/2010</w:t>
      </w:r>
      <w:r w:rsidRPr="006E4192">
        <w:rPr>
          <w:sz w:val="26"/>
          <w:szCs w:val="26"/>
        </w:rPr>
        <w:t xml:space="preserve"> (conciliazione)</w:t>
      </w:r>
    </w:p>
    <w:p w:rsidR="008C0ECA" w:rsidRPr="006E4192" w:rsidRDefault="008C0ECA" w:rsidP="00307B69">
      <w:pPr>
        <w:jc w:val="both"/>
        <w:rPr>
          <w:sz w:val="26"/>
          <w:szCs w:val="26"/>
        </w:rPr>
      </w:pPr>
      <w:r w:rsidRPr="006E4192">
        <w:rPr>
          <w:sz w:val="26"/>
          <w:szCs w:val="26"/>
        </w:rPr>
        <w:t xml:space="preserve">78.3 </w:t>
      </w:r>
      <w:r w:rsidRPr="006E4192">
        <w:rPr>
          <w:b/>
          <w:sz w:val="26"/>
          <w:szCs w:val="26"/>
        </w:rPr>
        <w:t>Accreditamento nazionale ECM</w:t>
      </w:r>
    </w:p>
    <w:p w:rsidR="00217413" w:rsidRPr="006E4192" w:rsidRDefault="00217413" w:rsidP="00307B69">
      <w:pPr>
        <w:jc w:val="both"/>
        <w:rPr>
          <w:sz w:val="26"/>
          <w:szCs w:val="26"/>
        </w:rPr>
      </w:pPr>
      <w:r w:rsidRPr="006E4192">
        <w:rPr>
          <w:sz w:val="26"/>
          <w:szCs w:val="26"/>
        </w:rPr>
        <w:t>Altri capitoli nuovi sono il 66.1 (</w:t>
      </w:r>
      <w:r w:rsidRPr="006E4192">
        <w:rPr>
          <w:b/>
          <w:sz w:val="26"/>
          <w:szCs w:val="26"/>
        </w:rPr>
        <w:t>Pareri sulle leggi</w:t>
      </w:r>
      <w:r w:rsidRPr="006E4192">
        <w:rPr>
          <w:sz w:val="26"/>
          <w:szCs w:val="26"/>
        </w:rPr>
        <w:t xml:space="preserve"> in materia sanitaria) ed il 78.4 (Fondo a </w:t>
      </w:r>
      <w:r w:rsidRPr="006E4192">
        <w:rPr>
          <w:b/>
          <w:sz w:val="26"/>
          <w:szCs w:val="26"/>
        </w:rPr>
        <w:t>sostegno della formazione</w:t>
      </w:r>
      <w:r w:rsidRPr="006E4192">
        <w:rPr>
          <w:sz w:val="26"/>
          <w:szCs w:val="26"/>
        </w:rPr>
        <w:t xml:space="preserve"> in Medicina, Chirurgia e Odontoiatria)</w:t>
      </w:r>
    </w:p>
    <w:p w:rsidR="00217413" w:rsidRPr="006E4192" w:rsidRDefault="00217413" w:rsidP="00307B69">
      <w:pPr>
        <w:jc w:val="both"/>
        <w:rPr>
          <w:sz w:val="26"/>
          <w:szCs w:val="26"/>
        </w:rPr>
      </w:pPr>
      <w:r w:rsidRPr="006E4192">
        <w:rPr>
          <w:sz w:val="26"/>
          <w:szCs w:val="26"/>
        </w:rPr>
        <w:t xml:space="preserve">Il primo si propone di dirimere dubbi </w:t>
      </w:r>
      <w:r w:rsidR="001B47C1" w:rsidRPr="006E4192">
        <w:rPr>
          <w:sz w:val="26"/>
          <w:szCs w:val="26"/>
        </w:rPr>
        <w:t>su normative nazionali ed europee anche in rapporto a problematiche sollevate dagli Ordini.</w:t>
      </w:r>
    </w:p>
    <w:p w:rsidR="001B47C1" w:rsidRPr="006E4192" w:rsidRDefault="001B47C1" w:rsidP="00307B69">
      <w:pPr>
        <w:jc w:val="both"/>
        <w:rPr>
          <w:sz w:val="26"/>
          <w:szCs w:val="26"/>
        </w:rPr>
      </w:pPr>
      <w:r w:rsidRPr="006E4192">
        <w:rPr>
          <w:sz w:val="26"/>
          <w:szCs w:val="26"/>
        </w:rPr>
        <w:t>Il secondo prevede, con tempi e modalità da stabilire, un aiuto per i giovani studenti meritevoli, in collaborazione con gli Enti che già provvedono in tal senso.</w:t>
      </w:r>
    </w:p>
    <w:p w:rsidR="002725A7" w:rsidRPr="006E4192" w:rsidRDefault="002725A7" w:rsidP="00307B69">
      <w:pPr>
        <w:jc w:val="both"/>
        <w:rPr>
          <w:sz w:val="26"/>
          <w:szCs w:val="26"/>
        </w:rPr>
      </w:pPr>
      <w:r w:rsidRPr="006E4192">
        <w:rPr>
          <w:sz w:val="26"/>
          <w:szCs w:val="26"/>
        </w:rPr>
        <w:t xml:space="preserve">Infine nel capitolo 6.0  vengono </w:t>
      </w:r>
      <w:r w:rsidR="004551E0" w:rsidRPr="006E4192">
        <w:rPr>
          <w:sz w:val="26"/>
          <w:szCs w:val="26"/>
        </w:rPr>
        <w:t>accantonati € 100.000 per le operazioni elettorali che si svolgeranno nel prossimo anno.</w:t>
      </w:r>
    </w:p>
    <w:p w:rsidR="003612D3" w:rsidRPr="006E4192" w:rsidRDefault="003612D3" w:rsidP="00307B69">
      <w:pPr>
        <w:jc w:val="both"/>
        <w:rPr>
          <w:sz w:val="26"/>
          <w:szCs w:val="26"/>
        </w:rPr>
      </w:pPr>
      <w:r w:rsidRPr="006E4192">
        <w:rPr>
          <w:sz w:val="26"/>
          <w:szCs w:val="26"/>
        </w:rPr>
        <w:t>Veniamo ora alle problematiche esposte nella relazione dello scorso anno ed al lavoro svolto a tal riguardo.</w:t>
      </w:r>
    </w:p>
    <w:p w:rsidR="00CF3162" w:rsidRPr="006E4192" w:rsidRDefault="00CF3162" w:rsidP="00307B69">
      <w:pPr>
        <w:jc w:val="both"/>
        <w:rPr>
          <w:sz w:val="26"/>
          <w:szCs w:val="26"/>
        </w:rPr>
      </w:pPr>
      <w:r w:rsidRPr="006E4192">
        <w:rPr>
          <w:sz w:val="26"/>
          <w:szCs w:val="26"/>
        </w:rPr>
        <w:lastRenderedPageBreak/>
        <w:t>Il primo obiettivo che ci eravamo proposti era l’ acquisto della nuova sede.</w:t>
      </w:r>
    </w:p>
    <w:p w:rsidR="002725A7" w:rsidRPr="006E4192" w:rsidRDefault="002725A7" w:rsidP="002725A7">
      <w:pPr>
        <w:jc w:val="both"/>
        <w:rPr>
          <w:sz w:val="26"/>
          <w:szCs w:val="26"/>
        </w:rPr>
      </w:pPr>
      <w:r w:rsidRPr="006E4192">
        <w:rPr>
          <w:sz w:val="26"/>
          <w:szCs w:val="26"/>
        </w:rPr>
        <w:t xml:space="preserve">Data la disponibilità espressa dai vertici dell’ ENPAM, ci stiamo orientando, per l’ acquisto della nostra </w:t>
      </w:r>
      <w:r w:rsidRPr="006E4192">
        <w:rPr>
          <w:b/>
          <w:sz w:val="26"/>
          <w:szCs w:val="26"/>
        </w:rPr>
        <w:t>nuova sede</w:t>
      </w:r>
      <w:r w:rsidRPr="006E4192">
        <w:rPr>
          <w:sz w:val="26"/>
          <w:szCs w:val="26"/>
        </w:rPr>
        <w:t xml:space="preserve">, a considerare i locali in </w:t>
      </w:r>
      <w:r w:rsidRPr="006E4192">
        <w:rPr>
          <w:b/>
          <w:sz w:val="26"/>
          <w:szCs w:val="26"/>
        </w:rPr>
        <w:t>via Torino</w:t>
      </w:r>
      <w:r w:rsidRPr="006E4192">
        <w:rPr>
          <w:sz w:val="26"/>
          <w:szCs w:val="26"/>
        </w:rPr>
        <w:t xml:space="preserve"> quale opzione principale.</w:t>
      </w:r>
    </w:p>
    <w:p w:rsidR="002725A7" w:rsidRPr="006E4192" w:rsidRDefault="002725A7" w:rsidP="002725A7">
      <w:pPr>
        <w:jc w:val="both"/>
        <w:rPr>
          <w:sz w:val="26"/>
          <w:szCs w:val="26"/>
        </w:rPr>
      </w:pPr>
      <w:r w:rsidRPr="006E4192">
        <w:rPr>
          <w:sz w:val="26"/>
          <w:szCs w:val="26"/>
        </w:rPr>
        <w:t>Una decisione a tal proposito va presa, con tutti voi, prevedibilmente prima della pausa estiva.</w:t>
      </w:r>
    </w:p>
    <w:p w:rsidR="002725A7" w:rsidRPr="006E4192" w:rsidRDefault="002725A7" w:rsidP="002725A7">
      <w:pPr>
        <w:jc w:val="both"/>
        <w:rPr>
          <w:sz w:val="26"/>
          <w:szCs w:val="26"/>
        </w:rPr>
      </w:pPr>
      <w:r w:rsidRPr="006E4192">
        <w:rPr>
          <w:sz w:val="26"/>
          <w:szCs w:val="26"/>
        </w:rPr>
        <w:t xml:space="preserve">L’ </w:t>
      </w:r>
      <w:r w:rsidRPr="006E4192">
        <w:rPr>
          <w:b/>
          <w:sz w:val="26"/>
          <w:szCs w:val="26"/>
        </w:rPr>
        <w:t>accantonamento</w:t>
      </w:r>
      <w:r w:rsidRPr="006E4192">
        <w:rPr>
          <w:sz w:val="26"/>
          <w:szCs w:val="26"/>
        </w:rPr>
        <w:t xml:space="preserve"> già operato di </w:t>
      </w:r>
      <w:r w:rsidRPr="006E4192">
        <w:rPr>
          <w:b/>
          <w:sz w:val="26"/>
          <w:szCs w:val="26"/>
        </w:rPr>
        <w:t>€ 3.497.000</w:t>
      </w:r>
      <w:r w:rsidRPr="006E4192">
        <w:rPr>
          <w:sz w:val="26"/>
          <w:szCs w:val="26"/>
        </w:rPr>
        <w:t xml:space="preserve">, considerando anche il deposito di </w:t>
      </w:r>
      <w:r w:rsidRPr="006E4192">
        <w:rPr>
          <w:b/>
          <w:sz w:val="26"/>
          <w:szCs w:val="26"/>
        </w:rPr>
        <w:t>due milioni</w:t>
      </w:r>
      <w:r w:rsidRPr="006E4192">
        <w:rPr>
          <w:sz w:val="26"/>
          <w:szCs w:val="26"/>
        </w:rPr>
        <w:t xml:space="preserve"> presso la </w:t>
      </w:r>
      <w:proofErr w:type="spellStart"/>
      <w:r w:rsidRPr="006E4192">
        <w:rPr>
          <w:sz w:val="26"/>
          <w:szCs w:val="26"/>
        </w:rPr>
        <w:t>Deutsche</w:t>
      </w:r>
      <w:proofErr w:type="spellEnd"/>
      <w:r w:rsidRPr="006E4192">
        <w:rPr>
          <w:sz w:val="26"/>
          <w:szCs w:val="26"/>
        </w:rPr>
        <w:t xml:space="preserve"> </w:t>
      </w:r>
      <w:proofErr w:type="spellStart"/>
      <w:r w:rsidRPr="006E4192">
        <w:rPr>
          <w:sz w:val="26"/>
          <w:szCs w:val="26"/>
        </w:rPr>
        <w:t>Bank</w:t>
      </w:r>
      <w:proofErr w:type="spellEnd"/>
      <w:r w:rsidRPr="006E4192">
        <w:rPr>
          <w:sz w:val="26"/>
          <w:szCs w:val="26"/>
        </w:rPr>
        <w:t xml:space="preserve">  e il presumibile </w:t>
      </w:r>
      <w:r w:rsidRPr="006E4192">
        <w:rPr>
          <w:b/>
          <w:sz w:val="26"/>
          <w:szCs w:val="26"/>
        </w:rPr>
        <w:t>avanzo a consuntivo</w:t>
      </w:r>
      <w:r w:rsidRPr="006E4192">
        <w:rPr>
          <w:sz w:val="26"/>
          <w:szCs w:val="26"/>
        </w:rPr>
        <w:t xml:space="preserve"> 2010, ci consentirà in ogni caso </w:t>
      </w:r>
      <w:r w:rsidR="00102CB9" w:rsidRPr="006E4192">
        <w:rPr>
          <w:sz w:val="26"/>
          <w:szCs w:val="26"/>
        </w:rPr>
        <w:t>di versare in acconto</w:t>
      </w:r>
      <w:r w:rsidRPr="006E4192">
        <w:rPr>
          <w:sz w:val="26"/>
          <w:szCs w:val="26"/>
        </w:rPr>
        <w:t xml:space="preserve">, nell’ acquisto della nuova sede, una somma tale che ci permetta di contrarre un mutuo, per la parte rimanente, la cui rata annuale sia </w:t>
      </w:r>
      <w:r w:rsidRPr="006E4192">
        <w:rPr>
          <w:b/>
          <w:sz w:val="26"/>
          <w:szCs w:val="26"/>
        </w:rPr>
        <w:t>pari alle spese di affitto</w:t>
      </w:r>
      <w:r w:rsidRPr="006E4192">
        <w:rPr>
          <w:sz w:val="26"/>
          <w:szCs w:val="26"/>
        </w:rPr>
        <w:t xml:space="preserve"> relative all’ attuale sede ( circa € 320.000).</w:t>
      </w:r>
    </w:p>
    <w:p w:rsidR="00102CB9" w:rsidRPr="006E4192" w:rsidRDefault="00102CB9" w:rsidP="00307B69">
      <w:pPr>
        <w:jc w:val="both"/>
        <w:rPr>
          <w:sz w:val="26"/>
          <w:szCs w:val="26"/>
        </w:rPr>
      </w:pPr>
    </w:p>
    <w:p w:rsidR="003612D3" w:rsidRPr="006E4192" w:rsidRDefault="00102CB9" w:rsidP="00307B69">
      <w:pPr>
        <w:jc w:val="both"/>
        <w:rPr>
          <w:sz w:val="26"/>
          <w:szCs w:val="26"/>
        </w:rPr>
      </w:pPr>
      <w:r w:rsidRPr="006E4192">
        <w:rPr>
          <w:sz w:val="26"/>
          <w:szCs w:val="26"/>
        </w:rPr>
        <w:t>Come promesso un anno fa a</w:t>
      </w:r>
      <w:r w:rsidR="003612D3" w:rsidRPr="006E4192">
        <w:rPr>
          <w:sz w:val="26"/>
          <w:szCs w:val="26"/>
        </w:rPr>
        <w:t>bbiamo rivisto</w:t>
      </w:r>
      <w:r w:rsidRPr="006E4192">
        <w:rPr>
          <w:sz w:val="26"/>
          <w:szCs w:val="26"/>
        </w:rPr>
        <w:t>,</w:t>
      </w:r>
      <w:r w:rsidR="003612D3" w:rsidRPr="006E4192">
        <w:rPr>
          <w:sz w:val="26"/>
          <w:szCs w:val="26"/>
        </w:rPr>
        <w:t xml:space="preserve"> e corretto</w:t>
      </w:r>
      <w:r w:rsidRPr="006E4192">
        <w:rPr>
          <w:sz w:val="26"/>
          <w:szCs w:val="26"/>
        </w:rPr>
        <w:t xml:space="preserve"> laddove migliorabili</w:t>
      </w:r>
      <w:r w:rsidR="003612D3" w:rsidRPr="006E4192">
        <w:rPr>
          <w:sz w:val="26"/>
          <w:szCs w:val="26"/>
        </w:rPr>
        <w:t>, i rapporti in essere con fornitori di beni e servizi. In particolare :</w:t>
      </w:r>
    </w:p>
    <w:p w:rsidR="003612D3" w:rsidRPr="006E4192" w:rsidRDefault="003612D3" w:rsidP="00307B69">
      <w:pPr>
        <w:jc w:val="both"/>
        <w:rPr>
          <w:sz w:val="26"/>
          <w:szCs w:val="26"/>
        </w:rPr>
      </w:pPr>
      <w:r w:rsidRPr="006E4192">
        <w:rPr>
          <w:sz w:val="26"/>
          <w:szCs w:val="26"/>
        </w:rPr>
        <w:t>-</w:t>
      </w:r>
      <w:r w:rsidR="00217413" w:rsidRPr="006E4192">
        <w:rPr>
          <w:b/>
          <w:sz w:val="26"/>
          <w:szCs w:val="26"/>
        </w:rPr>
        <w:t>Polizze di assicurazione</w:t>
      </w:r>
      <w:r w:rsidR="00217413" w:rsidRPr="006E4192">
        <w:rPr>
          <w:sz w:val="26"/>
          <w:szCs w:val="26"/>
        </w:rPr>
        <w:t xml:space="preserve"> (cap. 9.0) con un risparmio di circa € 20.000 </w:t>
      </w:r>
      <w:r w:rsidR="00CF3162" w:rsidRPr="006E4192">
        <w:rPr>
          <w:sz w:val="26"/>
          <w:szCs w:val="26"/>
        </w:rPr>
        <w:t>solo per le polizze infortuni. Contiamo di risparmiare anche per le polizze in scadenza a luglio.</w:t>
      </w:r>
    </w:p>
    <w:p w:rsidR="003612D3" w:rsidRPr="006E4192" w:rsidRDefault="003612D3" w:rsidP="00307B69">
      <w:pPr>
        <w:jc w:val="both"/>
        <w:rPr>
          <w:sz w:val="26"/>
          <w:szCs w:val="26"/>
        </w:rPr>
      </w:pPr>
      <w:r w:rsidRPr="006E4192">
        <w:rPr>
          <w:sz w:val="26"/>
          <w:szCs w:val="26"/>
        </w:rPr>
        <w:t>-</w:t>
      </w:r>
      <w:r w:rsidR="001B47C1" w:rsidRPr="006E4192">
        <w:rPr>
          <w:b/>
          <w:sz w:val="26"/>
          <w:szCs w:val="26"/>
        </w:rPr>
        <w:t>Impresa di pulizia</w:t>
      </w:r>
      <w:r w:rsidR="004551E0" w:rsidRPr="006E4192">
        <w:rPr>
          <w:b/>
          <w:sz w:val="26"/>
          <w:szCs w:val="26"/>
        </w:rPr>
        <w:t xml:space="preserve"> </w:t>
      </w:r>
      <w:r w:rsidR="004551E0" w:rsidRPr="006E4192">
        <w:rPr>
          <w:sz w:val="26"/>
          <w:szCs w:val="26"/>
        </w:rPr>
        <w:t>con un risparmio di circa € 4000</w:t>
      </w:r>
    </w:p>
    <w:p w:rsidR="001B47C1" w:rsidRPr="006E4192" w:rsidRDefault="001B47C1" w:rsidP="00307B69">
      <w:pPr>
        <w:jc w:val="both"/>
        <w:rPr>
          <w:sz w:val="26"/>
          <w:szCs w:val="26"/>
        </w:rPr>
      </w:pPr>
      <w:r w:rsidRPr="006E4192">
        <w:rPr>
          <w:sz w:val="26"/>
          <w:szCs w:val="26"/>
        </w:rPr>
        <w:t>-</w:t>
      </w:r>
      <w:r w:rsidR="004551E0" w:rsidRPr="006E4192">
        <w:rPr>
          <w:b/>
          <w:sz w:val="26"/>
          <w:szCs w:val="26"/>
        </w:rPr>
        <w:t>Smaltimento toner</w:t>
      </w:r>
      <w:r w:rsidR="004551E0" w:rsidRPr="006E4192">
        <w:rPr>
          <w:sz w:val="26"/>
          <w:szCs w:val="26"/>
        </w:rPr>
        <w:t xml:space="preserve">, risparmio di € 1560 </w:t>
      </w:r>
    </w:p>
    <w:p w:rsidR="004551E0" w:rsidRPr="006E4192" w:rsidRDefault="004551E0" w:rsidP="00307B69">
      <w:pPr>
        <w:jc w:val="both"/>
        <w:rPr>
          <w:sz w:val="26"/>
          <w:szCs w:val="26"/>
        </w:rPr>
      </w:pPr>
      <w:r w:rsidRPr="006E4192">
        <w:rPr>
          <w:sz w:val="26"/>
          <w:szCs w:val="26"/>
        </w:rPr>
        <w:t>-</w:t>
      </w:r>
      <w:r w:rsidRPr="006E4192">
        <w:rPr>
          <w:b/>
          <w:sz w:val="26"/>
          <w:szCs w:val="26"/>
        </w:rPr>
        <w:t>Fornitura materiale consumo bagni</w:t>
      </w:r>
      <w:r w:rsidRPr="006E4192">
        <w:rPr>
          <w:sz w:val="26"/>
          <w:szCs w:val="26"/>
        </w:rPr>
        <w:t>, risparmio del 40%</w:t>
      </w:r>
    </w:p>
    <w:p w:rsidR="004551E0" w:rsidRPr="006E4192" w:rsidRDefault="004551E0" w:rsidP="00307B69">
      <w:pPr>
        <w:jc w:val="both"/>
        <w:rPr>
          <w:sz w:val="26"/>
          <w:szCs w:val="26"/>
        </w:rPr>
      </w:pPr>
      <w:r w:rsidRPr="006E4192">
        <w:rPr>
          <w:sz w:val="26"/>
          <w:szCs w:val="26"/>
        </w:rPr>
        <w:t>-</w:t>
      </w:r>
      <w:r w:rsidRPr="006E4192">
        <w:rPr>
          <w:b/>
          <w:sz w:val="26"/>
          <w:szCs w:val="26"/>
        </w:rPr>
        <w:t>Manutenzione condizionatori</w:t>
      </w:r>
      <w:r w:rsidRPr="006E4192">
        <w:rPr>
          <w:sz w:val="26"/>
          <w:szCs w:val="26"/>
        </w:rPr>
        <w:t>, risparmio di € 830</w:t>
      </w:r>
    </w:p>
    <w:p w:rsidR="004551E0" w:rsidRPr="006E4192" w:rsidRDefault="004551E0" w:rsidP="00307B69">
      <w:pPr>
        <w:jc w:val="both"/>
        <w:rPr>
          <w:sz w:val="26"/>
          <w:szCs w:val="26"/>
        </w:rPr>
      </w:pPr>
      <w:r w:rsidRPr="006E4192">
        <w:rPr>
          <w:sz w:val="26"/>
          <w:szCs w:val="26"/>
        </w:rPr>
        <w:t xml:space="preserve">Altri rapporti con fornitori, pur rivalutati, sono stati confermati in quanto ritenuti ancora i più convenienti. Altri ancora sono in </w:t>
      </w:r>
      <w:r w:rsidR="00102CB9" w:rsidRPr="006E4192">
        <w:rPr>
          <w:sz w:val="26"/>
          <w:szCs w:val="26"/>
        </w:rPr>
        <w:t>corso di analisi da parte dell’ Ufficio competente.</w:t>
      </w:r>
    </w:p>
    <w:p w:rsidR="003612D3" w:rsidRPr="006E4192" w:rsidRDefault="003612D3" w:rsidP="00307B69">
      <w:pPr>
        <w:jc w:val="both"/>
        <w:rPr>
          <w:sz w:val="26"/>
          <w:szCs w:val="26"/>
        </w:rPr>
      </w:pPr>
      <w:r w:rsidRPr="006E4192">
        <w:rPr>
          <w:sz w:val="26"/>
          <w:szCs w:val="26"/>
        </w:rPr>
        <w:t xml:space="preserve">Nei giorni scorsi abbiamo definito alcuni </w:t>
      </w:r>
      <w:r w:rsidRPr="006E4192">
        <w:rPr>
          <w:b/>
          <w:sz w:val="26"/>
          <w:szCs w:val="26"/>
        </w:rPr>
        <w:t>accordi</w:t>
      </w:r>
      <w:r w:rsidRPr="006E4192">
        <w:rPr>
          <w:sz w:val="26"/>
          <w:szCs w:val="26"/>
        </w:rPr>
        <w:t>, già attivati o in via di attivazione a breve :</w:t>
      </w:r>
    </w:p>
    <w:p w:rsidR="003612D3" w:rsidRPr="006E4192" w:rsidRDefault="003612D3" w:rsidP="00307B69">
      <w:pPr>
        <w:jc w:val="both"/>
        <w:rPr>
          <w:sz w:val="26"/>
          <w:szCs w:val="26"/>
        </w:rPr>
      </w:pPr>
      <w:r w:rsidRPr="006E4192">
        <w:rPr>
          <w:sz w:val="26"/>
          <w:szCs w:val="26"/>
        </w:rPr>
        <w:t>-</w:t>
      </w:r>
      <w:r w:rsidRPr="006E4192">
        <w:rPr>
          <w:b/>
          <w:sz w:val="26"/>
          <w:szCs w:val="26"/>
        </w:rPr>
        <w:t xml:space="preserve">Agenzia viaggi </w:t>
      </w:r>
      <w:r w:rsidRPr="006E4192">
        <w:rPr>
          <w:sz w:val="26"/>
          <w:szCs w:val="26"/>
        </w:rPr>
        <w:t xml:space="preserve">Bon </w:t>
      </w:r>
      <w:proofErr w:type="spellStart"/>
      <w:r w:rsidRPr="006E4192">
        <w:rPr>
          <w:sz w:val="26"/>
          <w:szCs w:val="26"/>
        </w:rPr>
        <w:t>Voyage</w:t>
      </w:r>
      <w:proofErr w:type="spellEnd"/>
      <w:r w:rsidRPr="006E4192">
        <w:rPr>
          <w:sz w:val="26"/>
          <w:szCs w:val="26"/>
        </w:rPr>
        <w:t xml:space="preserve"> (biglietteria)</w:t>
      </w:r>
    </w:p>
    <w:p w:rsidR="003612D3" w:rsidRPr="006E4192" w:rsidRDefault="003612D3" w:rsidP="00307B69">
      <w:pPr>
        <w:jc w:val="both"/>
        <w:rPr>
          <w:b/>
          <w:sz w:val="26"/>
          <w:szCs w:val="26"/>
        </w:rPr>
      </w:pPr>
      <w:proofErr w:type="spellStart"/>
      <w:r w:rsidRPr="006E4192">
        <w:rPr>
          <w:sz w:val="26"/>
          <w:szCs w:val="26"/>
        </w:rPr>
        <w:t>-</w:t>
      </w:r>
      <w:r w:rsidRPr="006E4192">
        <w:rPr>
          <w:b/>
          <w:sz w:val="26"/>
          <w:szCs w:val="26"/>
        </w:rPr>
        <w:t>Alitalia</w:t>
      </w:r>
      <w:proofErr w:type="spellEnd"/>
    </w:p>
    <w:p w:rsidR="003612D3" w:rsidRPr="006E4192" w:rsidRDefault="003612D3" w:rsidP="00307B69">
      <w:pPr>
        <w:jc w:val="both"/>
        <w:rPr>
          <w:sz w:val="26"/>
          <w:szCs w:val="26"/>
        </w:rPr>
      </w:pPr>
      <w:r w:rsidRPr="006E4192">
        <w:rPr>
          <w:sz w:val="26"/>
          <w:szCs w:val="26"/>
        </w:rPr>
        <w:t>-</w:t>
      </w:r>
      <w:r w:rsidRPr="006E4192">
        <w:rPr>
          <w:b/>
          <w:sz w:val="26"/>
          <w:szCs w:val="26"/>
        </w:rPr>
        <w:t>Alberghi convenzionati</w:t>
      </w:r>
      <w:r w:rsidRPr="006E4192">
        <w:rPr>
          <w:sz w:val="26"/>
          <w:szCs w:val="26"/>
        </w:rPr>
        <w:t xml:space="preserve"> </w:t>
      </w:r>
      <w:r w:rsidR="008C0ECA" w:rsidRPr="006E4192">
        <w:rPr>
          <w:sz w:val="26"/>
          <w:szCs w:val="26"/>
        </w:rPr>
        <w:t>.</w:t>
      </w:r>
    </w:p>
    <w:p w:rsidR="002A7BB7" w:rsidRPr="006E4192" w:rsidRDefault="002A7BB7" w:rsidP="00307B69">
      <w:pPr>
        <w:jc w:val="both"/>
        <w:rPr>
          <w:sz w:val="26"/>
          <w:szCs w:val="26"/>
        </w:rPr>
      </w:pPr>
      <w:r w:rsidRPr="006E4192">
        <w:rPr>
          <w:sz w:val="26"/>
          <w:szCs w:val="26"/>
        </w:rPr>
        <w:t xml:space="preserve">Le </w:t>
      </w:r>
      <w:r w:rsidRPr="006E4192">
        <w:rPr>
          <w:b/>
          <w:sz w:val="26"/>
          <w:szCs w:val="26"/>
        </w:rPr>
        <w:t xml:space="preserve">riunioni degli Organi Collegiali ed i convegni </w:t>
      </w:r>
      <w:r w:rsidRPr="006E4192">
        <w:rPr>
          <w:sz w:val="26"/>
          <w:szCs w:val="26"/>
        </w:rPr>
        <w:t xml:space="preserve">al momento previsti per quest’anno </w:t>
      </w:r>
      <w:r w:rsidR="00102CB9" w:rsidRPr="006E4192">
        <w:rPr>
          <w:sz w:val="26"/>
          <w:szCs w:val="26"/>
        </w:rPr>
        <w:t xml:space="preserve">sono </w:t>
      </w:r>
      <w:r w:rsidRPr="006E4192">
        <w:rPr>
          <w:sz w:val="26"/>
          <w:szCs w:val="26"/>
        </w:rPr>
        <w:t>:</w:t>
      </w:r>
    </w:p>
    <w:p w:rsidR="002A7BB7" w:rsidRPr="006E4192" w:rsidRDefault="002A7BB7" w:rsidP="002A7BB7">
      <w:pPr>
        <w:pStyle w:val="Paragrafoelenco"/>
        <w:numPr>
          <w:ilvl w:val="0"/>
          <w:numId w:val="1"/>
        </w:numPr>
        <w:jc w:val="both"/>
        <w:rPr>
          <w:sz w:val="26"/>
          <w:szCs w:val="26"/>
        </w:rPr>
      </w:pPr>
      <w:r w:rsidRPr="006E4192">
        <w:rPr>
          <w:sz w:val="26"/>
          <w:szCs w:val="26"/>
        </w:rPr>
        <w:t>n°15 riunioni del Comitato Centrale</w:t>
      </w:r>
    </w:p>
    <w:p w:rsidR="002A7BB7" w:rsidRPr="006E4192" w:rsidRDefault="002A7BB7" w:rsidP="002A7BB7">
      <w:pPr>
        <w:pStyle w:val="Paragrafoelenco"/>
        <w:numPr>
          <w:ilvl w:val="0"/>
          <w:numId w:val="1"/>
        </w:numPr>
        <w:jc w:val="both"/>
        <w:rPr>
          <w:sz w:val="26"/>
          <w:szCs w:val="26"/>
        </w:rPr>
      </w:pPr>
      <w:r w:rsidRPr="006E4192">
        <w:rPr>
          <w:sz w:val="26"/>
          <w:szCs w:val="26"/>
        </w:rPr>
        <w:t>n°4 Consigli Nazionali</w:t>
      </w:r>
    </w:p>
    <w:p w:rsidR="002A7BB7" w:rsidRPr="006E4192" w:rsidRDefault="002A7BB7" w:rsidP="002A7BB7">
      <w:pPr>
        <w:pStyle w:val="Paragrafoelenco"/>
        <w:numPr>
          <w:ilvl w:val="0"/>
          <w:numId w:val="1"/>
        </w:numPr>
        <w:jc w:val="both"/>
        <w:rPr>
          <w:sz w:val="26"/>
          <w:szCs w:val="26"/>
        </w:rPr>
      </w:pPr>
      <w:r w:rsidRPr="006E4192">
        <w:rPr>
          <w:sz w:val="26"/>
          <w:szCs w:val="26"/>
        </w:rPr>
        <w:t>n°4 CAO</w:t>
      </w:r>
    </w:p>
    <w:p w:rsidR="002A7BB7" w:rsidRPr="006E4192" w:rsidRDefault="002A7BB7" w:rsidP="002A7BB7">
      <w:pPr>
        <w:pStyle w:val="Paragrafoelenco"/>
        <w:numPr>
          <w:ilvl w:val="0"/>
          <w:numId w:val="1"/>
        </w:numPr>
        <w:jc w:val="both"/>
        <w:rPr>
          <w:sz w:val="26"/>
          <w:szCs w:val="26"/>
        </w:rPr>
      </w:pPr>
      <w:r w:rsidRPr="006E4192">
        <w:rPr>
          <w:sz w:val="26"/>
          <w:szCs w:val="26"/>
        </w:rPr>
        <w:lastRenderedPageBreak/>
        <w:t>n°3 Convegni nazionali</w:t>
      </w:r>
    </w:p>
    <w:p w:rsidR="002A7BB7" w:rsidRPr="006E4192" w:rsidRDefault="002A7BB7" w:rsidP="002A7BB7">
      <w:pPr>
        <w:pStyle w:val="Paragrafoelenco"/>
        <w:numPr>
          <w:ilvl w:val="0"/>
          <w:numId w:val="1"/>
        </w:numPr>
        <w:jc w:val="both"/>
        <w:rPr>
          <w:sz w:val="26"/>
          <w:szCs w:val="26"/>
        </w:rPr>
      </w:pPr>
      <w:r w:rsidRPr="006E4192">
        <w:rPr>
          <w:sz w:val="26"/>
          <w:szCs w:val="26"/>
        </w:rPr>
        <w:t xml:space="preserve">n°2 </w:t>
      </w:r>
      <w:proofErr w:type="spellStart"/>
      <w:r w:rsidRPr="006E4192">
        <w:rPr>
          <w:sz w:val="26"/>
          <w:szCs w:val="26"/>
        </w:rPr>
        <w:t>Workshops</w:t>
      </w:r>
      <w:proofErr w:type="spellEnd"/>
    </w:p>
    <w:p w:rsidR="002A7BB7" w:rsidRPr="006E4192" w:rsidRDefault="002A7BB7" w:rsidP="002A7BB7">
      <w:pPr>
        <w:pStyle w:val="Paragrafoelenco"/>
        <w:numPr>
          <w:ilvl w:val="0"/>
          <w:numId w:val="1"/>
        </w:numPr>
        <w:jc w:val="both"/>
        <w:rPr>
          <w:sz w:val="26"/>
          <w:szCs w:val="26"/>
        </w:rPr>
      </w:pPr>
      <w:r w:rsidRPr="006E4192">
        <w:rPr>
          <w:sz w:val="26"/>
          <w:szCs w:val="26"/>
        </w:rPr>
        <w:t>n°2 Eventi con delegazioni estere : UEMS a Napoli in ottobre e UEMO a Torino in novembre</w:t>
      </w:r>
    </w:p>
    <w:p w:rsidR="002A7BB7" w:rsidRPr="006E4192" w:rsidRDefault="002A7BB7" w:rsidP="002A7BB7">
      <w:pPr>
        <w:jc w:val="both"/>
        <w:rPr>
          <w:sz w:val="26"/>
          <w:szCs w:val="26"/>
        </w:rPr>
      </w:pPr>
      <w:r w:rsidRPr="006E4192">
        <w:rPr>
          <w:sz w:val="26"/>
          <w:szCs w:val="26"/>
        </w:rPr>
        <w:t xml:space="preserve">Ovviamente cercheremo con il medesimo impegno di </w:t>
      </w:r>
      <w:r w:rsidRPr="006E4192">
        <w:rPr>
          <w:b/>
          <w:sz w:val="26"/>
          <w:szCs w:val="26"/>
        </w:rPr>
        <w:t>completare</w:t>
      </w:r>
      <w:r w:rsidR="007114F2" w:rsidRPr="006E4192">
        <w:rPr>
          <w:sz w:val="26"/>
          <w:szCs w:val="26"/>
        </w:rPr>
        <w:t>, nel corso dell’ anno,</w:t>
      </w:r>
      <w:r w:rsidRPr="006E4192">
        <w:rPr>
          <w:sz w:val="26"/>
          <w:szCs w:val="26"/>
        </w:rPr>
        <w:t xml:space="preserve"> la </w:t>
      </w:r>
      <w:r w:rsidRPr="006E4192">
        <w:rPr>
          <w:b/>
          <w:sz w:val="26"/>
          <w:szCs w:val="26"/>
        </w:rPr>
        <w:t>revisione dei contratti e delle forniture</w:t>
      </w:r>
      <w:r w:rsidRPr="006E4192">
        <w:rPr>
          <w:sz w:val="26"/>
          <w:szCs w:val="26"/>
        </w:rPr>
        <w:t xml:space="preserve"> in essere</w:t>
      </w:r>
      <w:r w:rsidR="00A10420" w:rsidRPr="006E4192">
        <w:rPr>
          <w:sz w:val="26"/>
          <w:szCs w:val="26"/>
        </w:rPr>
        <w:t xml:space="preserve"> e di rafforzare il ruolo della Federazione nel sostenere ed assistere gli Ordini provinciali.</w:t>
      </w:r>
    </w:p>
    <w:p w:rsidR="00A10420" w:rsidRPr="006E4192" w:rsidRDefault="007114F2" w:rsidP="002A7BB7">
      <w:pPr>
        <w:jc w:val="both"/>
        <w:rPr>
          <w:sz w:val="26"/>
          <w:szCs w:val="26"/>
        </w:rPr>
      </w:pPr>
      <w:r w:rsidRPr="006E4192">
        <w:rPr>
          <w:sz w:val="26"/>
          <w:szCs w:val="26"/>
        </w:rPr>
        <w:t xml:space="preserve">Vorrei infine ringraziare i dipendenti tutti per la collaborazione prestata, in particolare l’ Ufficio Contabilità e Bilancio e l’ Ufficio Contratti con la nuova responsabile Giuliana </w:t>
      </w:r>
      <w:proofErr w:type="spellStart"/>
      <w:r w:rsidRPr="006E4192">
        <w:rPr>
          <w:sz w:val="26"/>
          <w:szCs w:val="26"/>
        </w:rPr>
        <w:t>Malagigi</w:t>
      </w:r>
      <w:proofErr w:type="spellEnd"/>
      <w:r w:rsidRPr="006E4192">
        <w:rPr>
          <w:sz w:val="26"/>
          <w:szCs w:val="26"/>
        </w:rPr>
        <w:t>.</w:t>
      </w:r>
    </w:p>
    <w:p w:rsidR="007114F2" w:rsidRPr="006E4192" w:rsidRDefault="007114F2" w:rsidP="002A7BB7">
      <w:pPr>
        <w:jc w:val="both"/>
        <w:rPr>
          <w:sz w:val="26"/>
          <w:szCs w:val="26"/>
        </w:rPr>
      </w:pPr>
      <w:r w:rsidRPr="006E4192">
        <w:rPr>
          <w:sz w:val="26"/>
          <w:szCs w:val="26"/>
        </w:rPr>
        <w:t>Grazie al Presidente Bianco ed all’ Esecutivo, al Direttore</w:t>
      </w:r>
      <w:r w:rsidR="00102CB9" w:rsidRPr="006E4192">
        <w:rPr>
          <w:sz w:val="26"/>
          <w:szCs w:val="26"/>
        </w:rPr>
        <w:t xml:space="preserve"> </w:t>
      </w:r>
      <w:proofErr w:type="spellStart"/>
      <w:r w:rsidR="00102CB9" w:rsidRPr="006E4192">
        <w:rPr>
          <w:sz w:val="26"/>
          <w:szCs w:val="26"/>
        </w:rPr>
        <w:t>Bugli</w:t>
      </w:r>
      <w:proofErr w:type="spellEnd"/>
      <w:r w:rsidRPr="006E4192">
        <w:rPr>
          <w:sz w:val="26"/>
          <w:szCs w:val="26"/>
        </w:rPr>
        <w:t xml:space="preserve"> ed a tutto il Comitato Centrale ed alla CAO.</w:t>
      </w:r>
    </w:p>
    <w:p w:rsidR="007114F2" w:rsidRPr="006E4192" w:rsidRDefault="007114F2" w:rsidP="002A7BB7">
      <w:pPr>
        <w:jc w:val="both"/>
        <w:rPr>
          <w:sz w:val="26"/>
          <w:szCs w:val="26"/>
        </w:rPr>
      </w:pPr>
      <w:r w:rsidRPr="006E4192">
        <w:rPr>
          <w:sz w:val="26"/>
          <w:szCs w:val="26"/>
        </w:rPr>
        <w:t>E soprattutto grazie a tutti voi per la pazienza e l’attenzione.</w:t>
      </w:r>
    </w:p>
    <w:p w:rsidR="006E4192" w:rsidRDefault="006E4192" w:rsidP="002A7BB7">
      <w:pPr>
        <w:jc w:val="both"/>
        <w:rPr>
          <w:sz w:val="26"/>
          <w:szCs w:val="26"/>
        </w:rPr>
      </w:pPr>
    </w:p>
    <w:p w:rsidR="006E4192" w:rsidRDefault="006E4192" w:rsidP="002A7BB7">
      <w:pPr>
        <w:jc w:val="both"/>
        <w:rPr>
          <w:sz w:val="26"/>
          <w:szCs w:val="26"/>
        </w:rPr>
      </w:pPr>
    </w:p>
    <w:p w:rsidR="006E4192" w:rsidRPr="006E4192" w:rsidRDefault="006E4192" w:rsidP="002A7BB7">
      <w:pPr>
        <w:jc w:val="both"/>
        <w:rPr>
          <w:sz w:val="26"/>
          <w:szCs w:val="26"/>
        </w:rPr>
      </w:pPr>
    </w:p>
    <w:p w:rsidR="00CF3162" w:rsidRPr="006E4192" w:rsidRDefault="00CF3162" w:rsidP="002A7BB7">
      <w:pPr>
        <w:jc w:val="both"/>
        <w:rPr>
          <w:b/>
          <w:sz w:val="26"/>
          <w:szCs w:val="26"/>
        </w:rPr>
      </w:pPr>
      <w:r w:rsidRPr="006E4192">
        <w:rPr>
          <w:b/>
          <w:sz w:val="26"/>
          <w:szCs w:val="26"/>
        </w:rPr>
        <w:t>RAFFAELE IANDOLO</w:t>
      </w:r>
    </w:p>
    <w:p w:rsidR="006E4192" w:rsidRPr="006E4192" w:rsidRDefault="006E4192" w:rsidP="002A7BB7">
      <w:pPr>
        <w:jc w:val="both"/>
        <w:rPr>
          <w:b/>
          <w:sz w:val="26"/>
          <w:szCs w:val="26"/>
        </w:rPr>
      </w:pPr>
      <w:r w:rsidRPr="006E4192">
        <w:rPr>
          <w:b/>
          <w:sz w:val="26"/>
          <w:szCs w:val="26"/>
        </w:rPr>
        <w:t>ROMA, 28 GENNAIO 2011</w:t>
      </w:r>
    </w:p>
    <w:sectPr w:rsidR="006E4192" w:rsidRPr="006E4192" w:rsidSect="00CD5B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6842"/>
    <w:multiLevelType w:val="hybridMultilevel"/>
    <w:tmpl w:val="DE8887CA"/>
    <w:lvl w:ilvl="0" w:tplc="2C040FE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7B69"/>
    <w:rsid w:val="000C3035"/>
    <w:rsid w:val="000E7521"/>
    <w:rsid w:val="00102CB9"/>
    <w:rsid w:val="00171CD6"/>
    <w:rsid w:val="001B47C1"/>
    <w:rsid w:val="00217413"/>
    <w:rsid w:val="002725A7"/>
    <w:rsid w:val="002A7BB7"/>
    <w:rsid w:val="00307B69"/>
    <w:rsid w:val="00323B71"/>
    <w:rsid w:val="003612D3"/>
    <w:rsid w:val="00385830"/>
    <w:rsid w:val="004551E0"/>
    <w:rsid w:val="004B518F"/>
    <w:rsid w:val="00570A42"/>
    <w:rsid w:val="005A2957"/>
    <w:rsid w:val="005F728E"/>
    <w:rsid w:val="006515F5"/>
    <w:rsid w:val="006E4192"/>
    <w:rsid w:val="007114F2"/>
    <w:rsid w:val="007C5D9E"/>
    <w:rsid w:val="008A3AEE"/>
    <w:rsid w:val="008C0ECA"/>
    <w:rsid w:val="00935B46"/>
    <w:rsid w:val="00A10420"/>
    <w:rsid w:val="00AB225A"/>
    <w:rsid w:val="00AC756B"/>
    <w:rsid w:val="00B6210F"/>
    <w:rsid w:val="00B85D55"/>
    <w:rsid w:val="00B96A37"/>
    <w:rsid w:val="00C070D4"/>
    <w:rsid w:val="00CA2839"/>
    <w:rsid w:val="00CD5B8D"/>
    <w:rsid w:val="00CF3162"/>
    <w:rsid w:val="00D60744"/>
    <w:rsid w:val="00DB3840"/>
    <w:rsid w:val="00EB29F6"/>
    <w:rsid w:val="00F12CDA"/>
    <w:rsid w:val="00F37988"/>
    <w:rsid w:val="00FD5C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B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7B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B69"/>
    <w:rPr>
      <w:rFonts w:ascii="Tahoma" w:hAnsi="Tahoma" w:cs="Tahoma"/>
      <w:sz w:val="16"/>
      <w:szCs w:val="16"/>
    </w:rPr>
  </w:style>
  <w:style w:type="paragraph" w:styleId="Paragrafoelenco">
    <w:name w:val="List Paragraph"/>
    <w:basedOn w:val="Normale"/>
    <w:uiPriority w:val="34"/>
    <w:qFormat/>
    <w:rsid w:val="002A7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Walter Gatti</cp:lastModifiedBy>
  <cp:revision>2</cp:revision>
  <dcterms:created xsi:type="dcterms:W3CDTF">2011-02-03T10:18:00Z</dcterms:created>
  <dcterms:modified xsi:type="dcterms:W3CDTF">2011-02-03T10:18:00Z</dcterms:modified>
</cp:coreProperties>
</file>